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rs20260828_s3.htm"/>
      <w:bookmarkStart w:id="1" w:name="ksalrs20260828_s3"/>
      <w:bookmarkEnd w:id="0"/>
      <w:bookmarkEnd w:id="1"/>
      <w:r>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filed with the Securities and Exchange Commission on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No. 333-</w:t>
      </w:r>
    </w:p>
    <w:p>
      <w:pPr>
        <w:pStyle w:val="TextBody"/>
        <w:bidi w:val="0"/>
        <w:spacing w:before="0" w:after="0"/>
        <w:ind w:left="0" w:right="0" w:hanging="0"/>
        <w:jc w:val="left"/>
        <w:rPr>
          <w:caps w:val="false"/>
          <w:smallCaps w:val="false"/>
        </w:rPr>
      </w:pPr>
      <w:r>
        <w:rPr>
          <w:caps w:val="false"/>
          <w:smallCaps w:val="false"/>
        </w:rPr>
        <w:t> </w:t>
      </w:r>
    </w:p>
    <w:tbl>
      <w:tblPr>
        <w:tblW w:w="5404" w:type="dxa"/>
        <w:jc w:val="left"/>
        <w:tblInd w:w="0" w:type="dxa"/>
        <w:tblLayout w:type="fixed"/>
        <w:tblCellMar>
          <w:top w:w="45" w:type="dxa"/>
          <w:left w:w="0" w:type="dxa"/>
          <w:bottom w:w="45" w:type="dxa"/>
          <w:right w:w="0" w:type="dxa"/>
        </w:tblCellMar>
      </w:tblPr>
      <w:tblGrid>
        <w:gridCol w:w="3365"/>
        <w:gridCol w:w="2039"/>
      </w:tblGrid>
      <w:tr>
        <w:trPr/>
        <w:tc>
          <w:tcPr>
            <w:tcW w:w="5404" w:type="dxa"/>
            <w:gridSpan w:val="2"/>
            <w:tcBorders>
              <w:top w:val="single" w:sz="2" w:space="0" w:color="000000"/>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4"/>
              </w:rPr>
              <w:t>UNITED STATES</w:t>
            </w:r>
            <w:r>
              <w:rPr>
                <w:rFonts w:ascii="Times New Roman;Times;serif" w:hAnsi="Times New Roman;Times;serif"/>
                <w:caps w:val="false"/>
                <w:smallCaps w:val="false"/>
                <w:sz w:val="20"/>
              </w:rPr>
              <w:br/>
            </w:r>
            <w:r>
              <w:rPr>
                <w:rFonts w:ascii="Times New Roman;Times;serif" w:hAnsi="Times New Roman;Times;serif"/>
                <w:b/>
                <w:caps w:val="false"/>
                <w:smallCaps w:val="false"/>
                <w:sz w:val="24"/>
              </w:rPr>
              <w:t>SECURITIES AND EXCHANGE COMMISSION</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Washington, D.C. 20549</w:t>
            </w:r>
          </w:p>
          <w:p>
            <w:pPr>
              <w:pStyle w:val="TableContents"/>
              <w:bidi w:val="0"/>
              <w:spacing w:before="0" w:after="0"/>
              <w:ind w:left="0" w:right="0" w:hanging="0"/>
              <w:jc w:val="center"/>
              <w:rPr>
                <w:caps w:val="false"/>
                <w:smallCaps w:val="false"/>
              </w:rPr>
            </w:pPr>
            <w:r>
              <w:rPr>
                <w:caps w:val="false"/>
                <w:smallCaps w:val="false"/>
              </w:rPr>
              <w:t> </w:t>
            </w:r>
          </w:p>
        </w:tc>
      </w:tr>
      <w:tr>
        <w:trPr/>
        <w:tc>
          <w:tcPr>
            <w:tcW w:w="5404"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4"/>
              </w:rPr>
              <w:t>FORM S-3</w:t>
            </w:r>
            <w:r>
              <w:rPr>
                <w:rFonts w:ascii="Times New Roman;Times;serif" w:hAnsi="Times New Roman;Times;serif"/>
                <w:caps w:val="false"/>
                <w:smallCaps w:val="false"/>
                <w:sz w:val="20"/>
              </w:rPr>
              <w:br/>
            </w:r>
            <w:r>
              <w:rPr>
                <w:rFonts w:ascii="Times New Roman;Times;serif" w:hAnsi="Times New Roman;Times;serif"/>
                <w:b/>
                <w:caps w:val="false"/>
                <w:smallCaps w:val="false"/>
                <w:sz w:val="24"/>
              </w:rPr>
              <w:t>REGISTRATION STATEMENT</w:t>
            </w:r>
            <w:r>
              <w:rPr>
                <w:rFonts w:ascii="Times New Roman;Times;serif" w:hAnsi="Times New Roman;Times;serif"/>
                <w:caps w:val="false"/>
                <w:smallCaps w:val="false"/>
                <w:sz w:val="20"/>
              </w:rPr>
              <w:br/>
            </w:r>
            <w:r>
              <w:rPr>
                <w:rFonts w:ascii="Times New Roman;Times;serif" w:hAnsi="Times New Roman;Times;serif"/>
                <w:b/>
                <w:i/>
                <w:caps w:val="false"/>
                <w:smallCaps w:val="false"/>
                <w:sz w:val="20"/>
              </w:rPr>
              <w:t>UNDER</w:t>
            </w:r>
            <w:r>
              <w:rPr>
                <w:rFonts w:ascii="Times New Roman;Times;serif" w:hAnsi="Times New Roman;Times;serif"/>
                <w:caps w:val="false"/>
                <w:smallCaps w:val="false"/>
                <w:sz w:val="20"/>
              </w:rPr>
              <w:br/>
            </w:r>
            <w:r>
              <w:rPr>
                <w:rFonts w:ascii="Times New Roman;Times;serif" w:hAnsi="Times New Roman;Times;serif"/>
                <w:b/>
                <w:i/>
                <w:caps w:val="false"/>
                <w:smallCaps w:val="false"/>
                <w:sz w:val="20"/>
              </w:rPr>
              <w:t>THE SECURITIES ACT OF 1933</w:t>
            </w:r>
          </w:p>
          <w:p>
            <w:pPr>
              <w:pStyle w:val="TableContents"/>
              <w:bidi w:val="0"/>
              <w:spacing w:before="0" w:after="0"/>
              <w:ind w:left="0" w:right="0" w:hanging="0"/>
              <w:jc w:val="center"/>
              <w:rPr>
                <w:caps w:val="false"/>
                <w:smallCaps w:val="false"/>
              </w:rPr>
            </w:pPr>
            <w:r>
              <w:rPr>
                <w:caps w:val="false"/>
                <w:smallCaps w:val="false"/>
              </w:rPr>
              <w:t> </w:t>
            </w:r>
          </w:p>
        </w:tc>
      </w:tr>
      <w:tr>
        <w:trPr/>
        <w:tc>
          <w:tcPr>
            <w:tcW w:w="5404"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4"/>
              </w:rPr>
              <w:t>ALERUS FINANCIAL CORPORATION</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(Exact name of registrant as specified in its charter)</w:t>
            </w:r>
          </w:p>
          <w:p>
            <w:pPr>
              <w:pStyle w:val="TableContents"/>
              <w:bidi w:val="0"/>
              <w:spacing w:before="0" w:after="0"/>
              <w:ind w:left="0" w:right="0" w:hanging="0"/>
              <w:jc w:val="center"/>
              <w:rPr>
                <w:caps w:val="false"/>
                <w:smallCaps w:val="false"/>
              </w:rPr>
            </w:pPr>
            <w:r>
              <w:rPr>
                <w:caps w:val="false"/>
                <w:smallCaps w:val="false"/>
              </w:rPr>
              <w:t> </w:t>
            </w:r>
          </w:p>
        </w:tc>
      </w:tr>
      <w:tr>
        <w:trPr/>
        <w:tc>
          <w:tcPr>
            <w:tcW w:w="3365" w:type="dxa"/>
            <w:tcBorders/>
            <w:tcMar>
              <w:top w:w="60" w:type="dxa"/>
              <w:left w:w="60" w:type="dxa"/>
              <w:bottom w:w="60" w:type="dxa"/>
              <w:right w:w="6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Delaware</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(State or other jurisdiction of</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incorporation or organization)</w:t>
            </w:r>
          </w:p>
        </w:tc>
        <w:tc>
          <w:tcPr>
            <w:tcW w:w="2039" w:type="dxa"/>
            <w:tcBorders/>
            <w:tcMar>
              <w:top w:w="60" w:type="dxa"/>
              <w:left w:w="60" w:type="dxa"/>
              <w:bottom w:w="60" w:type="dxa"/>
              <w:right w:w="6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45-0375407</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(I.R.S. Employer</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Identification No.)</w:t>
            </w:r>
          </w:p>
        </w:tc>
      </w:tr>
      <w:tr>
        <w:trPr/>
        <w:tc>
          <w:tcPr>
            <w:tcW w:w="5404"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401 Demers Avenue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Grand Forks, North Dakota 58201</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(701) 795-3200</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(Address, including zip code, and telephone number, including</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area code, of registrant</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principal executive offices)</w:t>
            </w:r>
          </w:p>
        </w:tc>
      </w:tr>
      <w:tr>
        <w:trPr/>
        <w:tc>
          <w:tcPr>
            <w:tcW w:w="5404"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Katie A. Lorenson</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President and Chief Executive Officer</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Alerus Financial Corporation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401 Demers Avenue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Grand Forks, North Dakota 58201</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(701) 795-3200</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(Name, address, including zip code, and telephone number,</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including area code, of agent for service)</w:t>
            </w:r>
          </w:p>
        </w:tc>
      </w:tr>
      <w:tr>
        <w:trPr/>
        <w:tc>
          <w:tcPr>
            <w:tcW w:w="5404" w:type="dxa"/>
            <w:gridSpan w:val="2"/>
            <w:tcBorders>
              <w:bottom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Copy to: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Joseph Ceithaml, Esq.</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Barack Ferrazzano Kirschbaum &amp; Nagelberg LLP</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200 West Madison Street, Suite 3900</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Chicago, Illinois 60606</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(312) 984-3100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Approximate date of commencement of proposed sale to the public</w:t>
      </w:r>
      <w:r>
        <w:rPr>
          <w:rFonts w:ascii="Times New Roman" w:hAnsi="Times New Roman"/>
          <w:caps w:val="false"/>
          <w:smallCaps w:val="false"/>
          <w:sz w:val="20"/>
        </w:rPr>
        <w:t>: From time to time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Registration Statement is being filed pursuant to Rule 415(a)(6) under the Securities Act of 1933. The securities registered hereby include unsold securities previously registered by the Registrant pursuant to its Registration Statement on Form S-3 (File No. 333-274509) (the “Prior Registration Statement”), which was declared effective by the U.S. Securities and Exchange Commission on September 27,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Rule 415(a)(6), the Registrant is carrying forward $125,000,000 aggregate offering amount of unsold securities (the “Unsold Securities”) from the Prior Registration Statement to this Registration Statement. The filing fees previously paid in connection with the Unsold Securities are being carried forward and applied to the Unsold Securities registered pursuant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Upon effectiveness of this Registration Statement, any offering of securities under the Prior Registration Statement will be deemed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color w:val="FF0000"/>
          <w:sz w:val="20"/>
        </w:rPr>
      </w:pPr>
      <w:r>
        <w:rPr>
          <w:rFonts w:ascii="Times New Roman" w:hAnsi="Times New Roman"/>
          <w:caps w:val="false"/>
          <w:smallCaps w:val="false"/>
          <w:color w:val="FF0000"/>
          <w:sz w:val="20"/>
        </w:rPr>
        <w:t>The information in this prospectus is not complete and may be changed. These securities may not be sold until the registration statement containing this prospectus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color w:val="FF0000"/>
          <w:sz w:val="20"/>
        </w:rPr>
      </w:pPr>
      <w:r>
        <w:rPr>
          <w:rFonts w:ascii="Times New Roman" w:hAnsi="Times New Roman"/>
          <w:caps w:val="false"/>
          <w:smallCaps w:val="false"/>
          <w:color w:val="FF0000"/>
          <w:sz w:val="20"/>
        </w:rPr>
        <w:t>SUBJECT TO COMPLETION DATED SEPTEMBER 2,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0507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752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Common Stock</w:t>
      </w:r>
      <w:r>
        <w:rPr>
          <w:rFonts w:ascii="Times New Roman" w:hAnsi="Times New Roman"/>
          <w:caps w:val="false"/>
          <w:smallCaps w:val="false"/>
          <w:sz w:val="20"/>
        </w:rPr>
        <w:br/>
      </w:r>
      <w:r>
        <w:rPr>
          <w:rFonts w:ascii="Times New Roman" w:hAnsi="Times New Roman"/>
          <w:b/>
          <w:caps w:val="false"/>
          <w:smallCaps w:val="false"/>
          <w:sz w:val="20"/>
        </w:rPr>
        <w:t>Preferred Stock</w:t>
      </w:r>
      <w:r>
        <w:rPr>
          <w:rFonts w:ascii="Times New Roman" w:hAnsi="Times New Roman"/>
          <w:caps w:val="false"/>
          <w:smallCaps w:val="false"/>
          <w:sz w:val="20"/>
        </w:rPr>
        <w:br/>
      </w:r>
      <w:r>
        <w:rPr>
          <w:rFonts w:ascii="Times New Roman" w:hAnsi="Times New Roman"/>
          <w:b/>
          <w:caps w:val="false"/>
          <w:smallCaps w:val="false"/>
          <w:sz w:val="20"/>
        </w:rPr>
        <w:t>Debt Securities</w:t>
      </w:r>
      <w:r>
        <w:rPr>
          <w:rFonts w:ascii="Times New Roman" w:hAnsi="Times New Roman"/>
          <w:caps w:val="false"/>
          <w:smallCaps w:val="false"/>
          <w:sz w:val="20"/>
        </w:rPr>
        <w:br/>
      </w:r>
      <w:r>
        <w:rPr>
          <w:rFonts w:ascii="Times New Roman" w:hAnsi="Times New Roman"/>
          <w:b/>
          <w:caps w:val="false"/>
          <w:smallCaps w:val="false"/>
          <w:sz w:val="20"/>
        </w:rPr>
        <w:t>Warrants</w:t>
      </w:r>
      <w:r>
        <w:rPr>
          <w:rFonts w:ascii="Times New Roman" w:hAnsi="Times New Roman"/>
          <w:caps w:val="false"/>
          <w:smallCaps w:val="false"/>
          <w:sz w:val="20"/>
        </w:rPr>
        <w:br/>
      </w:r>
      <w:r>
        <w:rPr>
          <w:rFonts w:ascii="Times New Roman" w:hAnsi="Times New Roman"/>
          <w:b/>
          <w:caps w:val="false"/>
          <w:smallCaps w:val="false"/>
          <w:sz w:val="20"/>
        </w:rPr>
        <w:t>Depositary Shares</w:t>
      </w:r>
      <w:r>
        <w:rPr>
          <w:rFonts w:ascii="Times New Roman" w:hAnsi="Times New Roman"/>
          <w:caps w:val="false"/>
          <w:smallCaps w:val="false"/>
          <w:sz w:val="20"/>
        </w:rPr>
        <w:br/>
      </w:r>
      <w:r>
        <w:rPr>
          <w:rFonts w:ascii="Times New Roman" w:hAnsi="Times New Roman"/>
          <w:b/>
          <w:caps w:val="false"/>
          <w:smallCaps w:val="false"/>
          <w:sz w:val="20"/>
        </w:rPr>
        <w:t>Subscription Rights</w:t>
      </w:r>
      <w:r>
        <w:rPr>
          <w:rFonts w:ascii="Times New Roman" w:hAnsi="Times New Roman"/>
          <w:caps w:val="false"/>
          <w:smallCaps w:val="false"/>
          <w:sz w:val="20"/>
        </w:rPr>
        <w:br/>
      </w:r>
      <w:r>
        <w:rPr>
          <w:rFonts w:ascii="Times New Roman" w:hAnsi="Times New Roman"/>
          <w:b/>
          <w:caps w:val="false"/>
          <w:smallCaps w:val="false"/>
          <w:sz w:val="20"/>
        </w:rPr>
        <w:t>Stock Purchase Contracts</w:t>
      </w:r>
      <w:r>
        <w:rPr>
          <w:rFonts w:ascii="Times New Roman" w:hAnsi="Times New Roman"/>
          <w:caps w:val="false"/>
          <w:smallCaps w:val="false"/>
          <w:sz w:val="20"/>
        </w:rPr>
        <w:br/>
      </w:r>
      <w:r>
        <w:rPr>
          <w:rFonts w:ascii="Times New Roman" w:hAnsi="Times New Roman"/>
          <w:b/>
          <w:caps w:val="false"/>
          <w:smallCaps w:val="false"/>
          <w:sz w:val="20"/>
        </w:rPr>
        <w:t>Stock Purchase Units</w:t>
      </w:r>
      <w:r>
        <w:rPr>
          <w:rFonts w:ascii="Times New Roman" w:hAnsi="Times New Roman"/>
          <w:caps w:val="false"/>
          <w:smallCaps w:val="false"/>
          <w:sz w:val="20"/>
        </w:rPr>
        <w:br/>
      </w:r>
      <w:r>
        <w:rPr>
          <w:rFonts w:ascii="Times New Roman" w:hAnsi="Times New Roman"/>
          <w:b/>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Alerus Financial Corporation (“we,” “us,” “our,” or the “Company”) may offer and sell, at any time and from time to time, in one or more offerings, together or separately, any combination of the securities described in this prospectus. The aggregate initial offering price of the securities that we offer will not exceed $200,000,000.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prospectus describes some of the general terms that may apply to these securities and the general manner in which they may be offered. Each time that we offer and sell securities using this prospectus, we will provide a supplement to this prospectus that contains specific information about the securities and their terms and the manner in which we will offer them for sale. The prospectus supplement also may add or update information contained in this prospectus. This prospectus may not be used to sell securities unless accompanied by the applicable prospectus supplement. You should carefully read this prospectus and any supplement to this prospectus, as well as any documents we have incorporated into this prospectus by reference, before you invest in any of these securities. References herein to “prospectus supplement” are deemed to refer to any pricing supplement or free writing prospectus describing the specific pricing or other terms of the applicable offering that we prepare and distribute.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offer and sell these securities to or through one or more underwriters, dealers and agents, or directly to purchasers, on a continuous or delayed basis. If an offering of securities involves any underwriters, dealers or agents, we will provide the names of any such underwriters, dealers or agents used in connection with the sale of any of these securities, as well as any fees, commissions or discounts we may pay to such underwriters, dealers or agents in connection with the sale of these securities,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under the symbol “ALRS.” On August 27, 2026, the last reported sale price of our common stock was $33.24. We have not yet determined whether any of the other securities that may be offered pursuant to this prospectus will be listed on any exchange. If we decide to do so, a prospectus supplement relating to such securities will identify the exchange or market on which they will be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principal executive office is located at 401 Demers Avenue, Grand Forks, North Dakota 58201, and our telephone number at that address is (701) 795-3200.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These securities are not bank deposits and are not insured by the Federal Deposit Insurance Corporation or any other governmental agency, nor are they obligations of, or guaranteed by, a bank. This prospectus is not an offer to sell these securities, and it is not soliciting an offer to buy these securities, in any state or jurisdiction where the offer or sale is not permitted. </w:t>
      </w:r>
      <w:r>
        <w:rPr>
          <w:rFonts w:ascii="Times New Roman" w:hAnsi="Times New Roman"/>
          <w:b/>
          <w:caps w:val="false"/>
          <w:smallCaps w:val="false"/>
          <w:sz w:val="20"/>
        </w:rPr>
        <w:t xml:space="preserve">Investing in our securities involves risks. You should refer to the section entitled </w:t>
      </w:r>
      <w:r>
        <w:rPr>
          <w:rFonts w:ascii="Times New Roman" w:hAnsi="Times New Roman"/>
          <w:caps w:val="false"/>
          <w:smallCaps w:val="false"/>
          <w:sz w:val="20"/>
        </w:rPr>
        <w:t>“</w:t>
      </w:r>
      <w:r>
        <w:rPr>
          <w:rFonts w:ascii="Times New Roman" w:hAnsi="Times New Roman"/>
          <w:b/>
          <w:i/>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on page </w:t>
      </w:r>
      <w:hyperlink w:anchor="risk">
        <w:r>
          <w:rPr>
            <w:rStyle w:val="InternetLink"/>
            <w:rFonts w:ascii="Times New Roman" w:hAnsi="Times New Roman"/>
            <w:b/>
            <w:caps w:val="false"/>
            <w:smallCaps w:val="false"/>
            <w:sz w:val="20"/>
          </w:rPr>
          <w:t>3</w:t>
        </w:r>
      </w:hyperlink>
      <w:r>
        <w:rPr>
          <w:rFonts w:ascii="Times New Roman" w:hAnsi="Times New Roman"/>
          <w:b/>
          <w:caps w:val="false"/>
          <w:smallCaps w:val="false"/>
          <w:sz w:val="20"/>
        </w:rPr>
        <w:t> of this prospectus, as well as the risk factors included in the applicable prospectus supplement and certain of our periodic reports and other information that we file with the Securities and Exchange Commission, and carefully consider that information before buying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This prospectus is dated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5375"/>
        <w:gridCol w:w="230"/>
      </w:tblGrid>
      <w:tr>
        <w:trPr/>
        <w:tc>
          <w:tcPr>
            <w:tcW w:w="5375" w:type="dxa"/>
            <w:tcBorders/>
            <w:vAlign w:val="center"/>
          </w:tcPr>
          <w:p>
            <w:pPr>
              <w:pStyle w:val="TableContents"/>
              <w:bidi w:val="0"/>
              <w:spacing w:before="0" w:after="0"/>
              <w:ind w:left="0" w:right="0" w:hanging="0"/>
              <w:jc w:val="left"/>
              <w:rPr/>
            </w:pPr>
            <w:hyperlink w:anchor="about">
              <w:r>
                <w:rPr>
                  <w:rStyle w:val="InternetLink"/>
                  <w:rFonts w:ascii="Times New Roman" w:hAnsi="Times New Roman"/>
                  <w:caps w:val="false"/>
                  <w:smallCaps w:val="false"/>
                  <w:sz w:val="20"/>
                </w:rPr>
                <w:t>About this Prospectus</w:t>
              </w:r>
            </w:hyperlink>
          </w:p>
        </w:tc>
        <w:tc>
          <w:tcPr>
            <w:tcW w:w="230" w:type="dxa"/>
            <w:tcBorders/>
            <w:vAlign w:val="center"/>
          </w:tcPr>
          <w:p>
            <w:pPr>
              <w:pStyle w:val="TableContents"/>
              <w:bidi w:val="0"/>
              <w:spacing w:before="0" w:after="0"/>
              <w:ind w:left="0" w:right="0" w:hanging="0"/>
              <w:jc w:val="right"/>
              <w:rPr/>
            </w:pPr>
            <w:hyperlink w:anchor="about">
              <w:r>
                <w:rPr>
                  <w:rStyle w:val="InternetLink"/>
                  <w:rFonts w:ascii="Times New Roman" w:hAnsi="Times New Roman"/>
                  <w:caps w:val="false"/>
                  <w:smallCaps w:val="false"/>
                  <w:sz w:val="20"/>
                </w:rPr>
                <w:t>1</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special">
              <w:r>
                <w:rPr>
                  <w:rStyle w:val="InternetLink"/>
                  <w:rFonts w:ascii="Times New Roman" w:hAnsi="Times New Roman"/>
                  <w:caps w:val="false"/>
                  <w:smallCaps w:val="false"/>
                  <w:sz w:val="20"/>
                </w:rPr>
                <w:t>Special Note Regarding Forward-Looking Statements</w:t>
              </w:r>
            </w:hyperlink>
          </w:p>
        </w:tc>
        <w:tc>
          <w:tcPr>
            <w:tcW w:w="230" w:type="dxa"/>
            <w:tcBorders/>
            <w:vAlign w:val="center"/>
          </w:tcPr>
          <w:p>
            <w:pPr>
              <w:pStyle w:val="TableContents"/>
              <w:bidi w:val="0"/>
              <w:spacing w:before="0" w:after="0"/>
              <w:ind w:left="0" w:right="0" w:hanging="0"/>
              <w:jc w:val="right"/>
              <w:rPr/>
            </w:pPr>
            <w:hyperlink w:anchor="special">
              <w:r>
                <w:rPr>
                  <w:rStyle w:val="InternetLink"/>
                  <w:rFonts w:ascii="Times New Roman" w:hAnsi="Times New Roman"/>
                  <w:caps w:val="false"/>
                  <w:smallCaps w:val="false"/>
                  <w:sz w:val="20"/>
                </w:rPr>
                <w:t>1</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23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alerus">
              <w:r>
                <w:rPr>
                  <w:rStyle w:val="InternetLink"/>
                  <w:rFonts w:ascii="Times New Roman" w:hAnsi="Times New Roman"/>
                  <w:caps w:val="false"/>
                  <w:smallCaps w:val="false"/>
                  <w:sz w:val="20"/>
                </w:rPr>
                <w:t>Alerus Financial Corporation</w:t>
              </w:r>
            </w:hyperlink>
          </w:p>
        </w:tc>
        <w:tc>
          <w:tcPr>
            <w:tcW w:w="230" w:type="dxa"/>
            <w:tcBorders/>
            <w:vAlign w:val="center"/>
          </w:tcPr>
          <w:p>
            <w:pPr>
              <w:pStyle w:val="TableContents"/>
              <w:bidi w:val="0"/>
              <w:spacing w:before="0" w:after="0"/>
              <w:ind w:left="0" w:right="0" w:hanging="0"/>
              <w:jc w:val="right"/>
              <w:rPr/>
            </w:pPr>
            <w:hyperlink w:anchor="alerus">
              <w:r>
                <w:rPr>
                  <w:rStyle w:val="InternetLink"/>
                  <w:rFonts w:ascii="Times New Roman" w:hAnsi="Times New Roman"/>
                  <w:caps w:val="false"/>
                  <w:smallCaps w:val="false"/>
                  <w:sz w:val="20"/>
                </w:rPr>
                <w:t>4</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useof">
              <w:r>
                <w:rPr>
                  <w:rStyle w:val="InternetLink"/>
                  <w:rFonts w:ascii="Times New Roman" w:hAnsi="Times New Roman"/>
                  <w:caps w:val="false"/>
                  <w:smallCaps w:val="false"/>
                  <w:sz w:val="20"/>
                </w:rPr>
                <w:t>Use of Proceeds</w:t>
              </w:r>
            </w:hyperlink>
          </w:p>
        </w:tc>
        <w:tc>
          <w:tcPr>
            <w:tcW w:w="230" w:type="dxa"/>
            <w:tcBorders/>
            <w:vAlign w:val="center"/>
          </w:tcPr>
          <w:p>
            <w:pPr>
              <w:pStyle w:val="TableContents"/>
              <w:bidi w:val="0"/>
              <w:spacing w:before="0" w:after="0"/>
              <w:ind w:left="0" w:right="0" w:hanging="0"/>
              <w:jc w:val="right"/>
              <w:rPr/>
            </w:pPr>
            <w:hyperlink w:anchor="useof">
              <w:r>
                <w:rPr>
                  <w:rStyle w:val="InternetLink"/>
                  <w:rFonts w:ascii="Times New Roman" w:hAnsi="Times New Roman"/>
                  <w:caps w:val="false"/>
                  <w:smallCaps w:val="false"/>
                  <w:sz w:val="20"/>
                </w:rPr>
                <w:t>4</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dessec">
              <w:r>
                <w:rPr>
                  <w:rStyle w:val="InternetLink"/>
                  <w:rFonts w:ascii="Times New Roman" w:hAnsi="Times New Roman"/>
                  <w:caps w:val="false"/>
                  <w:smallCaps w:val="false"/>
                  <w:sz w:val="20"/>
                </w:rPr>
                <w:t>Description of Securities We May Offer</w:t>
              </w:r>
            </w:hyperlink>
          </w:p>
        </w:tc>
        <w:tc>
          <w:tcPr>
            <w:tcW w:w="230" w:type="dxa"/>
            <w:tcBorders/>
            <w:vAlign w:val="center"/>
          </w:tcPr>
          <w:p>
            <w:pPr>
              <w:pStyle w:val="TableContents"/>
              <w:bidi w:val="0"/>
              <w:spacing w:before="0" w:after="0"/>
              <w:ind w:left="0" w:right="0" w:hanging="0"/>
              <w:jc w:val="right"/>
              <w:rPr/>
            </w:pPr>
            <w:hyperlink w:anchor="dessec">
              <w:r>
                <w:rPr>
                  <w:rStyle w:val="InternetLink"/>
                  <w:rFonts w:ascii="Times New Roman" w:hAnsi="Times New Roman"/>
                  <w:caps w:val="false"/>
                  <w:smallCaps w:val="false"/>
                  <w:sz w:val="20"/>
                </w:rPr>
                <w:t>5</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dcap">
              <w:r>
                <w:rPr>
                  <w:rStyle w:val="InternetLink"/>
                  <w:rFonts w:ascii="Times New Roman" w:hAnsi="Times New Roman"/>
                  <w:caps w:val="false"/>
                  <w:smallCaps w:val="false"/>
                  <w:sz w:val="20"/>
                </w:rPr>
                <w:t>Description of Capital Stock</w:t>
              </w:r>
            </w:hyperlink>
          </w:p>
        </w:tc>
        <w:tc>
          <w:tcPr>
            <w:tcW w:w="230" w:type="dxa"/>
            <w:tcBorders/>
            <w:vAlign w:val="center"/>
          </w:tcPr>
          <w:p>
            <w:pPr>
              <w:pStyle w:val="TableContents"/>
              <w:bidi w:val="0"/>
              <w:spacing w:before="0" w:after="0"/>
              <w:ind w:left="0" w:right="0" w:hanging="0"/>
              <w:jc w:val="right"/>
              <w:rPr/>
            </w:pPr>
            <w:hyperlink w:anchor="dcap">
              <w:r>
                <w:rPr>
                  <w:rStyle w:val="InternetLink"/>
                  <w:rFonts w:ascii="Times New Roman" w:hAnsi="Times New Roman"/>
                  <w:caps w:val="false"/>
                  <w:smallCaps w:val="false"/>
                  <w:sz w:val="20"/>
                </w:rPr>
                <w:t>5</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ddebt">
              <w:r>
                <w:rPr>
                  <w:rStyle w:val="InternetLink"/>
                  <w:rFonts w:ascii="Times New Roman" w:hAnsi="Times New Roman"/>
                  <w:caps w:val="false"/>
                  <w:smallCaps w:val="false"/>
                  <w:sz w:val="20"/>
                </w:rPr>
                <w:t>Description of Debt Securities</w:t>
              </w:r>
            </w:hyperlink>
          </w:p>
        </w:tc>
        <w:tc>
          <w:tcPr>
            <w:tcW w:w="230" w:type="dxa"/>
            <w:tcBorders/>
            <w:vAlign w:val="center"/>
          </w:tcPr>
          <w:p>
            <w:pPr>
              <w:pStyle w:val="TableContents"/>
              <w:bidi w:val="0"/>
              <w:spacing w:before="0" w:after="0"/>
              <w:ind w:left="0" w:right="0" w:hanging="0"/>
              <w:jc w:val="right"/>
              <w:rPr/>
            </w:pPr>
            <w:hyperlink w:anchor="ddebt">
              <w:r>
                <w:rPr>
                  <w:rStyle w:val="InternetLink"/>
                  <w:rFonts w:ascii="Times New Roman" w:hAnsi="Times New Roman"/>
                  <w:caps w:val="false"/>
                  <w:smallCaps w:val="false"/>
                  <w:sz w:val="20"/>
                </w:rPr>
                <w:t>10</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dwarr">
              <w:r>
                <w:rPr>
                  <w:rStyle w:val="InternetLink"/>
                  <w:rFonts w:ascii="Times New Roman" w:hAnsi="Times New Roman"/>
                  <w:caps w:val="false"/>
                  <w:smallCaps w:val="false"/>
                  <w:sz w:val="20"/>
                </w:rPr>
                <w:t>Description of Warrants</w:t>
              </w:r>
            </w:hyperlink>
          </w:p>
        </w:tc>
        <w:tc>
          <w:tcPr>
            <w:tcW w:w="230" w:type="dxa"/>
            <w:tcBorders/>
            <w:vAlign w:val="center"/>
          </w:tcPr>
          <w:p>
            <w:pPr>
              <w:pStyle w:val="TableContents"/>
              <w:bidi w:val="0"/>
              <w:spacing w:before="0" w:after="0"/>
              <w:ind w:left="0" w:right="0" w:hanging="0"/>
              <w:jc w:val="right"/>
              <w:rPr/>
            </w:pPr>
            <w:hyperlink w:anchor="dwarr">
              <w:r>
                <w:rPr>
                  <w:rStyle w:val="InternetLink"/>
                  <w:rFonts w:ascii="Times New Roman" w:hAnsi="Times New Roman"/>
                  <w:caps w:val="false"/>
                  <w:smallCaps w:val="false"/>
                  <w:sz w:val="20"/>
                </w:rPr>
                <w:t>17</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ddep">
              <w:r>
                <w:rPr>
                  <w:rStyle w:val="InternetLink"/>
                  <w:rFonts w:ascii="Times New Roman" w:hAnsi="Times New Roman"/>
                  <w:caps w:val="false"/>
                  <w:smallCaps w:val="false"/>
                  <w:sz w:val="20"/>
                </w:rPr>
                <w:t>Description of Depositary Shares</w:t>
              </w:r>
            </w:hyperlink>
          </w:p>
        </w:tc>
        <w:tc>
          <w:tcPr>
            <w:tcW w:w="230" w:type="dxa"/>
            <w:tcBorders/>
            <w:vAlign w:val="center"/>
          </w:tcPr>
          <w:p>
            <w:pPr>
              <w:pStyle w:val="TableContents"/>
              <w:bidi w:val="0"/>
              <w:spacing w:before="0" w:after="0"/>
              <w:ind w:left="0" w:right="0" w:hanging="0"/>
              <w:jc w:val="right"/>
              <w:rPr/>
            </w:pPr>
            <w:hyperlink w:anchor="ddep">
              <w:r>
                <w:rPr>
                  <w:rStyle w:val="InternetLink"/>
                  <w:rFonts w:ascii="Times New Roman" w:hAnsi="Times New Roman"/>
                  <w:caps w:val="false"/>
                  <w:smallCaps w:val="false"/>
                  <w:sz w:val="20"/>
                </w:rPr>
                <w:t>18</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dsub">
              <w:r>
                <w:rPr>
                  <w:rStyle w:val="InternetLink"/>
                  <w:rFonts w:ascii="Times New Roman" w:hAnsi="Times New Roman"/>
                  <w:caps w:val="false"/>
                  <w:smallCaps w:val="false"/>
                  <w:sz w:val="20"/>
                </w:rPr>
                <w:t>Description of Subscription Rights</w:t>
              </w:r>
            </w:hyperlink>
          </w:p>
        </w:tc>
        <w:tc>
          <w:tcPr>
            <w:tcW w:w="230" w:type="dxa"/>
            <w:tcBorders/>
            <w:vAlign w:val="center"/>
          </w:tcPr>
          <w:p>
            <w:pPr>
              <w:pStyle w:val="TableContents"/>
              <w:bidi w:val="0"/>
              <w:spacing w:before="0" w:after="0"/>
              <w:ind w:left="0" w:right="0" w:hanging="0"/>
              <w:jc w:val="right"/>
              <w:rPr/>
            </w:pPr>
            <w:hyperlink w:anchor="dsub">
              <w:r>
                <w:rPr>
                  <w:rStyle w:val="InternetLink"/>
                  <w:rFonts w:ascii="Times New Roman" w:hAnsi="Times New Roman"/>
                  <w:caps w:val="false"/>
                  <w:smallCaps w:val="false"/>
                  <w:sz w:val="20"/>
                </w:rPr>
                <w:t>20</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dstock">
              <w:r>
                <w:rPr>
                  <w:rStyle w:val="InternetLink"/>
                  <w:rFonts w:ascii="Times New Roman" w:hAnsi="Times New Roman"/>
                  <w:caps w:val="false"/>
                  <w:smallCaps w:val="false"/>
                  <w:sz w:val="20"/>
                </w:rPr>
                <w:t>Description of Stock Purchase Contracts and Stock Purchase Units</w:t>
              </w:r>
            </w:hyperlink>
          </w:p>
        </w:tc>
        <w:tc>
          <w:tcPr>
            <w:tcW w:w="230" w:type="dxa"/>
            <w:tcBorders/>
            <w:vAlign w:val="center"/>
          </w:tcPr>
          <w:p>
            <w:pPr>
              <w:pStyle w:val="TableContents"/>
              <w:bidi w:val="0"/>
              <w:spacing w:before="0" w:after="0"/>
              <w:ind w:left="0" w:right="0" w:hanging="0"/>
              <w:jc w:val="right"/>
              <w:rPr/>
            </w:pPr>
            <w:hyperlink w:anchor="dstock">
              <w:r>
                <w:rPr>
                  <w:rStyle w:val="InternetLink"/>
                  <w:rFonts w:ascii="Times New Roman" w:hAnsi="Times New Roman"/>
                  <w:caps w:val="false"/>
                  <w:smallCaps w:val="false"/>
                  <w:sz w:val="20"/>
                </w:rPr>
                <w:t>21</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dunit">
              <w:r>
                <w:rPr>
                  <w:rStyle w:val="InternetLink"/>
                  <w:rFonts w:ascii="Times New Roman" w:hAnsi="Times New Roman"/>
                  <w:caps w:val="false"/>
                  <w:smallCaps w:val="false"/>
                  <w:sz w:val="20"/>
                </w:rPr>
                <w:t>Description of Units</w:t>
              </w:r>
            </w:hyperlink>
          </w:p>
        </w:tc>
        <w:tc>
          <w:tcPr>
            <w:tcW w:w="230" w:type="dxa"/>
            <w:tcBorders/>
            <w:vAlign w:val="center"/>
          </w:tcPr>
          <w:p>
            <w:pPr>
              <w:pStyle w:val="TableContents"/>
              <w:bidi w:val="0"/>
              <w:spacing w:before="0" w:after="0"/>
              <w:ind w:left="0" w:right="0" w:hanging="0"/>
              <w:jc w:val="right"/>
              <w:rPr/>
            </w:pPr>
            <w:hyperlink w:anchor="dunit">
              <w:r>
                <w:rPr>
                  <w:rStyle w:val="InternetLink"/>
                  <w:rFonts w:ascii="Times New Roman" w:hAnsi="Times New Roman"/>
                  <w:caps w:val="false"/>
                  <w:smallCaps w:val="false"/>
                  <w:sz w:val="20"/>
                </w:rPr>
                <w:t>21</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plan">
              <w:r>
                <w:rPr>
                  <w:rStyle w:val="InternetLink"/>
                  <w:rFonts w:ascii="Times New Roman" w:hAnsi="Times New Roman"/>
                  <w:caps w:val="false"/>
                  <w:smallCaps w:val="false"/>
                  <w:sz w:val="20"/>
                </w:rPr>
                <w:t>Plan of Distribution</w:t>
              </w:r>
            </w:hyperlink>
          </w:p>
        </w:tc>
        <w:tc>
          <w:tcPr>
            <w:tcW w:w="230" w:type="dxa"/>
            <w:tcBorders/>
            <w:vAlign w:val="center"/>
          </w:tcPr>
          <w:p>
            <w:pPr>
              <w:pStyle w:val="TableContents"/>
              <w:bidi w:val="0"/>
              <w:spacing w:before="0" w:after="0"/>
              <w:ind w:left="0" w:right="0" w:hanging="0"/>
              <w:jc w:val="right"/>
              <w:rPr/>
            </w:pPr>
            <w:hyperlink w:anchor="plan">
              <w:r>
                <w:rPr>
                  <w:rStyle w:val="InternetLink"/>
                  <w:rFonts w:ascii="Times New Roman" w:hAnsi="Times New Roman"/>
                  <w:caps w:val="false"/>
                  <w:smallCaps w:val="false"/>
                  <w:sz w:val="20"/>
                </w:rPr>
                <w:t>21</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Matters</w:t>
              </w:r>
            </w:hyperlink>
          </w:p>
        </w:tc>
        <w:tc>
          <w:tcPr>
            <w:tcW w:w="23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23</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exp">
              <w:r>
                <w:rPr>
                  <w:rStyle w:val="InternetLink"/>
                  <w:rFonts w:ascii="Times New Roman" w:hAnsi="Times New Roman"/>
                  <w:caps w:val="false"/>
                  <w:smallCaps w:val="false"/>
                  <w:sz w:val="20"/>
                </w:rPr>
                <w:t>Experts</w:t>
              </w:r>
            </w:hyperlink>
          </w:p>
        </w:tc>
        <w:tc>
          <w:tcPr>
            <w:tcW w:w="230" w:type="dxa"/>
            <w:tcBorders/>
            <w:vAlign w:val="center"/>
          </w:tcPr>
          <w:p>
            <w:pPr>
              <w:pStyle w:val="TableContents"/>
              <w:bidi w:val="0"/>
              <w:spacing w:before="0" w:after="0"/>
              <w:ind w:left="0" w:right="0" w:hanging="0"/>
              <w:jc w:val="right"/>
              <w:rPr/>
            </w:pPr>
            <w:hyperlink w:anchor="exp">
              <w:r>
                <w:rPr>
                  <w:rStyle w:val="InternetLink"/>
                  <w:rFonts w:ascii="Times New Roman" w:hAnsi="Times New Roman"/>
                  <w:caps w:val="false"/>
                  <w:smallCaps w:val="false"/>
                  <w:sz w:val="20"/>
                </w:rPr>
                <w:t>23</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where">
              <w:r>
                <w:rPr>
                  <w:rStyle w:val="InternetLink"/>
                  <w:rFonts w:ascii="Times New Roman" w:hAnsi="Times New Roman"/>
                  <w:caps w:val="false"/>
                  <w:smallCaps w:val="false"/>
                  <w:sz w:val="20"/>
                </w:rPr>
                <w:t>Where You Can Find More Information</w:t>
              </w:r>
            </w:hyperlink>
          </w:p>
        </w:tc>
        <w:tc>
          <w:tcPr>
            <w:tcW w:w="230" w:type="dxa"/>
            <w:tcBorders/>
            <w:vAlign w:val="center"/>
          </w:tcPr>
          <w:p>
            <w:pPr>
              <w:pStyle w:val="TableContents"/>
              <w:bidi w:val="0"/>
              <w:spacing w:before="0" w:after="0"/>
              <w:ind w:left="0" w:right="0" w:hanging="0"/>
              <w:jc w:val="right"/>
              <w:rPr/>
            </w:pPr>
            <w:hyperlink w:anchor="where">
              <w:r>
                <w:rPr>
                  <w:rStyle w:val="InternetLink"/>
                  <w:rFonts w:ascii="Times New Roman" w:hAnsi="Times New Roman"/>
                  <w:caps w:val="false"/>
                  <w:smallCaps w:val="false"/>
                  <w:sz w:val="20"/>
                </w:rPr>
                <w:t>23</w:t>
              </w:r>
            </w:hyperlink>
          </w:p>
        </w:tc>
      </w:tr>
      <w:tr>
        <w:trPr/>
        <w:tc>
          <w:tcPr>
            <w:tcW w:w="53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0"/>
              <w:ind w:left="0" w:right="0" w:hanging="0"/>
              <w:jc w:val="left"/>
              <w:rPr/>
            </w:pPr>
            <w:hyperlink w:anchor="incorp">
              <w:r>
                <w:rPr>
                  <w:rStyle w:val="InternetLink"/>
                  <w:rFonts w:ascii="Times New Roman" w:hAnsi="Times New Roman"/>
                  <w:caps w:val="false"/>
                  <w:smallCaps w:val="false"/>
                  <w:sz w:val="20"/>
                </w:rPr>
                <w:t>Incorporation of Certain Information by Reference</w:t>
              </w:r>
            </w:hyperlink>
          </w:p>
        </w:tc>
        <w:tc>
          <w:tcPr>
            <w:tcW w:w="230" w:type="dxa"/>
            <w:tcBorders/>
            <w:vAlign w:val="center"/>
          </w:tcPr>
          <w:p>
            <w:pPr>
              <w:pStyle w:val="TableContents"/>
              <w:bidi w:val="0"/>
              <w:spacing w:before="0" w:after="0"/>
              <w:ind w:left="0" w:right="0" w:hanging="0"/>
              <w:jc w:val="right"/>
              <w:rPr/>
            </w:pPr>
            <w:hyperlink w:anchor="incorp">
              <w:r>
                <w:rPr>
                  <w:rStyle w:val="InternetLink"/>
                  <w:rFonts w:ascii="Times New Roman" w:hAnsi="Times New Roman"/>
                  <w:caps w:val="false"/>
                  <w:smallCaps w:val="false"/>
                  <w:sz w:val="20"/>
                </w:rPr>
                <w:t>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about"/>
      <w:bookmarkEnd w:id="3"/>
      <w:r>
        <w:rPr>
          <w:rFonts w:ascii="Times New Roman" w:hAnsi="Times New Roman"/>
          <w:b/>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that we filed with the Securities and Exchange Commission (the “SEC”) using a shelf registration process. Under the shelf registration rules, we may sell from time to time, in one or more offerings, on a continuous or delayed basis, any combination of the securities described in this prospectus for an aggregate offering price of up to $200,000,000. The registration statement that contains this prospectus (including the exhibits to the registration statement) contains additional information about us and the securities we are offering under this prospectus. You can read that registration statement at the SEC website at http://www.sec.gov or at the SEC office mentioned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prospectus provides you with a general description of the securities we may offer. Each time we sell any of these securities, we will provide one or more prospectus supplements that will contain specific information about the terms of that offering. Such prospectus supplement may also add, update or change information contained or incorporated by reference in this prospectus. If there is any inconsistency between the information in this prospectus and the applicable prospectus supplement, you should rely on the information in the prospectus supplement. You should read this prospectus (including the documents incorporated by reference) and the applicable prospectus supplement together with the additional information referred to under the heading “Where You Can Find More Information” before you invest.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 should rely only on the information contained or incorporated by reference in this prospectus and in any supplement to this prospectus. We have not authorized anyone to provide you with different or additional information. We are not making an offer to sell or soliciting an offer to buy these securities in any jurisdiction in which the offer or solicitation is not authorized or in which the person making the offer or solicitation is not qualified to do so or to anyone to whom it is unlawful to make the offer or solicitation. You should assume that the information contained or incorporated by reference in this prospectus or any prospectus supplement is accurate as of its date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of the securities described in this prospectus and in a prospectus supplement may be convertible or exchangeable into, or exercisable for, other securities that are described in this prospectus or will be described in a prospectus supplement, and may be issued separately, together or as part of a unit consisting of two or more securities, which may or may not be separate from one another. The securities offered hereby may include new or hybrid securities developed in the future that combine features of any of the securities described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special"/>
      <w:bookmarkEnd w:id="4"/>
      <w:r>
        <w:rPr>
          <w:rFonts w:ascii="Times New Roman" w:hAnsi="Times New Roman"/>
          <w:b/>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prospectus contains “forward-looking statements” within the meaning of Section 27A of the Securities Act of 1933, as amended, and Section 21E of the Securities Exchange Act of 1934, as amended. The Company intends such forward-looking statements to be covered by the safe harbor provisions of the U.S. Private Securities Litigation Reform Act of 1995. Forward-looking statements include, without limitation, statements concerning plans, estimates, calculations, forecasts and projections with respect to the anticipated future performance of the Company. These statements are often, but not always, identified by words such as “may”, “might”, “should”, “could”, “predict”, “potential”, “believe”, “expect”, “continue”, “will”, “anticipate”, “seek”, “estimate”, “intend”, “plan”, “projection”, “would”, “annualized”, “target” and “outlook”, or the negative version of those words or other comparable words of a future or forward-looking nature. Examples of forward-looking statements include, among others, statements we make regarding our projected growth, anticipated future financial performance, financial condition, credit quality, management’s long-term performance goals, and the future plans and prospects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Forward-looking statements are neither historical facts nor assurances of future performance. Instead, they are based only on our current beliefs, expectations and assumptions regarding our business, future plans and strategies, projections, anticipated events and trends, the economy and other future conditions. Because forward-looking statements relate to the future, they are subject to inherent known and unknown uncertainties, risks, changes in circumstances and other factors that are difficult to predict and many of which are outside of our control. Our actual results and financial condition may differ materially from those indicated in forward-looking statements. Therefore, you should not rely on any of these forward-looking statements. Important factors that could cause our actual results and financial condition to differ materially from those indicated in forward-looking statements include, among others,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strength of the local, state, national and international economies and financial markets (including effects of inflationary pressures and future monetary policies of the Federal Reserve and executive orders in response thereto);</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risk, including the effects of changes in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effects on the U.S. economy resulting from actions taken by the federal government, including the threat or implementation of tariffs, immigration enforcement, executive orders, and changes in foreign policy;</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170"/>
        <w:gridCol w:w="7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disruptions to the global supply chain, including as a result of domestic or foreign policies;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successfully manage credit risk, including in the commercial real estate (“CRE”) portfolio, and maintain an adequate level of allowance for credit losses;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business and economic conditions generally and in the financial services industry, nationally and within the Company’s market areas, including the level and impact of inflation rates and possible recession;</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raise additional capital to implement its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credit risks and risks from concentrations (including by type of borrower, geographic area, collateral, and industry) within the Company’s loan portfolio;</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170"/>
        <w:gridCol w:w="6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concentration of large loans to certain borrowers (including CRE loans);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level of nonperforming assets on the Company’s balance sheet;</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60"/>
        <w:gridCol w:w="170"/>
        <w:gridCol w:w="6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implement organic and acquisition growth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commencement, cost, and outcome of litigation and other legal proceedings and regulatory actions against the Company or to which the Company may become subject, including with respect to pending actions relating to the Company’s previous employee stock ownership fiduciary services commenced by government and private parties;</w:t>
            </w:r>
          </w:p>
        </w:tc>
      </w:tr>
    </w:tbl>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60"/>
        <w:gridCol w:w="170"/>
        <w:gridCol w:w="6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 of economic or market conditions on the Company’s fee-based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continue to grow the retirement and benefit services business; the Company’s ability to continue to originate a sufficient volume of residential mortgages;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occurrence of fraudulent activity, breaches or failures of the Company’s or its third-party vendors’ information security controls or cybersecurity-related incidents, including as a result of sophisticated attacks using artificial intelligence and similar tools or as a result of insider fraud;</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60"/>
        <w:gridCol w:w="170"/>
        <w:gridCol w:w="9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interruptions involving the Company’s information technology and telecommunications systems or third-party servicers;</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losses incurred in connection with mortgage loan repurchases;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composition of the Company’s executive management team and the Company’s ability to attract and retain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rapid and expensive technological changes implemented by the Company and other parties in the financial services industry, including third-party vendors, which may be more difficult to implement or more expensive than anticipated or which may have unforeseen consequences to us and our customers, including the development and implementation of tools incorporating artificial intelligence;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issues related to the development and use of artificial intelligence that could give rise to legal or regulatory action, damage our reputation, or otherwise materially harm our business or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competition in the financial services industry, including from non-banks such as credit unions, financial technology companies and digital asset service providers;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ability to successfully manage liquidity risk, including the Company’s need to access higher cost sources of funds such as fed funds purchased and short-term borrowings;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concentration of large deposits from certain clients, including those who have balances above current Federal Deposit Insurance Corporation (“FDIC”) insurance limits;</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170"/>
        <w:gridCol w:w="5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effectiveness of the Company’s risk management framework;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impairment to the goodwill the Company recorded in connection with the Company’s past acquisitions, including the acquisitions of Metro Phoenix Bank and HMN Financial, Inc.;</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extensive regulatory framework that applies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60"/>
        <w:gridCol w:w="170"/>
        <w:gridCol w:w="9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ability of the Bank to pay dividends to the Company, and the Company’s ability to pay dividends to its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or revised accounting standards, as may be adopted by state and federal regulatory agencies, the Financial Accounting Standards Board, the SEC or the Public Company Accounting Oversight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the values of the securities held in the Company’s securities portfolio, including as a result of changes in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
        <w:gridCol w:w="170"/>
        <w:gridCol w:w="4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governmental monetary, trade and fiscal policies;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60"/>
        <w:gridCol w:w="170"/>
        <w:gridCol w:w="9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risks related to climate change and the negative impact it may have on the Company’s customers and their businesses;</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severe weather and natural disasters, and widespread disease or pandemics;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acts of war, military conflicts, or terrorism, including the wars in Iran and Ukraine, ongoing conflicts in the Middle East, and other international military conflicts, or adverse external events and changes in foreign relations that can increase levels of political and economic unpredictability, contribute to rising energy and commodity prices, affect global supply chains, increase the volatility of financial markets, and other matters beyond our control;</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170"/>
        <w:gridCol w:w="6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material weaknesses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60"/>
        <w:gridCol w:w="170"/>
        <w:gridCol w:w="8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success at managing and responding to the risks involved in the foregoing items;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the factors and risks identified in the “Risk Factors” sections of the reports filed by Alerus Financial Corporation with the Securities and Exchange Commission and in the “Risk Factors” sections of this prospectus and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forward-looking statements. You should not rely upon forward-looking statements as predictions of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believe that the expectations reflected in forward-looking statements are reasonable, we cannot guarantee future results, levels of activity, performance or achievements. Forward-looking statements are made only as of the date of this report, and the Company undertakes no obligation to update any forward-looking statements contained in this report to reflect new information or events or conditions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risk"/>
      <w:bookmarkEnd w:id="5"/>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 investment in our securities involves a high degree of risk. Before making an investment decision, you should carefully read and consider the risk factors incorporated by reference in this prospectus, as well as those contained in any applicable prospectus supplement, as the same may be updated from time to time by our future filings with the SEC. You should also refer to other information contained or incorporated by reference in this prospectus and any applicable prospectus supplement, including our financial statements and the related notes incorporated by reference herein. Our business, financial condition, results of operations or growth prospects could be materially adversely affected by any of these risks. The trading price of our securities could decline due to any of these risks, and you may lose all or part of your investment. This prospectus and documents incorporated by reference in this prospectus also contain forward-looking statements that involve risks and uncertainties. Our actual results could differ materially from those anticipated in these forward-looking statements as a result of certain factors, including the risks faced by us. Additional risks and uncertainties not known to us or that we deem immaterial may also materially and adversely affect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 w:name="alerus"/>
      <w:bookmarkEnd w:id="6"/>
      <w:r>
        <w:rPr>
          <w:rFonts w:ascii="Times New Roman" w:hAnsi="Times New Roman"/>
          <w:b/>
          <w:caps w:val="false"/>
          <w:smallCaps w:val="false"/>
          <w:sz w:val="20"/>
        </w:rPr>
        <w:t>Alerus Financial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diversified financial services company headquartered in Grand Forks, North Dakota. Through our subsidiary, Alerus Financial, National Association (the “Bank”), we provide innovative and comprehensive financial solutions to businesses and consumers through three distinct business segments—banking, retirement and benefit services and wealth advisory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we had $5.3 billion of total assets, $4.0 billion of total loans, $4.2 billion of total deposits, $583.1 million of stockholders’ equity, $45.2 billion of assets under administration/management in our retirement and benefit services segment, and $5.2 billion of assets under administration/management in our wealth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model produces strong financial performance and a diversified revenue stream, which has helped us establish a brand and culture yielding both a loyal client base and passionate and dedicated employees. We believe our client-first and advice-based philosophy, diversified business model and history of high performance and growth distinguishes us from other financial service providers. We generate our revenues from both net interest income and noninterest income. Net interest income is derived from offering our traditional banking products and services. Noninterest income is driven primarily by our retirement and benefit services and wealth 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principal executive office is located at 401 Demers Avenue, Grand Forks, North Dakota 58201, and our telephone number at that address is (701) 795</w:t>
        <w:noBreakHyphen/>
        <w:t>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 information about us is included in our filings with the SEC, which are incorporated by reference into this prospectus. See “Where You Can Find More Information” and “Incorporation of Certain Information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useof"/>
      <w:bookmarkEnd w:id="7"/>
      <w:r>
        <w:rPr>
          <w:rFonts w:ascii="Times New Roman" w:hAnsi="Times New Roman"/>
          <w:b/>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the applicable prospectus supplement states otherwise, we will use the net proceeds we receive from the sale of the securities offered hereby for general corporate purposes, which may include, among other things, investments in or advances to our subsidiaries, working capital, capital expenditures, stock repurchases, debt repayment or the financing of possible acquisitions. The applicable prospectus supplement relating to a particular offering of securities by us will identify the particular use of proceeds for that offering. Until we use the net proceeds from an offering, we may place the net proceeds in temporary investments or hold the net proceeds in deposit accounts at the Bank or another depository institution.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dessec"/>
      <w:bookmarkEnd w:id="8"/>
      <w:r>
        <w:rPr>
          <w:rFonts w:ascii="Times New Roman" w:hAnsi="Times New Roman"/>
          <w:b/>
          <w:caps w:val="false"/>
          <w:smallCaps w:val="false"/>
          <w:sz w:val="20"/>
        </w:rPr>
        <w:t>Description of Securities We May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prospectus contains summary descriptions of the common stock, preferred stock, debt securities, warrants, depositary shares, subscription rights, stock purchase contracts, stock purchase units and units that we may offer and sell from time to time. When one or more of these securities are offered in the future, a prospectus supplement will explain the particular terms of the securities and the extent to which these general provisions may apply. These summary descriptions and any summary descriptions in the applicable prospectus supplement do not purport to be complete descriptions of the terms and conditions of each security and are qualified in their entirety by reference to our Third Amended and Restated Certificate of Incorporation, as amended (the “Certificate of Incorporation”), our Second Amended and Restated Bylaws (the “Bylaws”), the Delaware General Corporation Law (the “DGCL”), and any other documents referenced in such summary descriptions and from which such summary descriptions are derived. If any particular terms of a security described in the applicable prospectus supplement differ from any of the terms described in this prospectus, then the terms described in this prospectus will be deemed superseded by the terms set forth in that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issue securities in book-entry form through one or more depositaries, such as The Depository Trust Company, Euroclear or Clearstream, named in the applicable prospectus supplement. Each sale of a security in book-entry form will settle in immediately available funds through the applicable depositary, unless otherwise stated. We will issue the securities in registered form, without coupons, although we may issue the securities in bearer form if so specified in the applicable prospectus supplement. If any securities are to be listed or quoted on a securities exchange or quotation system, the applicable prospectus supplement will say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dcap"/>
      <w:bookmarkEnd w:id="9"/>
      <w:r>
        <w:rPr>
          <w:rFonts w:ascii="Times New Roman" w:hAnsi="Times New Roman"/>
          <w:b/>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summary of the material terms, limitations, voting powers and relative rights of our capital stock as contained in our Certificate of Incorporation, which are incorporated by reference herein. This summary does not purport to be a complete description of the terms and conditions of our capital stock in all respects and is subject to and qualified in its entirety by reference to our Certificate of Incorporation, our Bylaws, the DGCL and any other documents referenced in the summary descriptions and from which the summary descriptions are derived. Although we believe this summary covers the material terms and provisions of our capital stock set forth in our Certificate of Incorporation, it may not contain all of the information that is important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Authorized Shares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Certificate of Incorporation authorizes the issuance of up to 60,000,000 shares of common stock, par value $1.00 per share, and up to 2,000,000 shares of preferred stock, par value $1.00 per share. The Company’s common stock is listed on the Nasdaq Capital Market under the symbol “ALRS.” As of August 27, 2026, we had 24,927,526 shares of common stock issued and outstanding, held by approximately 440 stockholders of record. No shares of preferred stock were issued and outstanding as of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 xml:space="preserve">Governing Documents. </w:t>
      </w:r>
      <w:r>
        <w:rPr>
          <w:rFonts w:ascii="Times New Roman" w:hAnsi="Times New Roman"/>
          <w:caps w:val="false"/>
          <w:smallCaps w:val="false"/>
          <w:sz w:val="20"/>
        </w:rPr>
        <w:t>Holders of shares of our common stock have the rights set forth in our Certificate of Incorporation, our Bylaws and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 xml:space="preserve">Dividends and Distributions. </w:t>
      </w:r>
      <w:r>
        <w:rPr>
          <w:rFonts w:ascii="Times New Roman" w:hAnsi="Times New Roman"/>
          <w:caps w:val="false"/>
          <w:smallCaps w:val="false"/>
          <w:sz w:val="20"/>
        </w:rPr>
        <w:t>The holders of our common stock are entitled to share equally in any dividends that our board of directors may declare from time to time out of funds legally available for dividends, subject to limitations under the DGCL and any preferential rights of holders of any then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 xml:space="preserve">Ranking. </w:t>
      </w:r>
      <w:r>
        <w:rPr>
          <w:rFonts w:ascii="Times New Roman" w:hAnsi="Times New Roman"/>
          <w:caps w:val="false"/>
          <w:smallCaps w:val="false"/>
          <w:sz w:val="20"/>
        </w:rPr>
        <w:t>Our common stock ranks junior to all other securities and indebtedness of the Company with respect to dividend rights and rights upon liquidation, dissolution or winding up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Upon any voluntary or involuntary liquidation, dissolution or winding up of the Company, the holders of our common stock are entitled to share equally, on a per share basis, in all of our assets available for distribution, after payment to creditors and subject to any prior distribution rights granted to holders of any then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 xml:space="preserve">No Conversion Rights. </w:t>
      </w:r>
      <w:r>
        <w:rPr>
          <w:rFonts w:ascii="Times New Roman" w:hAnsi="Times New Roman"/>
          <w:caps w:val="false"/>
          <w:smallCaps w:val="false"/>
          <w:sz w:val="20"/>
        </w:rPr>
        <w:t>Our common stock is not convertible into any other shares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 xml:space="preserve">No Preemptive Rights. </w:t>
      </w:r>
      <w:r>
        <w:rPr>
          <w:rFonts w:ascii="Times New Roman" w:hAnsi="Times New Roman"/>
          <w:caps w:val="false"/>
          <w:smallCaps w:val="false"/>
          <w:sz w:val="20"/>
        </w:rPr>
        <w:t>Holders of our common stock do not have any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 xml:space="preserve">Voting Rights. </w:t>
      </w:r>
      <w:r>
        <w:rPr>
          <w:rFonts w:ascii="Times New Roman" w:hAnsi="Times New Roman"/>
          <w:caps w:val="false"/>
          <w:smallCaps w:val="false"/>
          <w:sz w:val="20"/>
        </w:rPr>
        <w:t>The holders of our common stock are entitled to one vote per share on any matter to be voted on by the stockholders. The holders of our common stock are not entitled to cumulative voting rights with respect to the election of directors. A plurality of the shares voted shall elect all of the directors then standing for election at a meeting of stockholders at which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 xml:space="preserve">No Redemption. </w:t>
      </w:r>
      <w:r>
        <w:rPr>
          <w:rFonts w:ascii="Times New Roman" w:hAnsi="Times New Roman"/>
          <w:caps w:val="false"/>
          <w:smallCaps w:val="false"/>
          <w:sz w:val="20"/>
        </w:rPr>
        <w:t>We have no obligation or right to redeem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shares of common stock will, when issued against full payment of their purchase price,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0" w:hanging="200"/>
        <w:jc w:val="left"/>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Subject to limitations under the DGCL, our board of directors is authorized to issue, from time to time and without stockholder approval, up to an aggregate of 2,000,000 shares of preferred stock, par value $1.00 per share, in one or more series and to fix the designations, powers, preferences and relative, participating, optional or other special rights, if any, and any qualifications, limitations or restrictions of the shares of each such series, including the dividend rights, conversion rights, voting rights, redemption rights (including sinking fund provisions), liquidation preferences and the number of shares constituting any series. The issuance of preferred stock with voting and conversion rights could adversely affect the voting power of the holders of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will describe the particular terms of any series of preferred stock being offered in the applicable prospectus supplement relating to that series of preferred stock. Those terms may include:</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70"/>
        <w:gridCol w:w="2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170"/>
        <w:gridCol w:w="3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title and liquidation preference per share;</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60"/>
        <w:gridCol w:w="170"/>
        <w:gridCol w:w="1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purchase price;</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dividend rate or method for determining that rate;</w:t>
            </w:r>
          </w:p>
        </w:tc>
      </w:tr>
    </w:tbl>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60"/>
        <w:gridCol w:w="170"/>
        <w:gridCol w:w="3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dates on which dividends will be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dividends will be cumulative or noncumulative and, if cumulative, the dates from which dividends will begin to accumulate;</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60"/>
        <w:gridCol w:w="170"/>
        <w:gridCol w:w="4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applicable redemption or sinking fund provisions;</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60"/>
        <w:gridCol w:w="170"/>
        <w:gridCol w:w="3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applicable conversion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170"/>
        <w:gridCol w:w="2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applicable preemption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applicable restrictions on the repurchase or redemption of shares by us while there is any arrearage in the payment of dividends or sinking fund installments;</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60"/>
        <w:gridCol w:w="170"/>
        <w:gridCol w:w="5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applicable right to designate members of our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we have elected to offer depositary shares with respect to that series of preferred stock; and</w:t>
            </w:r>
          </w:p>
        </w:tc>
      </w:tr>
    </w:tbl>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170"/>
        <w:gridCol w:w="9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additional dividend, liquidation, transfer and other rights and restrictions applicable to that series of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shares of preferred stock will, when issued against full payment of their purchase price,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Dividends and Distributions. </w:t>
      </w:r>
      <w:r>
        <w:rPr>
          <w:rFonts w:ascii="Times New Roman" w:hAnsi="Times New Roman"/>
          <w:caps w:val="false"/>
          <w:smallCaps w:val="false"/>
          <w:sz w:val="20"/>
        </w:rPr>
        <w:t>If you purchase preferred stock being offered by use of this prospectus and an applicable prospectus supplement, you will be entitled to receive, when, as and if declared by our board of directors, dividends at the rates and on the dates set forth in the prospectus supplement. Dividend rates may be fixed, variable or both. The nature, amount, rates, timing and other details of dividend rights for a series of preferred stock will be described in the applicable prospectus supplement and will be payable in preference to, or in such relation to, the dividends payable on any other class or classes or series of our stock, as described in the applicable prospectus supplement. We are subject to various regulatory policies and requirements relating to the payment of dividends, including requirements to maintain adequate capital above regulatory minimums.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Ranking.</w:t>
      </w:r>
      <w:r>
        <w:rPr>
          <w:rFonts w:ascii="Times New Roman" w:hAnsi="Times New Roman"/>
          <w:caps w:val="false"/>
          <w:smallCaps w:val="false"/>
          <w:sz w:val="20"/>
        </w:rPr>
        <w:t xml:space="preserve"> In the event that we liquidate, dissolve or wind-up our affairs, either voluntarily or involuntarily, holders of our preferred stock will be entitled to receive liquidating distributions in the amount set forth in the applicable prospectus supplement, plus accrued and unpaid dividends, if any, before we make any distribution of assets to the holders of our common stock or any junior preferred stock. If we fail to pay in full all amounts payable with respect to preferred stock being offered by us and any stock having the same rank as that series of preferred stock, the holders of the preferred stock and of that other stock will share in any distribution of assets in proportion to the full respective preferential amounts to which they are entitled. After the holders of each series of preferred stock and any stock having the same rank as the preferred stock are paid in full, they will have no right or claim to any of our remaining assets. For any series of preferred stock being offered by this prospectus and an applicable prospectus supplement, neither the sale of all or substantially all of our property or business nor a merger or consolidation by us with any other corporation will be considered a dissolution, liquidation or winding-up of our business or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Conversion Rights.</w:t>
      </w:r>
      <w:r>
        <w:rPr>
          <w:rFonts w:ascii="Times New Roman" w:hAnsi="Times New Roman"/>
          <w:caps w:val="false"/>
          <w:smallCaps w:val="false"/>
          <w:sz w:val="20"/>
        </w:rPr>
        <w:t xml:space="preserve"> The applicable prospectus supplement will state the terms, if any, on which shares of a series of preferred stock being offered are convertible into shares of our common stock or another series of our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Voting Rights. </w:t>
      </w:r>
      <w:r>
        <w:rPr>
          <w:rFonts w:ascii="Times New Roman" w:hAnsi="Times New Roman"/>
          <w:caps w:val="false"/>
          <w:smallCaps w:val="false"/>
          <w:sz w:val="20"/>
        </w:rPr>
        <w:t>The voting rights of preferred stock of any series being offered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Redemption. </w:t>
      </w:r>
      <w:r>
        <w:rPr>
          <w:rFonts w:ascii="Times New Roman" w:hAnsi="Times New Roman"/>
          <w:caps w:val="false"/>
          <w:smallCaps w:val="false"/>
          <w:sz w:val="20"/>
        </w:rPr>
        <w:t>The terms, if any, on which shares of a series of preferred stock being offered may be redeemed will be described in the applicable prospectus supplement. The preferred stock of a series may be redeemed in such amount or amounts, and at such time or times, if any, as may be provided in respect of that particular series of preferred stock. Preferred stock may be redeemed by the Company only to the extent legally permissible.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Anti-Takeover Considerations and Special Provisions of Our Certificate of Incorporation, Bylaws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General.</w:t>
      </w:r>
      <w:r>
        <w:rPr>
          <w:rFonts w:ascii="Times New Roman" w:hAnsi="Times New Roman"/>
          <w:caps w:val="false"/>
          <w:smallCaps w:val="false"/>
          <w:sz w:val="20"/>
        </w:rPr>
        <w:t xml:space="preserve"> Applicable law and certain provisions of our Certificate of Incorporation and Bylaws could have the effect of delaying, deferring or discouraging another party from acquiring control of us, even if such acquisition would be viewed by our stockholders to be in their best interests. We believe that these provisions are beneficial because they encourage negotiation with our board of directors, which could result in improved terms of any unsolicited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Delaware Law</w:t>
      </w:r>
      <w:r>
        <w:rPr>
          <w:rFonts w:ascii="Times New Roman" w:hAnsi="Times New Roman"/>
          <w:b/>
          <w:caps w:val="false"/>
          <w:smallCaps w:val="false"/>
          <w:sz w:val="20"/>
        </w:rPr>
        <w:t>.</w:t>
      </w:r>
      <w:r>
        <w:rPr>
          <w:rFonts w:ascii="Times New Roman" w:hAnsi="Times New Roman"/>
          <w:caps w:val="false"/>
          <w:smallCaps w:val="false"/>
          <w:sz w:val="20"/>
        </w:rPr>
        <w:t xml:space="preserve"> The Company is subject to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on or subsequent to such time the business combination is approved by the board of directors of such corporation and authorized at a meeting of stockholders (and not by written consent) by the affirmative vote of at least 662/</w:t>
      </w:r>
      <w:r>
        <w:rPr>
          <w:rFonts w:ascii="Times New Roman" w:hAnsi="Times New Roman"/>
          <w:caps w:val="false"/>
          <w:smallCaps w:val="false"/>
          <w:position w:val="-2"/>
          <w:sz w:val="16"/>
          <w:sz w:val="20"/>
        </w:rPr>
        <w:t>3</w:t>
      </w:r>
      <w:r>
        <w:rPr>
          <w:rFonts w:ascii="Times New Roman" w:hAnsi="Times New Roman"/>
          <w:caps w:val="false"/>
          <w:smallCaps w:val="false"/>
          <w:sz w:val="20"/>
        </w:rPr>
        <w:t>% of the outstanding voting stock of such corporation not owned by the interested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Federal Banking Law.</w:t>
      </w:r>
      <w:r>
        <w:rPr>
          <w:rFonts w:ascii="Times New Roman" w:hAnsi="Times New Roman"/>
          <w:caps w:val="false"/>
          <w:smallCaps w:val="false"/>
          <w:sz w:val="20"/>
        </w:rPr>
        <w:t xml:space="preserve"> The ability of a third party to acquire our stock is also limited under applicable U.S. banking laws, including regulatory approval requirements. The Bank Holding Company Act of 1956, as amended (the “BHCA”), requires any “bank holding company” to obtain the approval of the Federal Reserve before acquiring, directly or indirectly, more than 5% of our outstanding common stock. 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Approval of a Change in Control.</w:t>
      </w:r>
      <w:r>
        <w:rPr>
          <w:rFonts w:ascii="Times New Roman" w:hAnsi="Times New Roman"/>
          <w:caps w:val="false"/>
          <w:smallCaps w:val="false"/>
          <w:sz w:val="20"/>
        </w:rPr>
        <w:t xml:space="preserve"> Our Certificate of Incorporation includes a provision that makes it more difficult to complete a merger, sale or transfer of control of our Company. Article V, Section 6 of our Certificate of Incorporation requires the affirmative vote of the holders of at least 75% of the voting stock of the Company to approve such a transaction if more than 25% of the board of directors recommends against voting to approve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Special Meetings of Stockholders.</w:t>
      </w:r>
      <w:r>
        <w:rPr>
          <w:rFonts w:ascii="Times New Roman" w:hAnsi="Times New Roman"/>
          <w:caps w:val="false"/>
          <w:smallCaps w:val="false"/>
          <w:sz w:val="20"/>
        </w:rPr>
        <w:t xml:space="preserve"> Our Bylaws provide that special meetings of our stockholders may be called only by our Chairman, our Chief Executive Officer, our President, our Secretary or at the request of a majority of our board of directors or by holders of shares entitled to cast not less than 25% of the votes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Requirements for Advance Notification of Stockholder Nominations and Proposals.</w:t>
      </w:r>
      <w:r>
        <w:rPr>
          <w:rFonts w:ascii="Times New Roman" w:hAnsi="Times New Roman"/>
          <w:caps w:val="false"/>
          <w:smallCaps w:val="false"/>
          <w:sz w:val="20"/>
        </w:rPr>
        <w:t xml:space="preserve"> Our Bylaws contain an advance notice provision regarding director nominations and other stockholder proposals. Generally, to be timely, notice of director nominations and other stockholder proposals must be received by our Secretary not less than 90 days nor more than 120 days prior to the first anniversary date of the annual meeting for the preceding year. The notice must contain certain information required to be provided by our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Issuance of Blank Check Preferred Stock.</w:t>
      </w:r>
      <w:r>
        <w:rPr>
          <w:rFonts w:ascii="Times New Roman" w:hAnsi="Times New Roman"/>
          <w:caps w:val="false"/>
          <w:smallCaps w:val="false"/>
          <w:sz w:val="20"/>
        </w:rPr>
        <w:t xml:space="preserve"> The board of directors is authorized to issue, without further action by our stockholders, up to 2,000,000 shares of preferred stock with rights and preferences designated from time to time by the board of directors as described above under “Description of Capital Stock—Preferred Stock.” The existence of authorized but unissued shares of preferred stock may enable the board of directors to render more difficult or discourage an attempt to obtain control of the Company by means of a merger, tender offer, proxy contest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Sole and Exclusive Forum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Certificate of Incorporation provides that, unless the Company consents in writing to the selection of an alternative forum, the Delaware Court of Chancery shall be the sole and exclusive forum for (i) any derivative action or proceeding brought on our behalf, (ii) any action asserting a claim of breach of fiduciary duty owed by any director, officer, employee or agent of the Company to the Company or its stockholders, (iii) any action asserting a claim pursuant to the DGCL, our Certificate of Incorporation or our Bylaws or (iv) or any action asserting a claim governed by the internal affairs doctrine. However, Section 27 of the Securities Exchange Act of 1934, as amended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of 1933, as amended (the “Securities Act”), creates concurrent jurisdiction for federal and state courts over all suits brought to enforce any duty or liability created by the Securities Act or the rules and regulations thereunder. As a result, there is uncertainty as to whether a court would enforce such a provision, and our stockholders will not be deemed to have waived our compliance with the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stockholders approved this provision at our annual stockholders’ meeting held on May 13, 2014. Any person purchasing or otherwise acquiring any interest in any shares of our capital stock shall be deemed to have notice of and to have consented to this provision of our Certificate of Incorporation. This choice of forum provision, if enforced, may have the effect of discouraging lawsuits against us and our directors, officers, employees and agents. The enforceability of similar choice of forum provisions in other companies' charter documents has been challenged in legal proceedings, and it is possible that, in connection with one or more actions or proceedings described above, a court could find the provision of our Bylaws to be inapplicable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Limitation on Liability and Indemnification of Officers and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DGCL authorizes corporations to limit or eliminate the personal liability of directors and officers to corporations and their stockholders for monetary damages for breaches of directors’ fiduciary duties. Our Certificate of Incorporation and Bylaws include a provision that eliminates the personal liability of directors for monetary damages for breach of fiduciary duty as a director, except:</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60"/>
        <w:gridCol w:w="170"/>
        <w:gridCol w:w="2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breach of duty of loyalty;</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acts or omissions not in good faith or involving intentional misconduct or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60"/>
        <w:gridCol w:w="170"/>
        <w:gridCol w:w="8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Section 174 of the DGCL (unlawful dividends or unlawful stock repurchases or redemptions); or</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transactions from which the director derived an improper personal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Certificate of Incorporation and Bylaws provide that we must indemnify our directors and officers to the fullest extent authorized by the DGCL, subject to the limits of applicable federal banking laws and regulations.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limitation on liability and indemnification provisions in our Certificate of Incorporation and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ddebt"/>
      <w:bookmarkEnd w:id="10"/>
      <w:r>
        <w:rPr>
          <w:rFonts w:ascii="Times New Roman" w:hAnsi="Times New Roman"/>
          <w:b/>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debt securities that we may offer using this prospectus consist of notes, debentures or other evidences of indebtedness. Any debt securities that we offer and sell will be our direct obligations. Debt securities may be issued in one or more series. All debt securities of any one series need not be issued at the same time, and unless otherwise provided, a series of debt securities may be reopened, without the consent of the holders of outstanding debt securities, for issuance of additional debt securities of that series or to establish additional terms of that series of debt securities (with such additional terms applicable only to unissued or additional debt securities of that series). As required by the Trust Indenture Act of 1939, as amended, for all debt securities that are publicly offered, our debt securities will be governed by a document called an indenture, the form of which is filed as an exhibit to the registration statement of which this prospectus forms a part. The form of indenture is subject to any modifications, amendments or supplements that we may enter into with the trustee(s) setting forth the specific terms and conditions of the debt securities being issued. The material terms of the indenture are summarized below and we refer you to the form of indenture for a detailed description of these material terms.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title of the debt securities, including, as applicable, whether the debt securities will be issued as senior debt securities, senior subordinated debt securities, subordinated debt securities or junior subordinated debt securities, and any subordination provisions particular to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60"/>
        <w:gridCol w:w="170"/>
        <w:gridCol w:w="5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limit on the aggregate principal amount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other than 100% of the aggregate principal amount, the percentage of the aggregate principal amount at which we will sell the debt securities (i.e., original issuance discount);</w:t>
            </w:r>
          </w:p>
        </w:tc>
      </w:tr>
    </w:tbl>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60"/>
        <w:gridCol w:w="170"/>
        <w:gridCol w:w="8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 or dates, whether fixed or extendable, on which the principal of the debt securities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rate or rates, which may be fixed or variable, at which the debt securities will bear interest, if any, the date or dates from which any such interest will accrue, the interest payment dates on which we will pay any such interest, the basis upon which interest will be calculated, and, in the case of registered securities, the record dates for the determination of holders to whom interest is payable;</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provisions relating to the issuance of the debt securities of the series at an original issue discount;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place or places where the principal of, and any premium or interest on, the debt securities will be payable and, if applicable, where the debt securities may be surrendered for conversion or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we may, at our option, redeem, repurchase or repay the debt securities, and if so, the price or prices at which, the period or periods within which, and the terms and conditions upon which, we may redeem, repurchase or repay the debt securities, in whole or in part, pursuant to any sinking fund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other than 100% of the aggregate principal amount thereof, the portion of the principal amount of the debt securities which will be payable upon declaration of acceleration of the maturity date thereof or provable in bankruptcy, or, if applicable, which is convertible or exchangeable;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obligation we may have to redeem, purchase or repay the debt securities pursuant to any sinking fund or analogous provisions or at the option of a holder of debt securities, and the price or prices at which, the currency in which and the period or periods within which, and the other terms and conditions upon which, the debt securities will be redeemed, purchased or repaid, in whole or in part, pursuant to any such obligation, and any provision for the remarketing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debt securities will be registered securities or unregistered securities or both, and the rights of the holders of the debt securities to exchange unregistered securities for registered securities, or vice-versa, and the circumstances under which any such exchanges, if permitted, may be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denominations, which may be in U.S. dollars or in any foreign currency, in which the debt securities will be issued, if other than denominations of $1,000 and any integral multiple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debt securities will be issued in the form of certificated debt securities, and if so, the form of the debt securities (or forms thereof if unregistered and registered securities are issuable in that series), including the legends required by law or as we deem necessary or appropriate, the form of any coupons or temporary global security which may be issued and the forms of any other certificates which may be required under the indenture or which we may require in connection with the offering, sale, delivery or exchange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other than U.S. dollars, the currency or currencies in which payments of principal, interest and other amounts payable with respect to the debt securities will be denominated, payable, redeemable or repurchasable,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60"/>
        <w:gridCol w:w="170"/>
        <w:gridCol w:w="4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debt securities may be issuable in tranches;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obligations, if any, we may have to permit the conversion or exchange of the debt securities into common stock, preferred stock or other capital stock or property, or a combination thereof, and the terms and conditions upon which such conversion or exchange will be effected (including the conversion price or exchange ratio), and any limitations on the ownership or transferability of the securities or property into which the debt securities may be converted or exchanged;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trustees, authenticating or paying agents, transfer agents or registrars or any other agents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debt securities do not bear interest, the applicable dates required under the indenture for furnishing information to the trustee regarding the holders of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deletions from, modifications of or additions to (a) the events of default with respect to the debt securities or (b) the rights of the trustee or the holders of the debt securities in connection with events of default;</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70"/>
        <w:gridCol w:w="8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deletions from, modifications of or additions to the covenants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amount of payments of principal of, and make-whole amount, if any, and interest on the debt securities may be determined with reference to an index, the manner in which such amount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debt securities will be issued in whole or in part in the global form of one or more debt securities and, if so, the depositary for such debt securities, the circumstances under which any such debt security may be exchanged for debt securities registered in the name of, and under which any transfer of debt securities may be registered in the name of, any person other than such depositary or its nominee, and any other provisions regarding such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under what circumstances and the currency in which, we will pay additional amounts on the debt securities to any holder of the debt securities who is not a U.S. person in respect of any tax, assessment or governmental charge and, if so, whether we will have the option to redeem such debt securities rather than pay such additional amounts (and the terms of any such option);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debt securities, in whole or specified parts, will be defeasible, and, if the securities may be defeased, in whole or in specified part, any provisions to permit a pledge of obligations other than certain government obligations to satisfy the requirements of the indenture regarding defeasance of securities and, if other than by resolution of our board of directors, the manner in which any election to defease the debt securities will be evidenced;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debt securities will be secured by any property, assets or other collateral and, if so, a general description of the collateral and the terms of any related security, pledge or other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persons to whom any interest on the debt securities will be payable, if other than the registered holders thereof on the regular record date therefor;</w:t>
            </w:r>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0"/>
        <w:gridCol w:w="170"/>
        <w:gridCol w:w="6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restrictions, conditions or requirements for transfer of the debt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170"/>
        <w:gridCol w:w="6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material terms or conditions upon which the debt securities will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otherwise indicated in the applicable prospectus supplement, if any interest payment date or the maturity date falls on a day that is not a business day, then the payment will be made on the next business day without additional interest and with the same effect as if it were made on the originally scheduled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otherwise indicated in the applicable prospectus supplement, the trustee will act as paying agent and registrar for the debt securities under the indenture. We may also act as paying agent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applicable prospectus supplement will contain a description of U.S. federal income tax consequences relating to the debt securities,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The applicable prospectus supplement will describe any covenants, such as restrictive covenants restricting us or any of our subsidiaries from incurring, issuing, assuming or guarantying any indebtedness, restricting us or any of our subsidiaries from paying dividends or acquiring any of our or its capital stock, requiring the maintenance of any asset ratio or the creation or any maintenance of any reserves, or restricting the incurrence of additional debt or the issuance of additional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Consolidation, Merger and Transfer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we indicate otherwise in the applicable prospectus supplement, the indenture will permit a consolidation or merger between us and another entity and/or the sale, conveyance or lease by us of all or substantially all of our property and assets; provided, however,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the surviving or continuing entity, or the resulting or acquiring entity, if other than us, is organized and existing under the laws of a U.S. jurisdiction and assumes, pursuant to a supplemental indenture, all of our responsibilities and liabilities under the indenture, including the payment of all amounts due on the debt securities and performance of the covenants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70"/>
        <w:gridCol w:w="9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immediately after the transaction, and giving effect to the transaction, no event of default under the indenture exists;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delivered to the trustee an officers’ certificate stating that the transaction and, if a supplemental indenture is required in connection with the transaction, the supplemental indenture, comply with the indenture and that all conditions precedent to the transaction contained in the indenture have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consolidate or merge with or into any other entity, or sell or lease all or substantially all of our assets in compliance with the terms and conditions of the indenture, the resulting or acquiring entity will be substituted for us in the indenture and the debt securities with the same effect as if it had been an original party to the indenture and the debt securities. As a result, such successor entity may exercise our rights and powers under the indenture and the debt securities, in our name, and, except in the case of a lease, we will be released from all our liabilities and obligations under the indenture and under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Notwithstanding the foregoing, we may transfer all of our property and assets to another entity if, immediately after giving effect to the transfer, such entity is our wholly owned subsidiary. The term “wholly owned subsidiary” means any subsidiary in which we and/or our other wholly owned subsidiaries own all of the outstanding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Modification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we indicate otherwise in the applicable prospectus supplement, under the indenture, some of our rights and obligations and some of the rights of the holders of the debt securities may be modified or amended with the consent of the holders of not less than a majority in aggregate principal amount of the outstanding debt securities affected by the modification or amendment. However, the following modifications and amendments will not be effective against any holder without its consent:</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60"/>
        <w:gridCol w:w="170"/>
        <w:gridCol w:w="61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change in the stated maturity date of any payment of principal or interest;</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reduction in the principal amount of, or interest on, any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60"/>
        <w:gridCol w:w="170"/>
        <w:gridCol w:w="8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alteration or impairment of any right to convert at the rate or upon the terms provided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0"/>
        <w:gridCol w:w="170"/>
        <w:gridCol w:w="6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change in the currency in which any payment on the debt securities is payable;</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60"/>
        <w:gridCol w:w="170"/>
        <w:gridCol w:w="8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impairment of a holder’s right to sue us for the enforcement of payments due on the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reduction in the percentage of outstanding debt securities required to consent to a modification or amendment of the indenture or required to consent to a waiver of compliance with certain provisions of the indenture or certain defaults under the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indenture, the holders of not less than a majority in aggregate principal amount of the outstanding debt securities may, on behalf of all holders of the debt securities:</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 compliance by us with certain restrictive provisions of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 any past default under the indenture in accordance with the applicable provisions of the indenture, except a default in the payment of the principal of, or interest on, any series of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Finally, we and the indenture trustee may, from time to time, amend the indenture without the consent of holders of the debt securities for certain purposes,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evidence the succession of another entity to us or successive successions and the assumption by such entity of our covenants, agreements and obligations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add additional events of default for the protection of the holders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add covenants for the protection of the holders of debt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make certain other administrative modifications which do not materially and adversely affect the interests of the holders of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we indicate otherwise in the applicable prospectus supplement, “event of default” under the indenture will mean, with respect to any series of debt securities, any of the following:</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60"/>
        <w:gridCol w:w="170"/>
        <w:gridCol w:w="6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failure to pay interest on any debt security for 30 days after the payment is due;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failure to pay the principal of any debt security when due, either at maturity, upon redemption, by declaration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failure on our part to observe or perform any other covenant or agreement in the indenture that applies to the debt securities for 90 days after we have received written notice of the failure to perform in the manner specified in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events of bankruptcy, insolvency or reorganization.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 event of default occurs and continues, the trustee or the holders of not less than 25% in aggregate principal amount of the outstanding debt securities of such series may declare the entire principal of all the debt securities to be due and payable immediately, except that, if the event of default is caused by certain events of bankruptcy, insolvency or reorganization, the entire principal of all of the debt securities of such series will become due and payable immediately without any act on the part of the trustee or holders of the debt securities. If such a declaration occurs, the holders of a majority of the aggregate principal amount of the outstanding debt securities of such series can, subject to conditions, rescind the declaration.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indenture requires us to furnish to the trustee, not less often than annually, a certificate from our principal executive officer, principal financial officer or principal accounting officer, as the case may be, as to such officer’s knowledge of our compliance with all conditions and covenants under the indenture. The trustee may withhold notice to the holders of debt securities of any default, except defaults in the payment of principal of, or interest on, any debt securities if the trustee in good faith determines that the withholding of notice is in the best interests of the holders. For purposes of this paragraph, “default” means any event which is, or after notice or lapse of time or both would become, an event of default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trustee is not obligated to exercise any of its rights or powers under the indenture at the request, order or direction of any holders of debt securities, unless the holders offer the trustee satisfactory security or indemnity. If satisfactory security or indemnity is provided, then, subject to other rights of the trustee, the holders of a majority in aggregate principal amount of the outstanding debt securities may direct the time, method and place of:</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conducting any proceeding for any remedy available to the trustee; or</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60"/>
        <w:gridCol w:w="170"/>
        <w:gridCol w:w="4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exercising any trust or power conferred upon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holder of a debt security will have the right to begin any proceeding with respect to the indenture or for any remedy only if:</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holder has previously given the trustee written notice of a continuing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holders of not less than a majority in aggregate principal amount of the outstanding debt securities have made a written request of, and offered reasonable indemnity to, the trustee to begin such proceeding;</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trustee has not started such proceeding within 60 days after receiving the request; and</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60"/>
        <w:gridCol w:w="170"/>
        <w:gridCol w:w="8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direction inconsistent with such written request has been given to the trustee under the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However, the holder of any debt security will have an absolute right to receive payment of principal of, and interest on, the debt security when due and to institute suit to enforce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Satisfaction and Discharge;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Satisfaction and Discharge of Indenture.</w:t>
      </w:r>
      <w:r>
        <w:rPr>
          <w:rFonts w:ascii="Times New Roman" w:hAnsi="Times New Roman"/>
          <w:caps w:val="false"/>
          <w:smallCaps w:val="false"/>
          <w:sz w:val="20"/>
        </w:rPr>
        <w:t xml:space="preserve"> Unless otherwise indicated in the applicable prospectus supplement, if at any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paid the principal of and interest on all the debt securities of any series, except for debt securities which have been destroyed, lost or stolen and which have been replaced or paid in accordance with the indenture, as and when the same has become due and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delivered to the trustee for cancellation all debt securities of any series theretofore authenticated, except for debt securities of such series which have been destroyed, lost or stolen and which have been replaced or paid as provided in the indenture;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the debt securities of such series not theretofore delivered to the trustee for cancellation have become due and payable, or are by their terms are to become due and payable within one year or are to be called for redemption within one year, and we have deposited with the trustee, in trust, sufficient money or government obligations, or a combination thereof, to pay the principal, any interest and any other sums due on the debt securities, on the dates the payments are due or become due under the indenture and the terms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then the indenture shall cease to be of further effect with respect to the debt securities of such series, except for (a) rights of registration of transfer and exchange, and our right of optional redemption, (b) substitution of mutilated, defaced, destroyed, lost or stolen debt securities, (c) rights of holders to receive payments of principal thereof and interest thereon upon the original stated due dates therefor (but not upon acceleration) and remaining rights of the holders to receive mandatory sinking fund payments, if any, (d) the rights, obligations and immunities of the trustee under the indenture, and (e) the rights of the holders of such series of debt securities as beneficiaries thereof with respect to the property so deposited with the trustee payable to all or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Defeasance and Covenant Defeasance. </w:t>
      </w:r>
      <w:r>
        <w:rPr>
          <w:rFonts w:ascii="Times New Roman" w:hAnsi="Times New Roman"/>
          <w:caps w:val="false"/>
          <w:smallCaps w:val="false"/>
          <w:sz w:val="20"/>
        </w:rPr>
        <w:t>Unless otherwise indicated in the applicable prospectus supplement, we may elect with respect to any debt securities of any series either: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defease and be discharged from all of our obligations with respect to such debt securities (“defeasance”) with certain exceptions described below;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be released from our obligations with respect to such debt securities under such covenants as may be specified in the applicable prospectus supplement, and any omission to comply with those obligations will not constitute a default or an event of default with respect to such debt securities (“covenant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must comply with the following conditions before the defeasance or covenant defeasance can be effected: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must irrevocably deposit with the indenture trustee or other qualifying trustee, under the terms of an irrevocable trust agreement in form and substance satisfactory to the trustee, trust funds in trust solely for the benefit of the holders of such debt securities, sufficient money or government obligations, or a combination thereof, to pay the principal, any interest and any other sums on the due dates for those payments;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must deliver to the trustee an opinion of counsel to the effect that the holders of such debt securities will not recognize income, gain or loss for federal income tax purposes as a result of such defeasance or covenant defeasance, as the case may be, to be effected with respect to such debt securities and will be subject to federal income tax on the same amount, in the same manner and at the same times as would be the case if such defeasance or covenant defeasance, as the case may be, had not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defeasance, any irrevocable trust agreement contemplated by the indenture must include, among other things, provision for (a) payment of the principal of and interest on such debt securities, if any, appertaining thereto when due (by redemption, sinking fund payments or otherwise), (b) the payment of the expenses of the trustee incurred or to be incurred in connection with carrying out such trust provisions, (c) rights of registration, transfer, substitution and exchange of such debt securities in accordance with the terms stated in the indenture, and (d) continuation of the rights, obligations and immunities of the trustee as against the holders of such debt securities as stated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accompanying prospectus supplement may further describe any provisions permitting or restricting defeasance or covenant defeasance with respect to the debt securities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otherwise indicated in the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securities depositary and registered in the name of the depositary or a nominee of the depositary. Any such depositary must be a clearing agency registered under the Exchange Act. We will describe the specific terms of the depositary arrangement with respect to a series of debt securities to be represented by a global security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will give notices to holders of the debt securities by mail at the addresses listed in the security register. In the case of notice in respect of unregistered securities or coupon securities, we may give notice by publication in a newspaper of general circulation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indenture and the debt securities will be governed by, and construed in accordance with, the laws of the State of New York, except to the extent the Trust Indenture Act of 1939, as amended,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Regarding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General</w:t>
      </w:r>
      <w:r>
        <w:rPr>
          <w:rFonts w:ascii="Times New Roman" w:hAnsi="Times New Roman"/>
          <w:b/>
          <w:caps w:val="false"/>
          <w:smallCaps w:val="false"/>
          <w:sz w:val="20"/>
        </w:rPr>
        <w:t>.</w:t>
      </w:r>
      <w:r>
        <w:rPr>
          <w:rFonts w:ascii="Times New Roman" w:hAnsi="Times New Roman"/>
          <w:caps w:val="false"/>
          <w:smallCaps w:val="false"/>
          <w:sz w:val="20"/>
        </w:rPr>
        <w:t xml:space="preserve"> We will enter into the indenture with a trustee that is qualified to act under the Trust Indenture Act of 1939, as amended, and with any other trustees chosen by us and appointed in a supplemental indenture for a particular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Resignation or Removal of Trustee</w:t>
      </w:r>
      <w:r>
        <w:rPr>
          <w:rFonts w:ascii="Times New Roman" w:hAnsi="Times New Roman"/>
          <w:b/>
          <w:caps w:val="false"/>
          <w:smallCaps w:val="false"/>
          <w:sz w:val="20"/>
        </w:rPr>
        <w:t>.</w:t>
      </w:r>
      <w:r>
        <w:rPr>
          <w:rFonts w:ascii="Times New Roman" w:hAnsi="Times New Roman"/>
          <w:caps w:val="false"/>
          <w:smallCaps w:val="false"/>
          <w:sz w:val="20"/>
        </w:rPr>
        <w:t xml:space="preserve"> If the trustee has or acquires a conflicting interest within the meaning of the Trust Indenture Act, the trustee must either eliminate its conflicting interest or resign, to the extent and in the manner provided by, and subject to the provisions of, the Trust Indenture Act and the indenture. Any resignation will require the appointment of a successor trustee under the indenture in accordance with the terms and conditions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Annual Trustee Report to Holders of Debt Securities</w:t>
      </w:r>
      <w:r>
        <w:rPr>
          <w:rFonts w:ascii="Times New Roman" w:hAnsi="Times New Roman"/>
          <w:b/>
          <w:caps w:val="false"/>
          <w:smallCaps w:val="false"/>
          <w:sz w:val="20"/>
        </w:rPr>
        <w:t>.</w:t>
      </w:r>
      <w:r>
        <w:rPr>
          <w:rFonts w:ascii="Times New Roman" w:hAnsi="Times New Roman"/>
          <w:caps w:val="false"/>
          <w:smallCaps w:val="false"/>
          <w:sz w:val="20"/>
        </w:rPr>
        <w:t xml:space="preserve"> The trustee will be required to submit certain reports to the holders of the debt securities regarding, among other things, the trustee’s eligibility to serve as such, the priority of the trustee’s claims regarding advances made by it, and any action taken by the trustee materially affecting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Certificates and Opinions to Be Furnished to Trustee</w:t>
      </w:r>
      <w:r>
        <w:rPr>
          <w:rFonts w:ascii="Times New Roman" w:hAnsi="Times New Roman"/>
          <w:b/>
          <w:caps w:val="false"/>
          <w:smallCaps w:val="false"/>
          <w:sz w:val="20"/>
        </w:rPr>
        <w:t>.</w:t>
      </w:r>
      <w:r>
        <w:rPr>
          <w:rFonts w:ascii="Times New Roman" w:hAnsi="Times New Roman"/>
          <w:caps w:val="false"/>
          <w:smallCaps w:val="false"/>
          <w:sz w:val="20"/>
        </w:rPr>
        <w:t xml:space="preserve"> The indenture provides that, in addition to other certificates or opinions specifically required by other provisions of the indenture, every application by us for action by the trustee must be accompanied by a certificate from one or more of our officers and an opinion of counsel (who may be our counsel) stating that, in the opinion of the signers, all conditions precedent to such action have been complied with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Certain Relationships in the Ordinary Course</w:t>
      </w:r>
      <w:r>
        <w:rPr>
          <w:rFonts w:ascii="Times New Roman" w:hAnsi="Times New Roman"/>
          <w:b/>
          <w:caps w:val="false"/>
          <w:smallCaps w:val="false"/>
          <w:sz w:val="20"/>
        </w:rPr>
        <w:t>.</w:t>
      </w:r>
      <w:r>
        <w:rPr>
          <w:rFonts w:ascii="Times New Roman" w:hAnsi="Times New Roman"/>
          <w:caps w:val="false"/>
          <w:smallCaps w:val="false"/>
          <w:sz w:val="20"/>
        </w:rPr>
        <w:t xml:space="preserve"> From time to time, we may maintain deposit accounts and conduct other banking transactions with the trustee to be appointed under the indenture or its affiliates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 w:name="dwarr"/>
      <w:bookmarkEnd w:id="11"/>
      <w:r>
        <w:rPr>
          <w:rFonts w:ascii="Times New Roman" w:hAnsi="Times New Roman"/>
          <w:b/>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issue warrants for the purchase of debt securities, common stock, preferred stock, other securities of the Company or any combination of the foregoing. Warrants may be issued alone or together with other securities offered by any prospectus supplement and may be attached to, or separate from, those securities. The particular terms of any warrants will be described more specifically in the prospectus supplement relating to such warrants. We will file the form of any warrant agreement with the SEC, and you should read the warrant agreement for provisions that may be important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prospectus supplement relating to any warrants we are offering will include specific terms relating to the offering, which terms may include some or all of the following:</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170"/>
        <w:gridCol w:w="1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title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170"/>
        <w:gridCol w:w="4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offering price and aggregate number of warrants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designation, number and terms of the securities purchasable upon exercise of the warrants, and procedures that will result in the adjustment of those numbers;</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exercise price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60"/>
        <w:gridCol w:w="170"/>
        <w:gridCol w:w="4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terms of any rights to redeem or call the warrants;</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dates or periods during which the warrants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60"/>
        <w:gridCol w:w="170"/>
        <w:gridCol w:w="6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designation and terms of any securities with which the warrants are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warrants are issued as a unit with another security, the date, if any, on and after which the warrants and the other security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exercise price is not payable in U.S. dollars, the foreign currency, currency unit or composite currency in which the exercise price is denominated;</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0"/>
        <w:gridCol w:w="170"/>
        <w:gridCol w:w="6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minimum or maximum amount of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anti-dilution, redemption or call provisions of the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the identity of the warrant agent for the warrants and of any other depositaries, execution or paying agents, transfer agents, registrars or other agents;</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170"/>
        <w:gridCol w:w="8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terms, procedures and limitations relating to the transferability, exchange or exercise of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60"/>
        <w:gridCol w:w="170"/>
        <w:gridCol w:w="3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material terms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Before exercising their warrants, holders of warrants will not have any of the rights of holders of the securities purchasable upon such exercise, including the right to receive dividends, if any, or payments upon our liquidation, dissolution or winding-up, or to exercise voting rights,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2" w:name="ddep"/>
      <w:bookmarkEnd w:id="12"/>
      <w:r>
        <w:rPr>
          <w:rFonts w:ascii="Times New Roman" w:hAnsi="Times New Roman"/>
          <w:b/>
          <w:caps w:val="false"/>
          <w:smallCaps w:val="false"/>
          <w:sz w:val="20"/>
        </w:rPr>
        <w:t>Description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following is a summary of the general terms of the deposit agreement to govern any depositary shares we may offer representing fractional interests in shares of our preferred stock, the depositary shares themselves and the related depositary receipts. This summary does not purport to be complete in all respects and is subject to and qualified entirely by reference to the relevant deposit agreement and depositary receipt with respect to the depositary shares relating to any particular series of preferred stock. A copy of the deposit agreement and form of depositary receipt relating to any depositary shares we issue will be filed with the SEC as an exhibit to the registration statement of which this prospectus is a part or as an exhibit to a filing incorporated by reference in the registration statement. The specific terms of any depositary shares we may offer will be described in the applicable prospectus supplement. If so described in the applicable prospectus supplement, the terms of that series of depositary shares may differ from the general description of terms presented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offer fractional interests in shares of our preferred stock, rather than full shares of preferred stock, most likely in the event that the number of our then authorized but yet undesignated shares of preferred stock is not sufficient to offer full shares of preferred stock. If we do, we will provide for the issuance by a depositary to the public of receipts for depositary shares, each of which will represent a fractional interest in a share of a particular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shares of any series of preferred stock underlying the depositary shares will be deposited under a separate deposit agreement between us and a bank or trust company having its principal office in the United States and having a combined capital and surplus of such amount as may be set forth in the applicable prospectus supplement (the “depositary”). We will name the depositary in the applicable prospectus supplement. Subject to the terms of the deposit agreement, each owner of a depositary share will have a fractional interest in all the rights and preferences of the preferred stock underlying the depositary share. Those rights include any dividend, voting, redemption, conversion and 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depositary shares will be evidenced by depositary receipts issued under the deposit agreement. Purchasers of fractional interests in shares of the related series of preferred stock will receive depositary receipts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we specify otherwise in the applicable prospectus supplement, purchasers will not be entitled to receive the whole shares of preferred stock underlying the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depositary will distribute all cash dividends or other cash distributions in respect of the preferred stock underlying the depositary shares to each record holder of depositary shares based on the number of the depositary shares owned by that holder on the relevant record date. The depositary will distribute only that amount which can be distributed without attributing to any holder of depositary shares a fraction of one cent, and any balance not so distributed will be added to and treated as part of the next sum received by the depositary for distribution to record holders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there is a distribution other than in cash, the depositary will distribute property to the entitled record holders of depositary shares, unless the depositary determines that it is not feasible to make that distribution. In that case the depositary may, with our approval, adopt the method it deems equitable and practicable for making that distribution, including any sale of property and distribution of the net proceeds from this sale to the applicable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deposit agreement will also contain provisions relating to how any subscription or similar rights offered by us to holders of the preferred stock will be made available to the holders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When the depositary receives notice of any meeting at which the holders of the preferred stock may vote, the depositary will mail information about the meeting contained in the notice, and any accompanying proxy materials, to the record holders of the depositary shares relating to the preferred stock. Each record holder of such depositary shares on the record date, which will be the same date as the record date for the preferred stock, will be entitled to instruct the depositary as to how the preferred stock underlying the holder’s depositary shares should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any series of preferred stock underlying the depositary shares is subject to conversion or exchange, the applicable prospectus supplement will describe the rights or obligations of each record holder of depositary receipts to convert or exchange the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If the series of the preferred stock underlying the depositary shares is subject to redemption, all or a part of the depositary shares will be redeemed from the redemption proceeds of that series of the preferred stock held by the depositary. The redemption price per depositary share will bear the same relationship to the redemption price per share of preferred stock that the depositary share bears to the underlying preferred stock. Whenever we redeem preferred stock held by the depositary, the depositary will redeem, as of the same redemption date, the number of depositary shares representing the preferred stock redeemed. If less than all the depositary shares are to be redeemed, the depositary shares to be redeemed will be selected by lot or </w:t>
      </w:r>
      <w:r>
        <w:rPr>
          <w:rFonts w:ascii="Times New Roman" w:hAnsi="Times New Roman"/>
          <w:i/>
          <w:caps w:val="false"/>
          <w:smallCaps w:val="false"/>
          <w:sz w:val="20"/>
        </w:rPr>
        <w:t>pro rata</w:t>
      </w:r>
      <w:r>
        <w:rPr>
          <w:rFonts w:ascii="Times New Roman" w:hAnsi="Times New Roman"/>
          <w:caps w:val="false"/>
          <w:smallCaps w:val="false"/>
          <w:sz w:val="20"/>
        </w:rPr>
        <w:t xml:space="preserve"> as determined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After the date fixed for redemption, the depositary shares called for redemption will no longer be outstanding. When the depositary shares are no longer outstanding, all rights of the holders will cease, except the right to receive money or other property that the holders of the depositary shares were entitled to receive upon the redemption. Payments will be made when holders surrender their depositary receipts to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Owners of depositary shares will be treated for U.S. federal income tax purposes as if they were owners of the preferred stock represented by the depositary shares. If necessary, the applicable prospectus supplement will provide a description of U.S. federal income tax consequences relating to the purchase and ownership of the depositary shares and the preferred stock represented by the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Amendment and Termination of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form of depositary receipt evidencing the depositary shares and any provision of the deposit agreement may be amended by agreement between us and the depositary at any time. However, certain amendments as specified in the applicable prospectus supplement will not be effective unless approved by the record holders of at least a majority of the depositary shares then-outstanding. A deposit agreement may be terminated by us or the depositary only if:</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170"/>
        <w:gridCol w:w="73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outstanding depositary shares relating to the deposit agreement have been redeemed;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a final distribution on the preferred stock of the relevant series in connection with our liquidation, dissolution or winding up of our business and the distribution has been distributed to the holders of the related depositary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Charges of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will pay all transfer and other taxes and governmental charges arising solely from the existence of the depositary arrangements. We will pay associated charges of the depositary for the initial deposit of the preferred stock and any redemption of the preferred stock. Holders of depositary shares will pay transfer and other taxes and governmental charges and any other charges that are stated to be their responsibility in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Resignation and Removal of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depositary may resign at any time by delivering notice to us. We may also remove the depositary at any time. Resignations or removals will take effect when a successor depositary is appointed and it accepts the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3" w:name="dsub"/>
      <w:bookmarkEnd w:id="13"/>
      <w:r>
        <w:rPr>
          <w:rFonts w:ascii="Times New Roman" w:hAnsi="Times New Roman"/>
          <w:b/>
          <w:caps w:val="false"/>
          <w:smallCaps w:val="false"/>
          <w:sz w:val="20"/>
        </w:rPr>
        <w:t>Description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summary of the general terms of the subscription rights to purchase common stock or other securities that we may offer to stockholders using this prospectus. This summary does not purport to be complete in all respects and is subject to and qualified entirely by reference to the applicable forms of subscription agent agreement and subscription certificate for a full understanding of all terms of any series of subscription rights. The forms of the subscription agent agreement and the subscription certificate will be filed with the SEC as an exhibit to the registration statement of which this prospectus is a part or as an exhibit to a filing incorporated by reference in the registration statement. See “Where You Can Find More Information” for information on how to obtain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Subscription rights may be issued independently or together with any other security and may or may not be transferable. As part of any subscription rights offering, we may enter into a standby underwriting or other arrangement under which the underwriters or any other person would purchase any securities that are not purchased in such subscription rights offering. If we issue subscription rights, they will be governed by a separate subscription agent agreement that we will sign with a bank or trust company, as rights agent, that will be named in the applicable prospectus supplement. The rights agent will act solely as our agent and will not assume any obligation to any holders of subscription rights certificates or beneficial owners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prospectus supplement relating to any subscription rights we offer will describe the specific terms of the offering and the subscription rights, including the record date for stockholders entitled to the subscription rights distribution, the number of subscription rights issued and the number of shares of common stock or other securities that may be purchased upon exercise of the subscription rights, the exercise price of the subscription rights, the date on which the subscription rights will become effective and the date on which the subscription rights will expire, and any 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general, a subscription right entitles the holder to purchase for cash a specific number of shares of common stock or other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a prospectus supplement that will describe, among other things:</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record date for stockholders entitled to receive the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60"/>
        <w:gridCol w:w="170"/>
        <w:gridCol w:w="9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of common stock or other securities that may be purchased upon exercise of each subscription right;</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exercise price of the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60"/>
        <w:gridCol w:w="170"/>
        <w:gridCol w:w="3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subscription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60"/>
        <w:gridCol w:w="170"/>
        <w:gridCol w:w="7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period during which the subscription rights may be exercised and when they will expire;</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170"/>
        <w:gridCol w:w="4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steps required to exercise the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subscription rights include “oversubscription rights” so that the holder may purchase more securities if other holders do not purchase their full allotments;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we intend to sell the shares of common stock or other securities that are not purchased in the rights offering to an underwriter or other purchaser under a contractual “standby” commitment or other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fewer than all of the subscription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 After the close of business on the expiration date of a subscription rights offering, all unexercised subscription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4" w:name="dstock"/>
      <w:bookmarkEnd w:id="14"/>
      <w:r>
        <w:rPr>
          <w:rFonts w:ascii="Times New Roman" w:hAnsi="Times New Roman"/>
          <w:b/>
          <w:caps w:val="false"/>
          <w:smallCaps w:val="false"/>
          <w:sz w:val="20"/>
        </w:rPr>
        <w:t>Description of Stock Purchase Contracts and Stock Purchase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issue stock purchase contracts, including contracts obligating holders to purchase from us, and us to sell to the holders, a specified number of shares of our common stock or preferred stock at a future date or dates (“Stock Purchase Contracts”). The price per share, and number of shares, of our common stock or preferred stock may be fixed at the time the Stock Purchase Contracts are issued or may be determined by reference to a specific formula set forth in the Stock Purchase Contracts. The Stock Purchase Contracts may be issued separately or as a part of units consisting of a Stock Purchase Contract and our debt securities or debt obligations of third parties, including Treasury securities, securing the holders’ obligations to purchase the shares of our common stock under the Stock Purchase Contracts (“Stock Purchase Units”). The Stock Purchase Contracts may require holders to secure their obligations thereunder in a specified manner. The Stock Purchase Contracts also may require us to make periodic payments to the holders of the Stock Purchase Units or vice-versa and such payments may be unsecured or prefunded on some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applicable prospectus supplement will describe the terms of any Stock Purchase Contracts or Stock Purchase Units. The description in the prospectus supplement will not necessarily be complete, and reference will be made to the Stock Purchase Contracts, and, if applicable, collateral or depositary arrangements, relating to the Stock Purchase Contracts or Stock Purchase Units. Material U.S. federal income tax considerations applicable to the Stock Purchase Units and the Stock Purchase Contracts will also be discussed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5" w:name="dunit"/>
      <w:bookmarkEnd w:id="15"/>
      <w:r>
        <w:rPr>
          <w:rFonts w:ascii="Times New Roman" w:hAnsi="Times New Roman"/>
          <w:b/>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specified in the applicable prospectus supplement, we may issue units consisting of one or more debt securities, shares of common stock, shares of preferred stock, depositary shares, warrants or other securities, or any combination of such securities, including guarantees of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prospectus supplement and any other offering materials relating to any units issued under the registration statement containing this prospectus will specify the terms of the units,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terms of the units and of any of the debt securities, common stock, preferred stock, depositary shares, warrants and guarantees comprising the units, including whether and under what circumstances the securities comprising the units may be traded separately;</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description of the terms of any unit agreement governing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description of the provisions for the payment, settlement, transfer or exchange of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6" w:name="plan"/>
      <w:bookmarkEnd w:id="16"/>
      <w:r>
        <w:rPr>
          <w:rFonts w:ascii="Times New Roman" w:hAnsi="Times New Roman"/>
          <w:b/>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sell the securities covered by this prospectus from time to time at market prices prevailing at the time of sale, at prices related to such prevailing market prices at the time of sale, at negotiated prices or at fixed prices, which may change from time to time. We may sell the securities directly to one or more purchasers, through agents, to dealers, through underwriters, brokers or dealers, or through a combination of any of these sales methods or through any other method permitted by law (including in “at the market” equity offerings as defined in Rule 415 of the Securities Act). We reserve the right to accept or reject, in whole or in part, any proposed purchase of securities, whether the purchase is to be made directly or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time that we use this prospectus to sell our securities, we will also provide a prospectus supplement, if required, that contains the specific terms of the offering,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name or names of the underwriters, dealers or agents, if any, and the types and amounts of securities underwritten or purchased by each of them;</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public offering price of the securities and the proceeds we will receive from the sale;</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70"/>
        <w:gridCol w:w="7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over-allotment options under which underwriters may purchase additional securities from us;</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170"/>
        <w:gridCol w:w="8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agency fees or underwriting discounts or other items constituting agents’ or underwriters’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60"/>
        <w:gridCol w:w="170"/>
        <w:gridCol w:w="7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discounts, commissions or concessions allowed or reallowed or paid to dealers; and</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securities exchange or market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Only underwriters that we have named in a prospectus supplement will be underwriters of the securities offered by that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any such material relationship in the prospectus supplement, naming the underwriter and the nature of any such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securities we may offer, other than common stock or other outstanding securities,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securities laws of some states, to the extent applicable, the securities may be sold in such states only through registered or licensed brokers or dealers. In addition, if our common stock is no longer listed on the Nasdaq Capital Market or another national securities exchange, in some states the securities may not be sold unless such securities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7" w:name="legal"/>
      <w:bookmarkEnd w:id="17"/>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legal matters in connection with any offering of securities made by this prospectus will be passed upon for us by our counsel, Barack Ferrazzano Kirschbaum &amp; Nagelberg LLP of Chicago, Illinois. If the securities are being distributed in an underwritten offering, certain legal matters will be passed upon for the underwriters by counsel identified in the related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8" w:name="exp"/>
      <w:bookmarkEnd w:id="18"/>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of Alerus Financial Corporation as of December 31, 2025 and 2024 and for each of the years in the three-year period ended December 31, 2025, incorporated in the Prospectus by reference from the Alerus Financial Corporation Annual Report on Form 10-K for the year ended December 31, 2025, and the effectiveness of internal control over financial reporting as of December 31, 2025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9" w:name="where"/>
      <w:bookmarkEnd w:id="19"/>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the informational requirements of the Exchange Act and file with the SEC proxy statements, Annual Reports on Form 10-K, Quarterly Reports on Form 10-Q and Current Reports on Form 8-K, as required of a U.S. listed company. Our SEC filings are available to the public from the SEC’s web site at www.sec.gov or on our website at www.alerus.com. However, except for those SEC filings incorporated by reference in this prospectus, the information on, or that can be accessible through, our website does not constitute a part of, and is not incorporated by reference in, this prospectus. Written requests for copies of the documents we file with the SEC should be directed to Alerus Financial Corporation, 401 Demers Avenue, Grand Forks, North Dakota 58201, Attention: Secretary, telephone: (701) 795-3200.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on Form S-3 filed by us with the SEC under the Securities Act. As permitted by the SEC, this prospectus does not contain all the information in the registration statement filed with the SEC. For a more complete understanding of this offering, you should refer to the complete registration statement, including exhibits, on Form S-3 that may be obtained as described above. Statements contained in this prospectus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contract or other document or matter involved. Each statement regarding a contract or other document is qualified in its entirety by reference to the actual contract or other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0" w:name="incorp"/>
      <w:bookmarkEnd w:id="20"/>
      <w:r>
        <w:rPr>
          <w:rFonts w:ascii="Times New Roman" w:hAnsi="Times New Roman"/>
          <w:b/>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SEC allows us to incorporate by reference the information that we file with it into this prospectus, which means that we can disclose important information to you by referring you to other documents. The information incorporated by reference is an important part of this prospectus. We incorporate by reference the following documents and any future filings made with the SEC under Sections 13(a), 13(c), 14 or 15(d) of the Exchange Act after the date of this prospectus and prior to the termination of this offering, as well as any filings after the date of this registration statement of which this prospectus forms a part and prior to the effectiveness of such registration statement, but excluding, in each case, information “furnished” rather than “filed” and information that is modified or superseded by subsequently filed documents prior to the termination of this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our Annual Report on </w:t>
            </w:r>
            <w:hyperlink r:id="rId3">
              <w:r>
                <w:rPr>
                  <w:rStyle w:val="InternetLink"/>
                  <w:rFonts w:ascii="Times New Roman" w:hAnsi="Times New Roman"/>
                  <w:caps w:val="false"/>
                  <w:smallCaps w:val="false"/>
                  <w:sz w:val="20"/>
                </w:rPr>
                <w:t>Form 10-K</w:t>
              </w:r>
            </w:hyperlink>
            <w:r>
              <w:rPr>
                <w:rFonts w:ascii="Times New Roman" w:hAnsi="Times New Roman"/>
                <w:caps w:val="false"/>
                <w:smallCaps w:val="false"/>
                <w:sz w:val="20"/>
              </w:rPr>
              <w:t xml:space="preserve"> for the year ended December 31, 2025, filed with the SEC on March 4, 2026 (including the portions of our definitive proxy statement on </w:t>
            </w:r>
            <w:hyperlink r:id="rId4">
              <w:r>
                <w:rPr>
                  <w:rStyle w:val="InternetLink"/>
                  <w:rFonts w:ascii="Times New Roman" w:hAnsi="Times New Roman"/>
                  <w:caps w:val="false"/>
                  <w:smallCaps w:val="false"/>
                  <w:sz w:val="20"/>
                </w:rPr>
                <w:t>Schedule 14A</w:t>
              </w:r>
            </w:hyperlink>
            <w:r>
              <w:rPr>
                <w:rFonts w:ascii="Times New Roman" w:hAnsi="Times New Roman"/>
                <w:caps w:val="false"/>
                <w:smallCaps w:val="false"/>
                <w:sz w:val="20"/>
              </w:rPr>
              <w:t>, filed with the SEC on April 1, 2026, incorporated by reference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our Quarterly Report on Form 10-Q for the quarter ended </w:t>
            </w:r>
            <w:hyperlink r:id="rId5">
              <w:r>
                <w:rPr>
                  <w:rStyle w:val="InternetLink"/>
                  <w:rFonts w:ascii="Times New Roman" w:hAnsi="Times New Roman"/>
                  <w:caps w:val="false"/>
                  <w:smallCaps w:val="false"/>
                  <w:sz w:val="20"/>
                </w:rPr>
                <w:t>March 31, 2026</w:t>
              </w:r>
            </w:hyperlink>
            <w:r>
              <w:rPr>
                <w:rFonts w:ascii="Times New Roman" w:hAnsi="Times New Roman"/>
                <w:caps w:val="false"/>
                <w:smallCaps w:val="false"/>
                <w:sz w:val="20"/>
              </w:rPr>
              <w:t xml:space="preserve">, filed with the SEC on May 1, 2026; and our Quarterly Report on Form 10-Q for the quarter ended </w:t>
            </w:r>
            <w:hyperlink r:id="rId6">
              <w:r>
                <w:rPr>
                  <w:rStyle w:val="InternetLink"/>
                  <w:rFonts w:ascii="Times New Roman" w:hAnsi="Times New Roman"/>
                  <w:caps w:val="false"/>
                  <w:smallCaps w:val="false"/>
                  <w:sz w:val="20"/>
                </w:rPr>
                <w:t>June 30, 2026</w:t>
              </w:r>
            </w:hyperlink>
            <w:r>
              <w:rPr>
                <w:rFonts w:ascii="Times New Roman" w:hAnsi="Times New Roman"/>
                <w:caps w:val="false"/>
                <w:smallCaps w:val="false"/>
                <w:sz w:val="20"/>
              </w:rPr>
              <w:t>, filed with the SEC on August 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our Current Reports on Form 8-K filed with the SEC on </w:t>
            </w:r>
            <w:hyperlink r:id="rId7">
              <w:r>
                <w:rPr>
                  <w:rStyle w:val="InternetLink"/>
                  <w:rFonts w:ascii="Times New Roman" w:hAnsi="Times New Roman"/>
                  <w:caps w:val="false"/>
                  <w:smallCaps w:val="false"/>
                  <w:sz w:val="20"/>
                </w:rPr>
                <w:t>February 26, 2026</w:t>
              </w:r>
            </w:hyperlink>
            <w:r>
              <w:rPr>
                <w:rFonts w:ascii="Times New Roman" w:hAnsi="Times New Roman"/>
                <w:caps w:val="false"/>
                <w:smallCaps w:val="false"/>
                <w:sz w:val="20"/>
              </w:rPr>
              <w:t xml:space="preserve">; </w:t>
            </w:r>
            <w:hyperlink r:id="rId8">
              <w:r>
                <w:rPr>
                  <w:rStyle w:val="InternetLink"/>
                  <w:rFonts w:ascii="Times New Roman" w:hAnsi="Times New Roman"/>
                  <w:caps w:val="false"/>
                  <w:smallCaps w:val="false"/>
                  <w:sz w:val="20"/>
                </w:rPr>
                <w:t>March 31, 2026</w:t>
              </w:r>
            </w:hyperlink>
            <w:r>
              <w:rPr>
                <w:rFonts w:ascii="Times New Roman" w:hAnsi="Times New Roman"/>
                <w:caps w:val="false"/>
                <w:smallCaps w:val="false"/>
                <w:sz w:val="20"/>
              </w:rPr>
              <w:t xml:space="preserve">; </w:t>
            </w:r>
            <w:hyperlink r:id="rId9">
              <w:r>
                <w:rPr>
                  <w:rStyle w:val="InternetLink"/>
                  <w:rFonts w:ascii="Times New Roman" w:hAnsi="Times New Roman"/>
                  <w:caps w:val="false"/>
                  <w:smallCaps w:val="false"/>
                  <w:sz w:val="20"/>
                </w:rPr>
                <w:t>May 15, 2026</w:t>
              </w:r>
            </w:hyperlink>
            <w:r>
              <w:rPr>
                <w:rFonts w:ascii="Times New Roman" w:hAnsi="Times New Roman"/>
                <w:caps w:val="false"/>
                <w:smallCaps w:val="false"/>
                <w:sz w:val="20"/>
              </w:rPr>
              <w:t xml:space="preserve">; </w:t>
            </w:r>
            <w:hyperlink r:id="rId10">
              <w:r>
                <w:rPr>
                  <w:rStyle w:val="InternetLink"/>
                  <w:rFonts w:ascii="Times New Roman" w:hAnsi="Times New Roman"/>
                  <w:caps w:val="false"/>
                  <w:smallCaps w:val="false"/>
                  <w:sz w:val="20"/>
                </w:rPr>
                <w:t>May 19, 2026</w:t>
              </w:r>
            </w:hyperlink>
            <w:r>
              <w:rPr>
                <w:rFonts w:ascii="Times New Roman" w:hAnsi="Times New Roman"/>
                <w:caps w:val="false"/>
                <w:smallCaps w:val="false"/>
                <w:sz w:val="20"/>
              </w:rPr>
              <w:t xml:space="preserve">; </w:t>
            </w:r>
            <w:hyperlink r:id="rId11">
              <w:r>
                <w:rPr>
                  <w:rStyle w:val="InternetLink"/>
                  <w:rFonts w:ascii="Times New Roman" w:hAnsi="Times New Roman"/>
                  <w:caps w:val="false"/>
                  <w:smallCaps w:val="false"/>
                  <w:sz w:val="20"/>
                </w:rPr>
                <w:t>May 22, 2026</w:t>
              </w:r>
            </w:hyperlink>
            <w:r>
              <w:rPr>
                <w:rFonts w:ascii="Times New Roman" w:hAnsi="Times New Roman"/>
                <w:caps w:val="false"/>
                <w:smallCaps w:val="false"/>
                <w:sz w:val="20"/>
              </w:rPr>
              <w:t xml:space="preserve">; and </w:t>
            </w:r>
            <w:hyperlink r:id="rId12">
              <w:r>
                <w:rPr>
                  <w:rStyle w:val="InternetLink"/>
                  <w:rFonts w:ascii="Times New Roman" w:hAnsi="Times New Roman"/>
                  <w:caps w:val="false"/>
                  <w:smallCaps w:val="false"/>
                  <w:sz w:val="20"/>
                </w:rPr>
                <w:t>August 27, 2026</w:t>
              </w:r>
            </w:hyperlink>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description of the Company’s common stock contained in the Registration Statement filed on </w:t>
            </w:r>
            <w:hyperlink r:id="rId13">
              <w:r>
                <w:rPr>
                  <w:rStyle w:val="InternetLink"/>
                  <w:rFonts w:ascii="Times New Roman" w:hAnsi="Times New Roman"/>
                  <w:caps w:val="false"/>
                  <w:smallCaps w:val="false"/>
                  <w:sz w:val="20"/>
                </w:rPr>
                <w:t>Form 8-A</w:t>
              </w:r>
            </w:hyperlink>
            <w:r>
              <w:rPr>
                <w:rFonts w:ascii="Times New Roman" w:hAnsi="Times New Roman"/>
                <w:caps w:val="false"/>
                <w:smallCaps w:val="false"/>
                <w:sz w:val="20"/>
              </w:rPr>
              <w:t xml:space="preserve"> with the SEC on September 6, 2019, pursuant to Section 12 of the Exchange Act (File No. 001-39036), as amended by the description of our securities contained in </w:t>
            </w:r>
            <w:hyperlink r:id="rId14">
              <w:r>
                <w:rPr>
                  <w:rStyle w:val="InternetLink"/>
                  <w:rFonts w:ascii="Times New Roman" w:hAnsi="Times New Roman"/>
                  <w:caps w:val="false"/>
                  <w:smallCaps w:val="false"/>
                  <w:sz w:val="20"/>
                </w:rPr>
                <w:t>Exhibit 4.1</w:t>
              </w:r>
            </w:hyperlink>
            <w:r>
              <w:rPr>
                <w:rFonts w:ascii="Times New Roman" w:hAnsi="Times New Roman"/>
                <w:caps w:val="false"/>
                <w:smallCaps w:val="false"/>
                <w:sz w:val="20"/>
              </w:rPr>
              <w:t> of our Annual Report on Form 10-K for the year ended December 31, 2025, filed with the SEC on March 4, 2026,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statement contained in this prospectus or in a document incorporated or deemed to be incorporated by reference into this prospectus shall be deemed to be modified or superseded for purposes of this prospectus to the extent that a statement contained in any subsequently filed document which also is, or is deemed to be, incorporated by reference in this prospectus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will provide to each person, including any beneficial owner, to whom a copy of this prospectus is delivered, without charge, upon written or oral request, a copy of any or all of the documents that are incorporated by reference into this prospectus and a copy of any or all other contracts or documents which are referred to in this prospectus but not delivered with this prospectus. Requests should be directed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Alerus Financial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Secretary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401 Demers Avenue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Grand Forks, North Dakota 58201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number: (701) 795-3200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br/>
      </w:r>
      <w:r>
        <w:rPr>
          <w:rFonts w:ascii="Times New Roman" w:hAnsi="Times New Roman"/>
          <w:b/>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14.</w:t>
      </w:r>
      <w:r>
        <w:rPr>
          <w:rFonts w:ascii="Times New Roman" w:hAnsi="Times New Roman"/>
          <w:caps w:val="false"/>
          <w:smallCaps w:val="false"/>
          <w:sz w:val="20"/>
        </w:rPr>
        <w:t xml:space="preserve">          </w:t>
      </w:r>
      <w:r>
        <w:rPr>
          <w:rFonts w:ascii="Times New Roman" w:hAnsi="Times New Roman"/>
          <w:b/>
          <w:caps w:val="false"/>
          <w:smallCaps w:val="false"/>
          <w:sz w:val="20"/>
        </w:rPr>
        <w:t>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sets forth our estimated expenses to be incurred in connection with the issuance and distribution of the securities being registered, other than underwriting discounts and commissions. We will pay all of these expenses.</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2540"/>
        <w:gridCol w:w="950"/>
      </w:tblGrid>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 Registration Fee</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$10,357.50</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Trustee Fees</w:t>
            </w:r>
          </w:p>
        </w:tc>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Printing Expenses</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Rating Agency Fees</w:t>
            </w:r>
          </w:p>
        </w:tc>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Fees and Expenses</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Accounting Fees and Expenses</w:t>
            </w:r>
          </w:p>
        </w:tc>
        <w:tc>
          <w:tcPr>
            <w:tcW w:w="9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Miscellaneous</w:t>
            </w:r>
          </w:p>
        </w:tc>
        <w:tc>
          <w:tcPr>
            <w:tcW w:w="9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2540" w:type="dxa"/>
            <w:tcBorders>
              <w:bottom w:val="single" w:sz="2" w:space="0" w:color="000000"/>
            </w:tcBorders>
            <w:shd w:fill="FFFFFF" w:val="clear"/>
            <w:tcMar>
              <w:bottom w:w="28" w:type="dxa"/>
            </w:tcM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fees are not presently known and cannot be estimated at this time, as they will be based upon, among other things, the amount and type of security being offered as well as the number of offerings.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15.</w:t>
      </w:r>
      <w:r>
        <w:rPr>
          <w:rFonts w:ascii="Times New Roman" w:hAnsi="Times New Roman"/>
          <w:caps w:val="false"/>
          <w:smallCaps w:val="false"/>
          <w:sz w:val="20"/>
        </w:rPr>
        <w:t xml:space="preserve">          </w:t>
      </w:r>
      <w:r>
        <w:rPr>
          <w:rFonts w:ascii="Times New Roman" w:hAnsi="Times New Roman"/>
          <w:b/>
          <w:caps w:val="false"/>
          <w:smallCaps w:val="false"/>
          <w:sz w:val="20"/>
        </w:rPr>
        <w:t>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Delaware Law</w:t>
      </w:r>
      <w:r>
        <w:rPr>
          <w:rFonts w:ascii="Times New Roman" w:hAnsi="Times New Roman"/>
          <w:caps w:val="false"/>
          <w:smallCaps w:val="false"/>
          <w:sz w:val="20"/>
        </w:rPr>
        <w:t>. 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directors, under Section 174 of the DGCL (regarding, among other things, the payment of unlawful dividends or unlawful stock purchases or redemptions), (iv) for any transaction from which the director or officer derived an improper personal benefit or (v) for an officer, in any action by or in right of the corporation. Our Certificate of Incorporation provides for such limitation of liability for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145(a)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by reason of such person’s service as a director, officer, employee or agent of the corporation, or such person’s service, at the corporation's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provided that such director or officer acted in good faith and in a manner such director or officer reasonably believed to be in or not opposed to the best interests of the corporation; and, with respect to any criminal action or proceeding, provided that such director or officer had no reasonable cause to believe his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145(b)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that the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145(c) provides that to the extent a present or former director or officer of a corporation has been successful on the merits or in the defense of any action, suit or proceeding referred to above, or in the defense of any claim, issue or matter therein, he or she shall be indemnified against expenses (including attorneys’ fees) actually and reasonably incurred by him or her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Certificate of Incorporation and Bylaws. </w:t>
      </w:r>
      <w:r>
        <w:rPr>
          <w:rFonts w:ascii="Times New Roman" w:hAnsi="Times New Roman"/>
          <w:caps w:val="false"/>
          <w:smallCaps w:val="false"/>
          <w:sz w:val="20"/>
        </w:rPr>
        <w:t>Article VII of the Company’s Certificate of Incorporation and Section 6.2 of the Company’s Bylaws provide that, subject to the limits of applicable federal banking laws and regulations, the present and former directors and officers of the Company shall be indemnified by the Company to the fullest extent permitted by the DGCL. Section 6.4 of the Company’s Bylaws provides that, subject to the limits of applicable federal banking laws and regulations, we are required to advance certain expenses (including attorneys’ fees) to our current and former directors and officers arising from any pending or threatened action, suit or proceeding related to such officer's or director's service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foregoing description of the Company’s Certificate of Incorporation and Bylaws is qualified in its entirety by reference to each such document, which are listed as Exhibits 3.1, 3.2 and 3.3,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Liability Insurance</w:t>
      </w:r>
      <w:r>
        <w:rPr>
          <w:rFonts w:ascii="Times New Roman" w:hAnsi="Times New Roman"/>
          <w:b/>
          <w:caps w:val="false"/>
          <w:smallCaps w:val="false"/>
          <w:sz w:val="20"/>
        </w:rPr>
        <w:t>.</w:t>
      </w:r>
      <w:r>
        <w:rPr>
          <w:rFonts w:ascii="Times New Roman" w:hAnsi="Times New Roman"/>
          <w:caps w:val="false"/>
          <w:smallCaps w:val="false"/>
          <w:sz w:val="20"/>
        </w:rPr>
        <w:t xml:space="preserve"> The Company maintains directors’ and officers’ liability insurance which covers certain liabilities and expenses of its directors and officers and covers it for reimbursement of payments to our directors and officers in respect of such liabilities and expenses, in each case subject to certain limits and exceptions.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16.</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94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Exhibits</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Underwriting Agreement.</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Placement Agent Agreement</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9495"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rPr>
                <w:t>Third Amended and Restated Certificate of Incorporation of Alerus Financial Corporation (incorporated herein by reference to Exhibit 3.1 of the Company’s Registration Statement on Form S-1 filed on August 16, 2019).</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9495"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Amendment to Third Amended and Restated Certificate of Incorporation (incorporated herein by reference to Exhibit 3.1 of the Company’s Current Report on Form 8-K filed on May 12, 2025).</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9495"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rPr>
                <w:t>Second Amended and Restated Bylaws of Alerus Financial Corporation (incorporated herein by reference to Exhibit 3.2 of the Company’s Registration Statement on Form S-1 filed on August 16, 2019).</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9495"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rPr>
                <w:t>Description of Capital Stock (incorporated herein by reference to Exhibit 4.1 on the Company’s Annual Report on Form 10-K Filed on March 4, 2026).</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9495"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rPr>
                <w:t>Specimen Stock Certificate representing Alerus Financial Corporation’s common stock (incorporated herein by reference to Exhibit 4.1 of the Company’s Registration Statement on Form S-1 filed on August 16, 2019).</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Certificate of Designations of Preferred Stock.</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Preferred Stock Certificate.</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Warrant and Warrant Certificate.</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tc>
        <w:tc>
          <w:tcPr>
            <w:tcW w:w="9495"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rPr>
                <w:t>Form of Indenture (incorporated herein by reference to Exhibit 4.6 of the Company’s Registration Statement on Form S-3 filed on September 14, 2023).</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Senior Debt Security.</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Subordinated Debt Security.</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Purchase Contract Agreement.</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4.10*</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Depositary Agreement and Depositary Receipt.</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4.11*</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Subscription Certificate.</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4.12*</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Subscription Agent Agreement.</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4.13*</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Unit Agreement and Unit Certificate.</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9495" w:type="dxa"/>
            <w:tcBorders/>
            <w:vAlign w:val="center"/>
          </w:tcPr>
          <w:p>
            <w:pPr>
              <w:pStyle w:val="TableContents"/>
              <w:bidi w:val="0"/>
              <w:spacing w:before="0" w:after="0"/>
              <w:ind w:left="0" w:right="0" w:hanging="0"/>
              <w:jc w:val="left"/>
              <w:rPr/>
            </w:pPr>
            <w:hyperlink w:anchor="ex_1010363.htm">
              <w:r>
                <w:rPr>
                  <w:rStyle w:val="InternetLink"/>
                  <w:rFonts w:ascii="Times New Roman" w:hAnsi="Times New Roman"/>
                  <w:caps w:val="false"/>
                  <w:smallCaps w:val="false"/>
                  <w:sz w:val="20"/>
                </w:rPr>
                <w:t>Opinion of Barack Ferrazzano Kirschbaum &amp; Nagelberg LLP.</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9495" w:type="dxa"/>
            <w:tcBorders/>
            <w:vAlign w:val="center"/>
          </w:tcPr>
          <w:p>
            <w:pPr>
              <w:pStyle w:val="TableContents"/>
              <w:bidi w:val="0"/>
              <w:spacing w:before="0" w:after="0"/>
              <w:ind w:left="0" w:right="0" w:hanging="0"/>
              <w:jc w:val="left"/>
              <w:rPr/>
            </w:pPr>
            <w:hyperlink w:anchor="ex_1010364.htm">
              <w:r>
                <w:rPr>
                  <w:rStyle w:val="InternetLink"/>
                  <w:rFonts w:ascii="Times New Roman" w:hAnsi="Times New Roman"/>
                  <w:caps w:val="false"/>
                  <w:smallCaps w:val="false"/>
                  <w:sz w:val="20"/>
                </w:rPr>
                <w:t>Consent of RSM US LLP.</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23.2</w:t>
            </w:r>
          </w:p>
        </w:tc>
        <w:tc>
          <w:tcPr>
            <w:tcW w:w="9495" w:type="dxa"/>
            <w:tcBorders/>
            <w:vAlign w:val="center"/>
          </w:tcPr>
          <w:p>
            <w:pPr>
              <w:pStyle w:val="TableContents"/>
              <w:bidi w:val="0"/>
              <w:spacing w:before="0" w:after="0"/>
              <w:ind w:left="0" w:right="0" w:hanging="0"/>
              <w:jc w:val="left"/>
              <w:rPr/>
            </w:pPr>
            <w:hyperlink w:anchor="ex_1010363.htm">
              <w:r>
                <w:rPr>
                  <w:rStyle w:val="InternetLink"/>
                  <w:rFonts w:ascii="Times New Roman" w:hAnsi="Times New Roman"/>
                  <w:caps w:val="false"/>
                  <w:smallCaps w:val="false"/>
                  <w:sz w:val="20"/>
                </w:rPr>
                <w:t>Consent of Barack Ferrazzano Kirschbaum &amp; Nagelberg LLP (included in Exhibit 5.1).</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24.1</w:t>
            </w:r>
          </w:p>
        </w:tc>
        <w:tc>
          <w:tcPr>
            <w:tcW w:w="9495" w:type="dxa"/>
            <w:tcBorders/>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 of Attorney (included on the signature page to the registration statement).</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25.1**</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Statement of Eligibility of Trustee on Form T-1 for the Indenture.</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107.1</w:t>
            </w:r>
          </w:p>
        </w:tc>
        <w:tc>
          <w:tcPr>
            <w:tcW w:w="9495" w:type="dxa"/>
            <w:tcBorders/>
            <w:vAlign w:val="center"/>
          </w:tcPr>
          <w:p>
            <w:pPr>
              <w:pStyle w:val="TableContents"/>
              <w:bidi w:val="0"/>
              <w:spacing w:before="0" w:after="0"/>
              <w:ind w:left="0" w:right="0" w:hanging="0"/>
              <w:jc w:val="left"/>
              <w:rPr/>
            </w:pPr>
            <w:hyperlink w:anchor="ex_1010365.htm">
              <w:r>
                <w:rPr>
                  <w:rStyle w:val="InternetLink"/>
                  <w:rFonts w:ascii="Times New Roman" w:hAnsi="Times New Roman"/>
                  <w:caps w:val="false"/>
                  <w:smallCaps w:val="false"/>
                  <w:sz w:val="20"/>
                </w:rPr>
                <w:t>Filing Fee Table</w:t>
              </w:r>
            </w:hyperlink>
          </w:p>
        </w:tc>
      </w:tr>
    </w:tbl>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         To be filed either by amendment or as an exhibit to a report filed under the Exchange Act,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         To be filed separately under the electronic form type “305B2” pursuant to Section 305(b)(2) of the Trust Indenture Act of 1939, as amended,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17.</w:t>
      </w:r>
      <w:r>
        <w:rPr>
          <w:rFonts w:ascii="Times New Roman" w:hAnsi="Times New Roman"/>
          <w:caps w:val="false"/>
          <w:smallCaps w:val="false"/>
          <w:sz w:val="20"/>
        </w:rPr>
        <w:t xml:space="preserve">          </w:t>
      </w:r>
      <w:r>
        <w:rPr>
          <w:rFonts w:ascii="Times New Roman" w:hAnsi="Times New Roman"/>
          <w:b/>
          <w:caps w:val="false"/>
          <w:smallCaps w:val="false"/>
          <w:sz w:val="20"/>
        </w:rPr>
        <w:t>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4"/>
        <w:gridCol w:w="9901"/>
      </w:tblGrid>
      <w:tr>
        <w:trPr/>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200"/>
        <w:gridCol w:w="617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6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w:t>
            </w:r>
          </w:p>
        </w:tc>
        <w:tc>
          <w:tcPr>
            <w:tcW w:w="9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4"/>
        <w:gridCol w:w="9851"/>
      </w:tblGrid>
      <w:tr>
        <w:trPr/>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(iii)</w:t>
            </w:r>
          </w:p>
        </w:tc>
        <w:tc>
          <w:tcPr>
            <w:tcW w:w="9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provided, however, that paragraphs (1)(i), (1)(ii) and (1)(iii)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9"/>
        <w:gridCol w:w="9916"/>
      </w:tblGrid>
      <w:tr>
        <w:trPr/>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60"/>
        <w:gridCol w:w="245"/>
        <w:gridCol w:w="70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70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1"/>
        <w:gridCol w:w="9974"/>
      </w:tblGrid>
      <w:tr>
        <w:trPr/>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9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the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9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w:t>
            </w:r>
          </w:p>
        </w:tc>
        <w:tc>
          <w:tcPr>
            <w:tcW w:w="9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2"/>
        <w:gridCol w:w="9853"/>
      </w:tblGrid>
      <w:tr>
        <w:trPr/>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(iii)</w:t>
            </w:r>
          </w:p>
        </w:tc>
        <w:tc>
          <w:tcPr>
            <w:tcW w:w="9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305"/>
        <w:gridCol w:w="8780"/>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(iv)</w:t>
            </w:r>
          </w:p>
        </w:tc>
        <w:tc>
          <w:tcPr>
            <w:tcW w:w="87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99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9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file an application for the purpose of determining the eligibility of the trustee to act under subsection (a) of Section 310 of the Trust Indenture Act of 1939 in accordance with the rules and regulations prescribed by the SEC under Section 305(b)(2) of the Trust Indenture Act of 1939.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Insofar as indemnification for liabilities arising under the Securities Act may be permitted to directors, officers and controlling persons of the registrant pursuant to the indemnification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Minneapolis, State of Minnesota, on September 2, 2026.</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380"/>
        <w:gridCol w:w="3440"/>
      </w:tblGrid>
      <w:tr>
        <w:trPr/>
        <w:tc>
          <w:tcPr>
            <w:tcW w:w="38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ALERUS FINANCIAL CORPORATION</w:t>
            </w:r>
          </w:p>
        </w:tc>
      </w:tr>
      <w:tr>
        <w:trPr/>
        <w:tc>
          <w:tcPr>
            <w:tcW w:w="38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440" w:type="dxa"/>
            <w:tcBorders>
              <w:bottom w:val="single" w:sz="2" w:space="0" w:color="000000"/>
            </w:tcBorders>
            <w:tcMar>
              <w:bottom w:w="28" w:type="dxa"/>
            </w:tcMar>
            <w:vAlign w:val="center"/>
          </w:tcPr>
          <w:p>
            <w:pPr>
              <w:pStyle w:val="TableContents"/>
              <w:bidi w:val="0"/>
              <w:spacing w:before="0" w:after="0"/>
              <w:ind w:left="0" w:right="0" w:firstLine="36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 Katie A. Lorenson</w:t>
            </w:r>
          </w:p>
        </w:tc>
      </w:tr>
      <w:tr>
        <w:trPr/>
        <w:tc>
          <w:tcPr>
            <w:tcW w:w="3820"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 Katie A. Lorenson</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 President and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poa"/>
      <w:bookmarkEnd w:id="21"/>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person whose signature appears below hereby constitutes and appoints each of Katie A. Lorenson and Alan A. Villalon his true and lawful attorney-in-fact and agent, acting alone, with full power of substitution and resubstitution, to sign on his behalf, individually and in each capacity stated below, all amendments and post-effective amendments to this registration statement on Form S-3 (including any registration statement filed pursuant to Rule 462(b) under the Securities Act, and all amendments thereto) and to file the same, with all exhibits thereto and any other documents in connection therewith, with the SEC under the Securities Act, granting unto said attorneys-in-fact and agents full power and authority to do and perform each and every act and thing requisite and necessary to be done in and about the premises, as fully and to all intents and purposes as each might or could do in person, hereby ratifying and confirming each act that said attorneys-in-fact and agents may lawfully do or cause to be done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this registration statement has been signed below by the following persons in the capacities indicated on September 2, 2026.</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2060"/>
        <w:gridCol w:w="5060"/>
      </w:tblGrid>
      <w:tr>
        <w:trPr/>
        <w:tc>
          <w:tcPr>
            <w:tcW w:w="20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50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r>
      <w:tr>
        <w:trPr/>
        <w:tc>
          <w:tcPr>
            <w:tcW w:w="2060" w:type="dxa"/>
            <w:tcBorders/>
            <w:vAlign w:val="center"/>
          </w:tcPr>
          <w:p>
            <w:pPr>
              <w:pStyle w:val="TableContents"/>
              <w:bidi w:val="0"/>
              <w:spacing w:before="0" w:after="283"/>
              <w:jc w:val="center"/>
              <w:rPr/>
            </w:pPr>
            <w:r>
              <w:rPr/>
              <w:t> </w:t>
            </w:r>
          </w:p>
        </w:tc>
        <w:tc>
          <w:tcPr>
            <w:tcW w:w="5060" w:type="dxa"/>
            <w:tcBorders/>
            <w:vAlign w:val="center"/>
          </w:tcPr>
          <w:p>
            <w:pPr>
              <w:pStyle w:val="TableContents"/>
              <w:bidi w:val="0"/>
              <w:spacing w:before="0" w:after="283"/>
              <w:jc w:val="center"/>
              <w:rPr/>
            </w:pPr>
            <w:r>
              <w:rPr/>
              <w:t> </w:t>
            </w:r>
          </w:p>
        </w:tc>
      </w:tr>
      <w:tr>
        <w:trPr/>
        <w:tc>
          <w:tcPr>
            <w:tcW w:w="2060" w:type="dxa"/>
            <w:tcBorders>
              <w:bottom w:val="single" w:sz="2" w:space="0" w:color="000000"/>
            </w:tcBorders>
            <w:tcMar>
              <w:bottom w:w="28" w:type="dxa"/>
            </w:tcMar>
            <w:vAlign w:val="center"/>
          </w:tcPr>
          <w:p>
            <w:pPr>
              <w:pStyle w:val="TableContents"/>
              <w:bidi w:val="0"/>
              <w:spacing w:before="0" w:after="283"/>
              <w:jc w:val="center"/>
              <w:rPr/>
            </w:pPr>
            <w:r>
              <w:rPr/>
              <w:t>/s/ Katie A. Lorenson</w:t>
            </w:r>
          </w:p>
        </w:tc>
        <w:tc>
          <w:tcPr>
            <w:tcW w:w="5060" w:type="dxa"/>
            <w:tcBorders/>
            <w:vAlign w:val="center"/>
          </w:tcPr>
          <w:p>
            <w:pPr>
              <w:pStyle w:val="TableContents"/>
              <w:bidi w:val="0"/>
              <w:spacing w:before="0" w:after="283"/>
              <w:jc w:val="center"/>
              <w:rPr/>
            </w:pPr>
            <w:r>
              <w:rPr/>
              <w:t>Director, President and Chief Executive Officer</w:t>
            </w:r>
          </w:p>
        </w:tc>
      </w:tr>
      <w:tr>
        <w:trPr/>
        <w:tc>
          <w:tcPr>
            <w:tcW w:w="20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Katie A. Lorenson</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283"/>
              <w:jc w:val="center"/>
              <w:rPr/>
            </w:pPr>
            <w:r>
              <w:rPr/>
              <w:t>/s/ Alan A. Villalon</w:t>
            </w:r>
          </w:p>
        </w:tc>
        <w:tc>
          <w:tcPr>
            <w:tcW w:w="5060" w:type="dxa"/>
            <w:tcBorders/>
            <w:vAlign w:val="center"/>
          </w:tcPr>
          <w:p>
            <w:pPr>
              <w:pStyle w:val="TableContents"/>
              <w:bidi w:val="0"/>
              <w:spacing w:before="0" w:after="283"/>
              <w:jc w:val="center"/>
              <w:rPr/>
            </w:pPr>
            <w:r>
              <w:rPr/>
              <w:t>Executive Vice President and Chief Financial Officer</w:t>
            </w:r>
          </w:p>
        </w:tc>
      </w:tr>
      <w:tr>
        <w:trPr/>
        <w:tc>
          <w:tcPr>
            <w:tcW w:w="20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Alan A. Villalon</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Officer)</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283"/>
              <w:jc w:val="center"/>
              <w:rPr/>
            </w:pPr>
            <w:r>
              <w:rPr/>
              <w:t>/s/ Kari A. Koob</w:t>
            </w:r>
          </w:p>
        </w:tc>
        <w:tc>
          <w:tcPr>
            <w:tcW w:w="5060" w:type="dxa"/>
            <w:tcBorders/>
            <w:vAlign w:val="center"/>
          </w:tcPr>
          <w:p>
            <w:pPr>
              <w:pStyle w:val="TableContents"/>
              <w:bidi w:val="0"/>
              <w:spacing w:before="0" w:after="283"/>
              <w:jc w:val="center"/>
              <w:rPr/>
            </w:pPr>
            <w:r>
              <w:rPr/>
              <w:t>SVP, Controller</w:t>
            </w:r>
          </w:p>
        </w:tc>
      </w:tr>
      <w:tr>
        <w:trPr/>
        <w:tc>
          <w:tcPr>
            <w:tcW w:w="20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Kari A. Koob</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Accounting Officer)</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Jeffrey Bolton</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60" w:type="dxa"/>
            <w:tcBorders/>
            <w:vAlign w:val="center"/>
          </w:tcPr>
          <w:p>
            <w:pPr>
              <w:pStyle w:val="TableContents"/>
              <w:bidi w:val="0"/>
              <w:spacing w:before="0" w:after="283"/>
              <w:jc w:val="center"/>
              <w:rPr>
                <w:b/>
              </w:rPr>
            </w:pPr>
            <w:r>
              <w:rPr>
                <w:b/>
              </w:rPr>
              <w:t>Jeffrey Bolton</w:t>
            </w:r>
          </w:p>
        </w:tc>
        <w:tc>
          <w:tcPr>
            <w:tcW w:w="50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Daniel E. Coughlin</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60" w:type="dxa"/>
            <w:tcBorders/>
            <w:vAlign w:val="center"/>
          </w:tcPr>
          <w:p>
            <w:pPr>
              <w:pStyle w:val="TableContents"/>
              <w:bidi w:val="0"/>
              <w:spacing w:before="0" w:after="283"/>
              <w:jc w:val="center"/>
              <w:rPr>
                <w:b/>
              </w:rPr>
            </w:pPr>
            <w:r>
              <w:rPr>
                <w:b/>
              </w:rPr>
              <w:t>Daniel E. Coughlin</w:t>
            </w:r>
          </w:p>
        </w:tc>
        <w:tc>
          <w:tcPr>
            <w:tcW w:w="50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Janet O. Estep</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60" w:type="dxa"/>
            <w:tcBorders/>
            <w:vAlign w:val="center"/>
          </w:tcPr>
          <w:p>
            <w:pPr>
              <w:pStyle w:val="TableContents"/>
              <w:bidi w:val="0"/>
              <w:spacing w:before="0" w:after="283"/>
              <w:jc w:val="center"/>
              <w:rPr>
                <w:b/>
              </w:rPr>
            </w:pPr>
            <w:r>
              <w:rPr>
                <w:b/>
              </w:rPr>
              <w:t>Janet O. Estep</w:t>
            </w:r>
          </w:p>
        </w:tc>
        <w:tc>
          <w:tcPr>
            <w:tcW w:w="50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Randy L. Newman</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60" w:type="dxa"/>
            <w:tcBorders/>
            <w:vAlign w:val="center"/>
          </w:tcPr>
          <w:p>
            <w:pPr>
              <w:pStyle w:val="TableContents"/>
              <w:bidi w:val="0"/>
              <w:spacing w:before="0" w:after="283"/>
              <w:jc w:val="center"/>
              <w:rPr>
                <w:b/>
              </w:rPr>
            </w:pPr>
            <w:r>
              <w:rPr>
                <w:b/>
              </w:rPr>
              <w:t>Randy L. Newman</w:t>
            </w:r>
          </w:p>
        </w:tc>
        <w:tc>
          <w:tcPr>
            <w:tcW w:w="50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Nikki L. Sorum</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60" w:type="dxa"/>
            <w:tcBorders/>
            <w:vAlign w:val="center"/>
          </w:tcPr>
          <w:p>
            <w:pPr>
              <w:pStyle w:val="TableContents"/>
              <w:bidi w:val="0"/>
              <w:spacing w:before="0" w:after="283"/>
              <w:jc w:val="center"/>
              <w:rPr>
                <w:b/>
              </w:rPr>
            </w:pPr>
            <w:r>
              <w:rPr>
                <w:b/>
              </w:rPr>
              <w:t>Nikki L. Sorum</w:t>
            </w:r>
          </w:p>
        </w:tc>
        <w:tc>
          <w:tcPr>
            <w:tcW w:w="50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Uribe</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60" w:type="dxa"/>
            <w:tcBorders/>
            <w:vAlign w:val="center"/>
          </w:tcPr>
          <w:p>
            <w:pPr>
              <w:pStyle w:val="TableContents"/>
              <w:bidi w:val="0"/>
              <w:spacing w:before="0" w:after="283"/>
              <w:jc w:val="center"/>
              <w:rPr>
                <w:b/>
              </w:rPr>
            </w:pPr>
            <w:r>
              <w:rPr>
                <w:b/>
              </w:rPr>
              <w:t>John Uribe</w:t>
            </w:r>
          </w:p>
        </w:tc>
        <w:tc>
          <w:tcPr>
            <w:tcW w:w="50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Galen G. Vetter</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60" w:type="dxa"/>
            <w:tcBorders/>
            <w:vAlign w:val="center"/>
          </w:tcPr>
          <w:p>
            <w:pPr>
              <w:pStyle w:val="TableContents"/>
              <w:bidi w:val="0"/>
              <w:spacing w:before="0" w:after="283"/>
              <w:jc w:val="center"/>
              <w:rPr>
                <w:b/>
              </w:rPr>
            </w:pPr>
            <w:r>
              <w:rPr>
                <w:b/>
              </w:rPr>
              <w:t>Galen G. Vetter</w:t>
            </w:r>
          </w:p>
        </w:tc>
        <w:tc>
          <w:tcPr>
            <w:tcW w:w="50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Mary E. Zimmer</w:t>
            </w:r>
          </w:p>
        </w:tc>
        <w:tc>
          <w:tcPr>
            <w:tcW w:w="50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060" w:type="dxa"/>
            <w:tcBorders/>
            <w:vAlign w:val="center"/>
          </w:tcPr>
          <w:p>
            <w:pPr>
              <w:pStyle w:val="TableContents"/>
              <w:bidi w:val="0"/>
              <w:spacing w:before="0" w:after="283"/>
              <w:jc w:val="center"/>
              <w:rPr>
                <w:b/>
              </w:rPr>
            </w:pPr>
            <w:r>
              <w:rPr>
                <w:b/>
              </w:rPr>
              <w:t>Mary E. Zimmer</w:t>
            </w:r>
          </w:p>
        </w:tc>
        <w:tc>
          <w:tcPr>
            <w:tcW w:w="50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II-6</w:t>
      </w:r>
    </w:p>
    <w:p>
      <w:pPr>
        <w:pStyle w:val="TextBody"/>
        <w:bidi w:val="0"/>
        <w:spacing w:before="0" w:after="0"/>
        <w:ind w:left="0" w:right="0" w:hanging="0"/>
        <w:jc w:val="right"/>
        <w:rPr>
          <w:rFonts w:ascii="Times New Roman;Times;serif" w:hAnsi="Times New Roman;Times;serif"/>
          <w:b/>
          <w:sz w:val="20"/>
        </w:rPr>
      </w:pPr>
      <w:bookmarkStart w:id="22" w:name="ex_1010363.htm"/>
      <w:bookmarkStart w:id="23" w:name="ksex_1010363"/>
      <w:bookmarkEnd w:id="22"/>
      <w:bookmarkEnd w:id="23"/>
      <w:r>
        <w:rPr>
          <w:rFonts w:ascii="Times New Roman;Times;serif" w:hAnsi="Times New Roman;Times;serif"/>
          <w:b/>
          <w:sz w:val="20"/>
        </w:rPr>
        <w:t>Exhibit 5.1</w:t>
      </w:r>
      <w:r>
        <w:br w:type="page"/>
      </w:r>
    </w:p>
    <w:p>
      <w:pPr>
        <w:pStyle w:val="TextBody"/>
        <w:bidi w:val="0"/>
        <w:spacing w:before="0" w:after="0"/>
        <w:ind w:left="0" w:right="0" w:hanging="0"/>
        <w:jc w:val="left"/>
        <w:rPr/>
      </w:pPr>
      <w:r>
        <w:rPr/>
        <w:t> </w:t>
      </w:r>
      <w:r>
        <w:rPr/>
        <w:drawing>
          <wp:inline distT="0" distB="0" distL="0" distR="0">
            <wp:extent cx="1609725"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609725" cy="5905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Alerus Financial Corporation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401 Demers Avenue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Grand Forks, North Dakota 58201</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305"/>
        <w:gridCol w:w="582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w:t>
            </w:r>
          </w:p>
        </w:tc>
        <w:tc>
          <w:tcPr>
            <w:tcW w:w="582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Registration Statement on Form S-3 of Alerus Financial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opinion is being rendered to you in connection with the filing by Alerus Financial Corporation, a Delaware corporation (the “</w:t>
      </w:r>
      <w:r>
        <w:rPr>
          <w:rFonts w:ascii="Times New Roman" w:hAnsi="Times New Roman"/>
          <w:i/>
          <w:caps w:val="false"/>
          <w:smallCaps w:val="false"/>
          <w:sz w:val="20"/>
        </w:rPr>
        <w:t>Company</w:t>
      </w:r>
      <w:r>
        <w:rPr>
          <w:rFonts w:ascii="Times New Roman" w:hAnsi="Times New Roman"/>
          <w:caps w:val="false"/>
          <w:smallCaps w:val="false"/>
          <w:sz w:val="20"/>
        </w:rPr>
        <w:t>”), with the Securities and Exchange Commission (the “</w:t>
      </w:r>
      <w:r>
        <w:rPr>
          <w:rFonts w:ascii="Times New Roman" w:hAnsi="Times New Roman"/>
          <w:i/>
          <w:caps w:val="false"/>
          <w:smallCaps w:val="false"/>
          <w:sz w:val="20"/>
        </w:rPr>
        <w:t>Commission</w:t>
      </w:r>
      <w:r>
        <w:rPr>
          <w:rFonts w:ascii="Times New Roman" w:hAnsi="Times New Roman"/>
          <w:caps w:val="false"/>
          <w:smallCaps w:val="false"/>
          <w:sz w:val="20"/>
        </w:rPr>
        <w:t>”) of a registration statement on Form S-3 (the “</w:t>
      </w:r>
      <w:r>
        <w:rPr>
          <w:rFonts w:ascii="Times New Roman" w:hAnsi="Times New Roman"/>
          <w:i/>
          <w:caps w:val="false"/>
          <w:smallCaps w:val="false"/>
          <w:sz w:val="20"/>
        </w:rPr>
        <w:t>Registration Statement</w:t>
      </w:r>
      <w:r>
        <w:rPr>
          <w:rFonts w:ascii="Times New Roman" w:hAnsi="Times New Roman"/>
          <w:caps w:val="false"/>
          <w:smallCaps w:val="false"/>
          <w:sz w:val="20"/>
        </w:rPr>
        <w:t>”), pursuant to the Securities Act of 1933, as amended (the “</w:t>
      </w:r>
      <w:r>
        <w:rPr>
          <w:rFonts w:ascii="Times New Roman" w:hAnsi="Times New Roman"/>
          <w:i/>
          <w:caps w:val="false"/>
          <w:smallCaps w:val="false"/>
          <w:sz w:val="20"/>
        </w:rPr>
        <w:t>Act</w:t>
      </w:r>
      <w:r>
        <w:rPr>
          <w:rFonts w:ascii="Times New Roman" w:hAnsi="Times New Roman"/>
          <w:caps w:val="false"/>
          <w:smallCaps w:val="false"/>
          <w:sz w:val="20"/>
        </w:rPr>
        <w:t>”). The Registration Statement relates to the registration and proposed issuance and sale from time to time pursuant to Rule 415 under the Act of up to an aggregate principal amount of $200,000,000 of: (a) shares of common stock, $1.00 par value per share, of the Company (the “</w:t>
      </w:r>
      <w:r>
        <w:rPr>
          <w:rFonts w:ascii="Times New Roman" w:hAnsi="Times New Roman"/>
          <w:i/>
          <w:caps w:val="false"/>
          <w:smallCaps w:val="false"/>
          <w:sz w:val="20"/>
        </w:rPr>
        <w:t>Common Stock</w:t>
      </w:r>
      <w:r>
        <w:rPr>
          <w:rFonts w:ascii="Times New Roman" w:hAnsi="Times New Roman"/>
          <w:caps w:val="false"/>
          <w:smallCaps w:val="false"/>
          <w:sz w:val="20"/>
        </w:rPr>
        <w:t>”); (b) shares of preferred stock, $1.00 par value per share, of the Company (the “</w:t>
      </w:r>
      <w:r>
        <w:rPr>
          <w:rFonts w:ascii="Times New Roman" w:hAnsi="Times New Roman"/>
          <w:i/>
          <w:caps w:val="false"/>
          <w:smallCaps w:val="false"/>
          <w:sz w:val="20"/>
        </w:rPr>
        <w:t>Preferred Stock</w:t>
      </w:r>
      <w:r>
        <w:rPr>
          <w:rFonts w:ascii="Times New Roman" w:hAnsi="Times New Roman"/>
          <w:caps w:val="false"/>
          <w:smallCaps w:val="false"/>
          <w:sz w:val="20"/>
        </w:rPr>
        <w:t>”); (c) the Company’s debt securities, whether senior or subordinated (the “</w:t>
      </w:r>
      <w:r>
        <w:rPr>
          <w:rFonts w:ascii="Times New Roman" w:hAnsi="Times New Roman"/>
          <w:i/>
          <w:caps w:val="false"/>
          <w:smallCaps w:val="false"/>
          <w:sz w:val="20"/>
        </w:rPr>
        <w:t>Debt Securities</w:t>
      </w:r>
      <w:r>
        <w:rPr>
          <w:rFonts w:ascii="Times New Roman" w:hAnsi="Times New Roman"/>
          <w:caps w:val="false"/>
          <w:smallCaps w:val="false"/>
          <w:sz w:val="20"/>
        </w:rPr>
        <w:t>”); (d) warrants to purchase Common Stock, Preferred Stock, Debt Securities or other securities of the Company or any combination of the foregoing (the “</w:t>
      </w:r>
      <w:r>
        <w:rPr>
          <w:rFonts w:ascii="Times New Roman" w:hAnsi="Times New Roman"/>
          <w:i/>
          <w:caps w:val="false"/>
          <w:smallCaps w:val="false"/>
          <w:sz w:val="20"/>
        </w:rPr>
        <w:t>Warrants</w:t>
      </w:r>
      <w:r>
        <w:rPr>
          <w:rFonts w:ascii="Times New Roman" w:hAnsi="Times New Roman"/>
          <w:caps w:val="false"/>
          <w:smallCaps w:val="false"/>
          <w:sz w:val="20"/>
        </w:rPr>
        <w:t>”); (e) depositary shares representing a fractional interest in shares of Preferred Stock (the “</w:t>
      </w:r>
      <w:r>
        <w:rPr>
          <w:rFonts w:ascii="Times New Roman" w:hAnsi="Times New Roman"/>
          <w:i/>
          <w:caps w:val="false"/>
          <w:smallCaps w:val="false"/>
          <w:sz w:val="20"/>
        </w:rPr>
        <w:t>Depositary Shares</w:t>
      </w:r>
      <w:r>
        <w:rPr>
          <w:rFonts w:ascii="Times New Roman" w:hAnsi="Times New Roman"/>
          <w:caps w:val="false"/>
          <w:smallCaps w:val="false"/>
          <w:sz w:val="20"/>
        </w:rPr>
        <w:t>”); (f) subscription rights for the purchase of Common Stock or other securities of the Company (the “</w:t>
      </w:r>
      <w:r>
        <w:rPr>
          <w:rFonts w:ascii="Times New Roman" w:hAnsi="Times New Roman"/>
          <w:i/>
          <w:caps w:val="false"/>
          <w:smallCaps w:val="false"/>
          <w:sz w:val="20"/>
        </w:rPr>
        <w:t>Rights</w:t>
      </w:r>
      <w:r>
        <w:rPr>
          <w:rFonts w:ascii="Times New Roman" w:hAnsi="Times New Roman"/>
          <w:caps w:val="false"/>
          <w:smallCaps w:val="false"/>
          <w:sz w:val="20"/>
        </w:rPr>
        <w:t>”); (g) stock purchase contracts (the “</w:t>
      </w:r>
      <w:r>
        <w:rPr>
          <w:rFonts w:ascii="Times New Roman" w:hAnsi="Times New Roman"/>
          <w:i/>
          <w:caps w:val="false"/>
          <w:smallCaps w:val="false"/>
          <w:sz w:val="20"/>
        </w:rPr>
        <w:t>Stock Purchase Contracts</w:t>
      </w:r>
      <w:r>
        <w:rPr>
          <w:rFonts w:ascii="Times New Roman" w:hAnsi="Times New Roman"/>
          <w:caps w:val="false"/>
          <w:smallCaps w:val="false"/>
          <w:sz w:val="20"/>
        </w:rPr>
        <w:t>”); (h) stock purchase units (the “</w:t>
      </w:r>
      <w:r>
        <w:rPr>
          <w:rFonts w:ascii="Times New Roman" w:hAnsi="Times New Roman"/>
          <w:i/>
          <w:caps w:val="false"/>
          <w:smallCaps w:val="false"/>
          <w:sz w:val="20"/>
        </w:rPr>
        <w:t>Stock Purchase Units</w:t>
      </w:r>
      <w:r>
        <w:rPr>
          <w:rFonts w:ascii="Times New Roman" w:hAnsi="Times New Roman"/>
          <w:caps w:val="false"/>
          <w:smallCaps w:val="false"/>
          <w:sz w:val="20"/>
        </w:rPr>
        <w:t>”); and (i) units comprised of one or more of the Common Stock, the Preferred Stock, Debt Securities, Depositary Shares or Warrants in any combination, including guarantees of any securities (the “</w:t>
      </w:r>
      <w:r>
        <w:rPr>
          <w:rFonts w:ascii="Times New Roman" w:hAnsi="Times New Roman"/>
          <w:i/>
          <w:caps w:val="false"/>
          <w:smallCaps w:val="false"/>
          <w:sz w:val="20"/>
        </w:rPr>
        <w:t>Units,</w:t>
      </w:r>
      <w:r>
        <w:rPr>
          <w:rFonts w:ascii="Times New Roman" w:hAnsi="Times New Roman"/>
          <w:caps w:val="false"/>
          <w:smallCaps w:val="false"/>
          <w:sz w:val="20"/>
        </w:rPr>
        <w:t>” and together with the Common Stock, the Preferred Stock, the Debt Securities, the Warrants, the Depositary Shares, the Rights, the Stock Purchase Contracts and the Stock Purchase Units, the “</w:t>
      </w:r>
      <w:r>
        <w:rPr>
          <w:rFonts w:ascii="Times New Roman" w:hAnsi="Times New Roman"/>
          <w:i/>
          <w:caps w:val="false"/>
          <w:smallCaps w:val="false"/>
          <w:sz w:val="20"/>
        </w:rPr>
        <w:t>Registered Securities</w:t>
      </w:r>
      <w:r>
        <w:rPr>
          <w:rFonts w:ascii="Times New Roman" w:hAnsi="Times New Roman"/>
          <w:caps w:val="false"/>
          <w:smallCaps w:val="false"/>
          <w:sz w:val="20"/>
        </w:rPr>
        <w:t>”). The Registered Securities may be issued and sold from time to time by the Company as set forth in the Registration Statement. This opinion is being furnished in accordance with the requirements of Item 601(b)(5) of Regulation S-K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made such legal and factual investigations as we deemed necessary for purposes of this opinion. We have examined originals or copies, certified or otherwise identified to our satisfaction, of: (a) the Registration Statement; (b) the Form of Indenture incorporated by reference in the Registration Statement; (c) the Company’s Third Amended and Restated Certificate of Incorporation, as amended and as currently in effect (the “</w:t>
      </w:r>
      <w:r>
        <w:rPr>
          <w:rFonts w:ascii="Times New Roman" w:hAnsi="Times New Roman"/>
          <w:i/>
          <w:caps w:val="false"/>
          <w:smallCaps w:val="false"/>
          <w:sz w:val="20"/>
        </w:rPr>
        <w:t>Certificate of Incorporation</w:t>
      </w:r>
      <w:r>
        <w:rPr>
          <w:rFonts w:ascii="Times New Roman" w:hAnsi="Times New Roman"/>
          <w:caps w:val="false"/>
          <w:smallCaps w:val="false"/>
          <w:sz w:val="20"/>
        </w:rPr>
        <w:t>”); (d) the Company’s Second Amended and Restated Bylaws, as currently in effect (the “</w:t>
      </w:r>
      <w:r>
        <w:rPr>
          <w:rFonts w:ascii="Times New Roman" w:hAnsi="Times New Roman"/>
          <w:i/>
          <w:caps w:val="false"/>
          <w:smallCaps w:val="false"/>
          <w:sz w:val="20"/>
        </w:rPr>
        <w:t>Bylaws</w:t>
      </w:r>
      <w:r>
        <w:rPr>
          <w:rFonts w:ascii="Times New Roman" w:hAnsi="Times New Roman"/>
          <w:caps w:val="false"/>
          <w:smallCaps w:val="false"/>
          <w:sz w:val="20"/>
        </w:rPr>
        <w:t>”); (e) the resolutions of the board of directors of the Company (the “</w:t>
      </w:r>
      <w:r>
        <w:rPr>
          <w:rFonts w:ascii="Times New Roman" w:hAnsi="Times New Roman"/>
          <w:i/>
          <w:caps w:val="false"/>
          <w:smallCaps w:val="false"/>
          <w:sz w:val="20"/>
        </w:rPr>
        <w:t>Board</w:t>
      </w:r>
      <w:r>
        <w:rPr>
          <w:rFonts w:ascii="Times New Roman" w:hAnsi="Times New Roman"/>
          <w:caps w:val="false"/>
          <w:smallCaps w:val="false"/>
          <w:sz w:val="20"/>
        </w:rPr>
        <w:t>”) dated August 26, 2026, with respect to the filing of the Registration Statement; and (f) such other certificates and other instruments and documents as were deemed necessary for purposes of the opinions hereafter expressed. In our investigation, we have assumed the genuineness of all signatures, the proper execution of all documents submitted to us as originals, the conformity to the original documents of all documents submitted to us as copies and the authenticity of the originals of such copies. As to matters of fact, we have relied upon representations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Barack Ferrazzano</w:t>
      </w:r>
    </w:p>
    <w:p>
      <w:pPr>
        <w:pStyle w:val="TextBody"/>
        <w:bidi w:val="0"/>
        <w:spacing w:before="0" w:after="0"/>
        <w:ind w:left="160" w:right="0" w:hanging="0"/>
        <w:jc w:val="center"/>
        <w:rPr>
          <w:rFonts w:ascii="Times New Roman" w:hAnsi="Times New Roman"/>
          <w:caps w:val="false"/>
          <w:smallCaps w:val="false"/>
          <w:sz w:val="16"/>
        </w:rPr>
      </w:pPr>
      <w:r>
        <w:rPr>
          <w:rFonts w:ascii="Times New Roman" w:hAnsi="Times New Roman"/>
          <w:caps w:val="false"/>
          <w:smallCaps w:val="false"/>
          <w:sz w:val="16"/>
        </w:rPr>
        <w:t>200 West Madison Street, Suite 3900  |  Chicago, Illinois 60606</w:t>
      </w:r>
    </w:p>
    <w:p>
      <w:pPr>
        <w:pStyle w:val="TextBody"/>
        <w:bidi w:val="0"/>
        <w:spacing w:before="0" w:after="0"/>
        <w:ind w:left="160" w:right="0" w:hanging="0"/>
        <w:jc w:val="center"/>
        <w:rPr>
          <w:rFonts w:ascii="Times New Roman" w:hAnsi="Times New Roman"/>
          <w:caps w:val="false"/>
          <w:smallCaps w:val="false"/>
          <w:sz w:val="16"/>
        </w:rPr>
      </w:pPr>
      <w:r>
        <w:rPr>
          <w:rFonts w:ascii="Times New Roman" w:hAnsi="Times New Roman"/>
          <w:caps w:val="false"/>
          <w:smallCaps w:val="false"/>
          <w:sz w:val="16"/>
        </w:rPr>
        <w:t>T. 312.984.3100  |  F. 312.984.3150  |  </w:t>
      </w:r>
      <w:r>
        <w:rPr>
          <w:rFonts w:ascii="Times New Roman" w:hAnsi="Times New Roman"/>
          <w:caps w:val="false"/>
          <w:smallCaps w:val="false"/>
          <w:sz w:val="16"/>
          <w:u w:val="single"/>
        </w:rPr>
        <w:t>bfkn.com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08585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1085850" cy="4191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Alerus Financial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2</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opinions set forth herein are subject to the following assumptions, qualifications and limitations being true and correct at or before the time of the delivery of any Registered Securities offered pursuant to the Registration Statement: (A) the Board, including any appropriate committee appointed thereby, and appropriate officers of the Company shall have (i) duly established the terms of any Preferred Stock, Debt Securities, Depositary Shares, Warrants, Rights, Stock Purchase Contracts, Stock Purchase Units or Units being offered (and in the case of the Warrants, the Rights, the Stock Purchase Contracts, the Stock Purchase Units or Units, any such Registered Securities that are components thereof or issuable thereto, and in the case of Depositary Shares, the Preferred Stock that such Depositary Shares represent fractional interests thereof), (ii) duly authorized and taken any other necessary corporate or other action to approve the creation, if applicable, issuance and sale of the Registered Securities and related matters, and (iii) duly reserved for issuance any Registered Securities consisting of Common Stock or Preferred Stock, and any Common Stock or Preferred Stock for or into which any other Registered Securities are exercisable, exchangeable or convertible, and, in the case of all of (i) through (iii), such authorizations and actions shall remain in effect and unchanged at all times during which the Registered Securities are offered, sold or issued by the Company; (B) the definitive terms of each class and series, if applicable, of the Registered Securities, and the terms of the issuance and sale of the Registered Securities (i) shall have been duly established in accordance with all applicable law, the Certificate of Incorporation and the Bylaws, and any indenture, warrant agreement, deposit agreement, rights agreement, unit agreement and any other relevant agreement relating to the terms and the offer and sale of the Registered Securities (collectively, the “</w:t>
      </w:r>
      <w:r>
        <w:rPr>
          <w:rFonts w:ascii="Times New Roman" w:hAnsi="Times New Roman"/>
          <w:i/>
          <w:caps w:val="false"/>
          <w:smallCaps w:val="false"/>
          <w:sz w:val="20"/>
        </w:rPr>
        <w:t>Documents</w:t>
      </w:r>
      <w:r>
        <w:rPr>
          <w:rFonts w:ascii="Times New Roman" w:hAnsi="Times New Roman"/>
          <w:caps w:val="false"/>
          <w:smallCaps w:val="false"/>
          <w:sz w:val="20"/>
        </w:rPr>
        <w:t>”), and the authorizing resolutions of the Board, and (ii) shall not violate any applicable law or any Documents (subject to the further assumption that such Documents have not been amended from the date hereof in a manner that would affect the validity of any of the opinions rendered herein), or result in a default under or breach of any agreement or instrument binding upon the Company and so as to comply with any restriction imposed by any court or governmental body having jurisdiction over the Company; (C) any Document relating to the terms of the Registered Securities (but excluding any Document relating to the terms of the Debt Securities or the Depositary Shares) shall be governed by and construed in accordance with the internal laws of the State of Delaware; (D) any Document relating to the terms of the Debt Securities or the Depositary Shares shall be governed by and construed in accordance with the internal laws of the State of New York; (E) upon issuance of any shares of Common Stock or Preferred Stock, including as a component of Units or upon exercise, conversion or exchange of other Registered Securities, (i) the total number of shares of Common Stock or Preferred Stock issued and outstanding shall not exceed the total number of shares of Common Stock or Preferred Stock that the Company is then authorized to issue under the Certificate of Incorporation, and (ii) the Company will receive consideration in an amount not less than the aggregate par value of such shares of Common Stock or Preferred Stock; (F) the Registered Securities (including any underlying Registered Securities issuable upon exercise, conversion or exchange of other Registered Securities and, in the case of the Units, the Registered Securities that are components thereof, and in the case of Depositary Shares, the Preferred Stock that such Depositary Shares represent fractional interests thereof), and any certificates representing the relevant Registered Securities (including any Registered Securities issuable upon exercise, conversion or exchange of other Registered Securities and, in the case of the Units, the Registered Securities that are components thereof, and in the case of Depositary Shares, the Preferred Stock that such Depositary Shares represent fractional interests thereof), shall have been duly authenticated, executed, countersigned, registered and delivered upon payment of the agreed-upon legal consideration therefor and shall have been duly issued and sold in accordance with any relevant agreement, and, if applicable, duly executed and delivered by the Company and any other appropriate party; (G) each applicable Document and any other relevant agreement relating to the offer and sale of the Registered Securities shall have been duly authorized, executed and delivered by the Company and each other party thereto, and shall constitute a valid and binding obligation of each party thereto (other than the Company); (H) the Registration Statement, and any amendments thereto (including post-effective amendments), shall have been declared effective under the Act, and such effectiveness shall not have been terminated or rescinded; (I) a prospectus supplement, if required, shall have been prepared, delivered and filed in compliance with the Act and the applicable rules and regulations thereunder describing the Registered Securities offered thereby; (J) the Registered Securities shall have been issued and sold in compliance with applicable U.S. federal and state securities laws and solely in the manner stated in the Registration Statement and any applicable prospectus supplement; and (K) in the case of an agreement or instrument pursuant to which any Registered Securities are to be issued, there shall be no terms or provisions contained therein which would affect the validity of any of the opinions rendered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08585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3"/>
                    <a:stretch>
                      <a:fillRect/>
                    </a:stretch>
                  </pic:blipFill>
                  <pic:spPr bwMode="auto">
                    <a:xfrm>
                      <a:off x="0" y="0"/>
                      <a:ext cx="1085850" cy="4191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Alerus Financial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3</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upon the foregoing, and subject to the qualifications, assumptions and limitations set forth herein, it is our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the Common Stock, when (a) duly issued and sold in accordance with the Registration Statement and applicable prospectus supplement and either (i) in accordance with the provisions of an applicable, valid and binding purchase agreement, underwriting agreement or other similar agreement or (ii) upon exercise of Rights or Warrants as contemplated by the Registration Statement and applicable prospectus supplement and (b) delivered to the purchaser or purchasers thereof against receipt by the Company of such lawful consideration therefor as the Board (or a duly authorized committee thereof) may determine,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    the Preferred Stock, when (a) duly issued and sold in accordance with the Registration Statement and applicable prospectus supplement and either (i) in accordance with the provisions of an applicable, valid and binding purchase agreement, underwriting agreement or other similar agreement or (ii) upon exercise of Rights or Warrants as contemplated by the Registration Statement and applicable prospectus supplement and (b) delivered to the purchaser or purchasers thereof against receipt by the Company of such lawful consideration therefor as the Board (or a duly authorized committee thereof) may determine,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    the Debt Securities, when (a) duly executed, authenticated, issued and sold in accordance with the Registration Statement and applicable prospectus supplement and either (i) in accordance with the provisions of an applicable purchase agreement, underwriting agreement, indenture or other similar agreement or (ii) upon exercise of Rights or Warrants as contemplated by the Registration Statement and applicable prospectus supplement and (b) delivered to the purchaser or purchasers thereof against receipt by the Company of such lawful consideration therefor, if any, as the Board (or a duly authorized committee thereof) may determine, will be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    the Warrants, when (a) duly executed, authenticated, issued and sold in accordance with the Registration Statement and applicable prospectus supplement and either (i) in accordance with the provisions of an applicable, valid and binding warrant agreement or other similar agreement or (ii) upon exercise of Rights as contemplated by the Registration Statement and applicable prospectus supplement and (b) delivered to the purchaser or purchasers thereof against receipt by the Company of such lawful consideration therefor, if any, as the Board (or a duly authorized committee thereof) may determine, will be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    the Depositary Shares when (a) duly executed, authenticated, issued and sold in accordance with the Registration Statement and applicable prospectus supplement and the provisions of an applicable, valid and binding deposit agreement or other similar agreement, (b) shares of the Preferred Stock relating to any Depositary Shares have been deposited with the depositary therefor, (c) any depositary receipts representing Depositary Shares have been duly executed, authenticated, issued and sold in the manner and for the consideration stated in the applicable deposit agreement and (d) delivered to the purchaser or purchasers thereof against receipt by the Company of such lawful consideration therefor, if any, as the Board (or a duly authorized committee thereof) may determine, will (i) be validly issued, and (ii) entitle their holders to the rights specified in the deposit agreement and the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    the Rights, when (a) duly executed, authenticated, issued and sold in accordance with the Registration Statement and applicable prospectus supplement and the provisions of an applicable, valid and binding rights agreement or other similar agreement and (b) delivered to the purchaser or purchasers thereof against receipt by the Company of such lawful consideration therefor, if any, as the Board (or a duly authorized committee thereof) may determine, will be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08585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4"/>
                    <a:stretch>
                      <a:fillRect/>
                    </a:stretch>
                  </pic:blipFill>
                  <pic:spPr bwMode="auto">
                    <a:xfrm>
                      <a:off x="0" y="0"/>
                      <a:ext cx="1085850" cy="4191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Alerus Financial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4</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    the Stock Purchase Contracts or Stock Purchase Units, when (a) duly executed, authenticated, issued and sold in accordance with the Registration Statement and applicable prospectus supplement and the provisions of an applicable purchase agreement or other similar agreement, (b) the actions described in paragraph 1 above have been taken if such Stock Purchase Contracts or Stock Purchase Units relate to the issuance and sale of Common Stock, (c) the actions described in paragraph 2 above have been taken if such Stock Purchase Contracts or Stock Purchase Units relate to the issuance and sale of Preferred Stock, (d) the actions described in paragraph 3 above have been taken if such Stock Purchase Units relate to the issuance and sale of Debt Securities, and (e) delivered to the purchaser or purchasers thereof against receipt by the Company of such lawful consideration therefor, if any, as the Board (or a duly authorized committee thereof) may determine, will be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    the Units, when (a) duly executed, authenticated, issued and sold in accordance with the Registration Statement and applicable prospectus supplement and either (i) in accordance with the provisions of any applicable, valid and binding unit agreement or other similar agreement or (ii) upon exercise of Rights as contemplated by the Registration Statement and applicable prospectus supplement and (b) delivered to the purchaser or purchasers thereof against receipt by the Company of such lawful consideration therefor as the Board (or a duly authorized committee thereof) may determine, will be binding obligations of the Company, and any Common Stock or Preferred Stock that is a component of such Units will be validly issued, fully paid and nonassessable, and any Debt Securities, Warrants or Depositary Shares that are components of such Units will be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opinions set forth in paragraphs (3) through (8) above are subject to the following exceptions: (a) the effect of bankruptcy, insolvency, reorganization, fraudulent transfer, moratorium or other similar laws relating to or affecting the rights and remedies of creditors; and (b)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 we express no opinion as to waivers of broadly or vaguely stated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express no opinion concerning the laws of any jurisdiction other than the General Corporation Law of the State of Delaware, as amended, and, with respect to the opinions set forth in paragraphs (3) through (8) above, the laws of the State of New York. We express no opinion as to the laws, rules or regulations of any other jurisdiction, including, without limitation, the federal laws of the United States of America or any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08585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5"/>
                    <a:stretch>
                      <a:fillRect/>
                    </a:stretch>
                  </pic:blipFill>
                  <pic:spPr bwMode="auto">
                    <a:xfrm>
                      <a:off x="0" y="0"/>
                      <a:ext cx="1085850" cy="4191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Alerus Financial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express no opinion with respect to any specific legal issues other than those explicitly addressed herein. We assume no obligation to update this opinion letter after the date that the Registration Statement is initially declared effective or otherwise advise you with respect to any facts or circumstances or changes in law that may occur or come to our attention after such date (even though the change may affect the legal conclusions stated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hereby consent to the reference to our firm in the Registration Statement under the caption “Legal Matters” and to the inclusion of this opinion as an exhibit to the Registration Statement. In giving this consent, we do not admit that we are within the category of persons whose consent is required under Section 7 of the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7934" w:type="dxa"/>
        <w:jc w:val="left"/>
        <w:tblInd w:w="0" w:type="dxa"/>
        <w:tblLayout w:type="fixed"/>
        <w:tblCellMar>
          <w:top w:w="0" w:type="dxa"/>
          <w:left w:w="0" w:type="dxa"/>
          <w:bottom w:w="0" w:type="dxa"/>
          <w:right w:w="0" w:type="dxa"/>
        </w:tblCellMar>
      </w:tblPr>
      <w:tblGrid>
        <w:gridCol w:w="3967"/>
        <w:gridCol w:w="3015"/>
        <w:gridCol w:w="952"/>
      </w:tblGrid>
      <w:tr>
        <w:trPr/>
        <w:tc>
          <w:tcPr>
            <w:tcW w:w="3967" w:type="dxa"/>
            <w:tcBorders/>
          </w:tcPr>
          <w:p>
            <w:pPr>
              <w:pStyle w:val="TableContents"/>
              <w:bidi w:val="0"/>
              <w:spacing w:before="0" w:after="0"/>
              <w:ind w:left="0" w:right="0" w:hanging="0"/>
              <w:jc w:val="left"/>
              <w:rPr/>
            </w:pPr>
            <w:r>
              <w:rPr/>
              <w:t> </w:t>
            </w:r>
          </w:p>
        </w:tc>
        <w:tc>
          <w:tcPr>
            <w:tcW w:w="3015" w:type="dxa"/>
            <w:tcBorders/>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Barack Ferrazzano Kirschbaum &amp;</w:t>
              <w:br/>
              <w:t>Nagelberg LLP</w:t>
            </w:r>
          </w:p>
        </w:tc>
        <w:tc>
          <w:tcPr>
            <w:tcW w:w="952" w:type="dxa"/>
            <w:tcBorders/>
          </w:tcPr>
          <w:p>
            <w:pPr>
              <w:pStyle w:val="TableContents"/>
              <w:bidi w:val="0"/>
              <w:spacing w:before="0" w:after="0"/>
              <w:ind w:left="0" w:right="0" w:hanging="0"/>
              <w:jc w:val="left"/>
              <w:rPr/>
            </w:pPr>
            <w:r>
              <w:rPr/>
              <w:t> </w:t>
            </w:r>
          </w:p>
        </w:tc>
      </w:tr>
    </w:tbl>
    <w:p>
      <w:pPr>
        <w:pStyle w:val="TextBody"/>
        <w:bidi w:val="0"/>
        <w:spacing w:before="0" w:after="0"/>
        <w:ind w:left="468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4" w:name="ex_1010364.htm"/>
      <w:bookmarkStart w:id="25" w:name="ksex_1010364"/>
      <w:bookmarkEnd w:id="24"/>
      <w:bookmarkEnd w:id="25"/>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this Registration Statement on Form S-3 and related Prospectus of Alerus Financial Corporation of our reports dated March 3, 2026, relating to the consolidated financial statements, and the effectiveness of internal control over financial reporting of Alerus Financial Corporation, appearing in the Annual Report on Form 10-K of Alerus Financial Corporation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consent to the reference to our firm under the heading "Experts"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 Moines, Iowa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26" w:name="ex_1010365.htm"/>
      <w:bookmarkStart w:id="27" w:name="ksex_1010365"/>
      <w:bookmarkStart w:id="28" w:name="ex_1010365.htm"/>
      <w:bookmarkStart w:id="29" w:name="ksex_1010365"/>
      <w:bookmarkEnd w:id="28"/>
      <w:bookmarkEnd w:id="29"/>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ALERUS FINANCIAL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154"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1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$1.00 Par Value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$1.00 Par Value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Stock Purchase Contracts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Stock Purchase 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$ 75,000,000.00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$ 10,357.50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1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$1.00 Par Value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$1.00 Par Value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Stock Purchase Contracts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Stock Purchase Units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$ 125,000,000.00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333-274509 </w:t>
            </w:r>
          </w:p>
        </w:tc>
        <w:tc>
          <w:tcPr>
            <w:tcW w:w="1021" w:type="dxa"/>
            <w:tcBorders/>
            <w:shd w:fill="E7E7E2" w:val="clear"/>
            <w:vAlign w:val="center"/>
          </w:tcPr>
          <w:p>
            <w:pPr>
              <w:pStyle w:val="TableContents"/>
              <w:bidi w:val="0"/>
              <w:spacing w:before="0" w:after="283"/>
              <w:jc w:val="center"/>
              <w:rPr/>
            </w:pPr>
            <w:r>
              <w:rPr/>
              <w:t xml:space="preserve">09/27/2023 </w:t>
            </w:r>
          </w:p>
        </w:tc>
        <w:tc>
          <w:tcPr>
            <w:tcW w:w="1321" w:type="dxa"/>
            <w:tcBorders/>
            <w:shd w:fill="E7E7E2" w:val="clear"/>
            <w:vAlign w:val="center"/>
          </w:tcPr>
          <w:p>
            <w:pPr>
              <w:pStyle w:val="TableContents"/>
              <w:bidi w:val="0"/>
              <w:spacing w:before="0" w:after="283"/>
              <w:jc w:val="right"/>
              <w:rPr/>
            </w:pPr>
            <w:r>
              <w:rPr/>
              <w:t xml:space="preserve">$ 16,225.00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0" w:name="MaxAggtOfferingPrice"/>
            <w:bookmarkEnd w:id="30"/>
            <w:r>
              <w:rPr/>
              <w:t xml:space="preserve">$ 200,000,000.00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1" w:name="TotalFeeAmt"/>
            <w:bookmarkEnd w:id="31"/>
            <w:r>
              <w:rPr/>
              <w:t xml:space="preserve">$ 10,357.50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PreviouslyPaid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Offset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NetFeeAmt"/>
            <w:bookmarkEnd w:id="34"/>
            <w:r>
              <w:rPr/>
              <w:t xml:space="preserve">$ 10,357.50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9"/>
        <w:gridCol w:w="8709"/>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Calculated in accordance with Rule 457(o) under the Securities Act of 1933. The proposed maximum offering price per security will be determined from time to time by the registrant in connection with the issuance of the securities registered by this registration statement. The proposed maximum aggregate offering price has been estimated solely for the purpose of calculating the registration fee. In no event will the maximum aggregate offering price of all securities issued under this registration statement exceed $200,000,000. The amount registered is not specified as to each class of securities to be registered hereunder pursuant to Instruction 2.A.iii.b. of Item 16(b) of Form S-3 under the Securities Act of 1933. The proposed maximum aggregate offering price per class of security will be determined from time to time by the registrant in connection with the issuance by the registrant of the securities registered hereunder and is not specified as to each class of security in reliance on Rule 457(o) under the Securities Act of 1933 and General Instruction II.D of Form S-3 under the Securities Act of 1933. Shares of common stock or preferred stock may be issued in primary offerings, upon conversion of debt securities or preferred stock registered hereby or upon the exercise of warrants or subscription rights to purchase preferred stock or common stock. 2 The debt securities being registered hereunder will consist of one or more series of senior debt securities or subordinated debt securities, or any combination thereof, as more fully described herein. 3 Warrants exercisable for common stock, preferred stock, depositary shares, debt securities or other securities. 4 The depositary shares registered hereunder will be evidenced by depositary receipts issued pursuant to a deposit agreement. If the registrant elects to offer to the public fractional interests in shares of preferred stock, then depositary receipts will be distributed to those persons purchasing the fractional interests and the shares will be issued to the depositary under the deposit agreement. 5 Subscription rights evidencing the right to purchase common stock, preferred stock, depositary shares, debt securities or other securities. 6 This registration statement registers securities with a maximum aggregate offering price of $200,000,000. Of these securities, securities with a maximum aggregate offering price of $125,000,000.00 (the "Unsold Securities") represent unsold securities previously registered by the registrant on its Registration Statement on Form S-3 filed on September 16, 2020 and declared effective on September 25, 2020 (File No. 333-248841) (the "2020 Registration Statement") and carried forward on its Registration Statement on Form S-3 filed on September 19, 2023 and declared effective on September 27, 2023 (File No. 333-274509) (the "2023 Registration Statement"). In connection with the 2020 Registration Statement, the registrant paid $16,225 in registration fees related to the Unsold Securities (based on the filing fee rate in effect at the time of the filing of the 2020 Registration Statement) that will be applied to the securities registered pursuant to this registration statement. In accordance with Question 212.24 of the Securities and Exchange Commission, Division of Corporation Finance's Compliance and Disclosure Interpretations regarding Securities Act Rules, the registrant is not required to pay any additional fee with respect to the Unsold Securities being included in this registration statement in reliance on Rule 415(a)(6), because such Unsold Securities (and associated fees) are being moved from the 2023 Registration Statement to this registration statement. Pursuant to Rule 415(a)(6), the offering of securities under the 2023 Registration Statement will be deemed terminated as of the date of effectiveness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0000903419/000143774926006820/alrs20251231_10k.htm" TargetMode="External"/><Relationship Id="rId4" Type="http://schemas.openxmlformats.org/officeDocument/2006/relationships/hyperlink" Target="http://www.sec.gov/ix?doc=/Archives/edgar/data/0000903419/000143774926010883/alrs20251215_def14a.htm" TargetMode="External"/><Relationship Id="rId5" Type="http://schemas.openxmlformats.org/officeDocument/2006/relationships/hyperlink" Target="http://www.sec.gov/ix?doc=/Archives/edgar/data/0000903419/000143774926014481/alrs20260331_10q.htm" TargetMode="External"/><Relationship Id="rId6" Type="http://schemas.openxmlformats.org/officeDocument/2006/relationships/hyperlink" Target="http://www.sec.gov/ix?doc=/Archives/edgar/data/0000903419/000143774926025463/alrs20260630_10q.htm" TargetMode="External"/><Relationship Id="rId7" Type="http://schemas.openxmlformats.org/officeDocument/2006/relationships/hyperlink" Target="http://www.sec.gov/ix?doc=/Archives/edgar/data/0000903419/000143774926005878/alrs20260130_8k.htm" TargetMode="External"/><Relationship Id="rId8" Type="http://schemas.openxmlformats.org/officeDocument/2006/relationships/hyperlink" Target="http://www.sec.gov/ix?doc=/Archives/edgar/data/0000903419/000143774926010637/alrs20260331_8k.htm" TargetMode="External"/><Relationship Id="rId9" Type="http://schemas.openxmlformats.org/officeDocument/2006/relationships/hyperlink" Target="http://www.sec.gov/ix?doc=/Archives/edgar/data/0000903419/000143774926017369/alrs20260515_8k.htm" TargetMode="External"/><Relationship Id="rId10" Type="http://schemas.openxmlformats.org/officeDocument/2006/relationships/hyperlink" Target="http://www.sec.gov/ix?doc=/Archives/edgar/data/0000903419/000143774926017761/alrs20260518c_8k.htm" TargetMode="External"/><Relationship Id="rId11" Type="http://schemas.openxmlformats.org/officeDocument/2006/relationships/hyperlink" Target="http://www.sec.gov/ix?doc=/Archives/edgar/data/0000903419/000143774926018262/alrs20260518_8k.htm" TargetMode="External"/><Relationship Id="rId12" Type="http://schemas.openxmlformats.org/officeDocument/2006/relationships/hyperlink" Target="http://www.sec.gov/ix?doc=/Archives/edgar/data/0000903419/000143774926029099/alrs20260825_8k.htm" TargetMode="External"/><Relationship Id="rId13" Type="http://schemas.openxmlformats.org/officeDocument/2006/relationships/hyperlink" Target="http://www.sec.gov/Archives/edgar/data/903419/000110465919049102/a19-8381_68a12b.htm" TargetMode="External"/><Relationship Id="rId14" Type="http://schemas.openxmlformats.org/officeDocument/2006/relationships/hyperlink" Target="http://www.sec.gov/Archives/edgar/data/903419/000143774926006820/ex_915880.htm" TargetMode="External"/><Relationship Id="rId15" Type="http://schemas.openxmlformats.org/officeDocument/2006/relationships/hyperlink" Target="http://www.sec.gov/Archives/edgar/data/903419/000104746919004787/a2239413zex-3_1.htm" TargetMode="External"/><Relationship Id="rId16" Type="http://schemas.openxmlformats.org/officeDocument/2006/relationships/hyperlink" Target="http://www.sec.gov/Archives/edgar/data/903419/000143774925016117/ex_815343.htm" TargetMode="External"/><Relationship Id="rId17" Type="http://schemas.openxmlformats.org/officeDocument/2006/relationships/hyperlink" Target="http://www.sec.gov/Archives/edgar/data/903419/000104746919004787/a2239413zex-3_2.htm" TargetMode="External"/><Relationship Id="rId18" Type="http://schemas.openxmlformats.org/officeDocument/2006/relationships/hyperlink" Target="http://www.sec.gov/Archives/edgar/data/903419/000143774926006820/ex_915880.htm" TargetMode="External"/><Relationship Id="rId19" Type="http://schemas.openxmlformats.org/officeDocument/2006/relationships/hyperlink" Target="http://www.sec.gov/Archives/edgar/data/903419/000104746919004787/a2239413zex-4_1.htm" TargetMode="External"/><Relationship Id="rId20" Type="http://schemas.openxmlformats.org/officeDocument/2006/relationships/hyperlink" Target="http://www.sec.gov/Archives/edgar/data/903419/000110465923100778/tm2325869d1_ex4-6.htm" TargetMode="External"/><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22799</Words>
  <Characters>122433</Characters>
  <CharactersWithSpaces>145280</CharactersWithSpaces>
  <Paragraphs>1754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