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lrs-20240331x10q.htm"/>
        <w:bookmarkStart w:id="1" w:name="ksalrs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Hlk164293558"/>
      <w:bookmarkStart w:id="3" w:name="_fc2aab70_4f05_4425_803a_cd75635b7df4"/>
      <w:bookmarkEnd w:id="2"/>
      <w:bookmarkEnd w:id="3"/>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24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2"/>
        </w:rPr>
        <w:t>QUARTERLY REPORT PURSUANT TO SECTION 13 OR 15(d) OF THE SECURITIES EXCHANGE ACT OF 1934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For th</w:t>
      </w:r>
      <w:r>
        <w:rPr>
          <w:rFonts w:ascii="Times New Roman;Times;serif" w:hAnsi="Times New Roman;Times;serif"/>
          <w:sz w:val="18"/>
        </w:rPr>
        <w:t>e</w:t>
      </w:r>
      <w:r>
        <w:rPr>
          <w:rFonts w:ascii="Times New Roman;Times;serif" w:hAnsi="Times New Roman;Times;serif"/>
          <w:sz w:val="20"/>
        </w:rPr>
        <w:t xml:space="preserve"> </w:t>
      </w:r>
      <w:r>
        <w:rPr>
          <w:rFonts w:ascii="Times New Roman;Times;serif" w:hAnsi="Times New Roman;Times;serif"/>
          <w:b/>
          <w:sz w:val="18"/>
        </w:rPr>
        <w:t>quarterly period ended March 31, 2024</w:t>
      </w:r>
    </w:p>
    <w:p>
      <w:pPr>
        <w:pStyle w:val="TextBody"/>
        <w:bidi w:val="0"/>
        <w:spacing w:before="0" w:after="24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2"/>
        </w:rPr>
        <w:t>TRANSITION REPORT PURSUANT TO SECTION 13 OR 15(d) OF THE SECURITIES EXCHANGE ACT OF 1934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001-39036</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ALERUS FINANCIAL CORPORATION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 w:name="Tc_IjYjSacEHkagP65MvhBfPg_6_1"/>
      <w:bookmarkStart w:id="5" w:name="Tc_hP1dt5c8YEmBGplVjyztag_6_0"/>
      <w:bookmarkStart w:id="6" w:name="Tc_TlaSSk-Pj0uRcY5ohLxExw_5_0"/>
      <w:bookmarkStart w:id="7" w:name="Tc_EsnHPjOD5EqhYNHe-xtq_w_2_0"/>
      <w:bookmarkStart w:id="8" w:name="Tc_lQjxwyAGTEugCpp7wdT4cA_1_1"/>
      <w:bookmarkStart w:id="9" w:name="Tc_vKPAsUb2GEu-oh6imPKcYQ_1_0"/>
      <w:bookmarkStart w:id="10" w:name="_feb558e8_8eab_45d8_87b8_8ce5b165bd5b"/>
      <w:bookmarkStart w:id="11" w:name="Tc_IjYjSacEHkagP65MvhBfPg_6_1"/>
      <w:bookmarkStart w:id="12" w:name="Tc_hP1dt5c8YEmBGplVjyztag_6_0"/>
      <w:bookmarkStart w:id="13" w:name="Tc_TlaSSk-Pj0uRcY5ohLxExw_5_0"/>
      <w:bookmarkStart w:id="14" w:name="Tc_EsnHPjOD5EqhYNHe-xtq_w_2_0"/>
      <w:bookmarkStart w:id="15" w:name="Tc_lQjxwyAGTEugCpp7wdT4cA_1_1"/>
      <w:bookmarkStart w:id="16" w:name="Tc_vKPAsUb2GEu-oh6imPKcYQ_1_0"/>
      <w:bookmarkStart w:id="17" w:name="_feb558e8_8eab_45d8_87b8_8ce5b165bd5b"/>
      <w:bookmarkEnd w:id="11"/>
      <w:bookmarkEnd w:id="12"/>
      <w:bookmarkEnd w:id="13"/>
      <w:bookmarkEnd w:id="14"/>
      <w:bookmarkEnd w:id="15"/>
      <w:bookmarkEnd w:id="16"/>
      <w:bookmarkEnd w:id="17"/>
    </w:p>
    <w:tbl>
      <w:tblPr>
        <w:tblW w:w="6062" w:type="dxa"/>
        <w:jc w:val="left"/>
        <w:tblInd w:w="0" w:type="dxa"/>
        <w:tblLayout w:type="fixed"/>
        <w:tblCellMar>
          <w:top w:w="0" w:type="dxa"/>
          <w:left w:w="0" w:type="dxa"/>
          <w:bottom w:w="0" w:type="dxa"/>
          <w:right w:w="0" w:type="dxa"/>
        </w:tblCellMar>
      </w:tblPr>
      <w:tblGrid>
        <w:gridCol w:w="3346"/>
        <w:gridCol w:w="2716"/>
      </w:tblGrid>
      <w:tr>
        <w:trPr/>
        <w:tc>
          <w:tcPr>
            <w:tcW w:w="33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45-0375407</w:t>
            </w:r>
          </w:p>
        </w:tc>
      </w:tr>
      <w:tr>
        <w:trPr/>
        <w:tc>
          <w:tcPr>
            <w:tcW w:w="33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33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organization)</w:t>
            </w:r>
          </w:p>
        </w:tc>
        <w:tc>
          <w:tcPr>
            <w:tcW w:w="2716" w:type="dxa"/>
            <w:tcBorders/>
            <w:vAlign w:val="center"/>
          </w:tcPr>
          <w:p>
            <w:pPr>
              <w:pStyle w:val="TableContents"/>
              <w:bidi w:val="0"/>
              <w:spacing w:before="0" w:after="240"/>
              <w:ind w:left="0" w:right="0" w:hanging="0"/>
              <w:jc w:val="center"/>
              <w:rPr/>
            </w:pPr>
            <w:r>
              <w:rPr/>
              <w:t>​</w:t>
            </w:r>
          </w:p>
        </w:tc>
      </w:tr>
      <w:tr>
        <w:trPr/>
        <w:tc>
          <w:tcPr>
            <w:tcW w:w="3346"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240"/>
              <w:ind w:left="0" w:right="0" w:hanging="0"/>
              <w:jc w:val="center"/>
              <w:rPr/>
            </w:pPr>
            <w:r>
              <w:rPr/>
              <w:t>​</w:t>
            </w:r>
          </w:p>
        </w:tc>
      </w:tr>
      <w:tr>
        <w:trPr/>
        <w:tc>
          <w:tcPr>
            <w:tcW w:w="33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401 Demers Avenue</w:t>
            </w:r>
          </w:p>
        </w:tc>
        <w:tc>
          <w:tcPr>
            <w:tcW w:w="2716" w:type="dxa"/>
            <w:tcBorders/>
            <w:vAlign w:val="center"/>
          </w:tcPr>
          <w:p>
            <w:pPr>
              <w:pStyle w:val="TableContents"/>
              <w:bidi w:val="0"/>
              <w:spacing w:before="0" w:after="240"/>
              <w:ind w:left="0" w:right="0" w:hanging="0"/>
              <w:jc w:val="center"/>
              <w:rPr/>
            </w:pPr>
            <w:r>
              <w:rPr/>
              <w:t>​</w:t>
            </w:r>
          </w:p>
        </w:tc>
      </w:tr>
      <w:tr>
        <w:trPr/>
        <w:tc>
          <w:tcPr>
            <w:tcW w:w="33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Grand Forks, ND</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58201</w:t>
            </w:r>
          </w:p>
        </w:tc>
      </w:tr>
      <w:tr>
        <w:trPr/>
        <w:tc>
          <w:tcPr>
            <w:tcW w:w="33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(701) 795-3200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8" w:name="Tc_ncRI6qQeV0-_Hc0T1rgciw_1_4"/>
      <w:bookmarkStart w:id="19" w:name="Tc_8v5-Y81FrE2jK2hqgWKHZA_1_2"/>
      <w:bookmarkStart w:id="20" w:name="Tc_SlxePL7vQkGRpKY3m3MT0A_1_0"/>
      <w:bookmarkStart w:id="21" w:name="_2fd05521_edb6_457d_b2e7_e1c537bda48a"/>
      <w:bookmarkStart w:id="22" w:name="Tc_ncRI6qQeV0-_Hc0T1rgciw_1_4"/>
      <w:bookmarkStart w:id="23" w:name="Tc_8v5-Y81FrE2jK2hqgWKHZA_1_2"/>
      <w:bookmarkStart w:id="24" w:name="Tc_SlxePL7vQkGRpKY3m3MT0A_1_0"/>
      <w:bookmarkStart w:id="25" w:name="_2fd05521_edb6_457d_b2e7_e1c537bda48a"/>
      <w:bookmarkEnd w:id="22"/>
      <w:bookmarkEnd w:id="23"/>
      <w:bookmarkEnd w:id="24"/>
      <w:bookmarkEnd w:id="25"/>
    </w:p>
    <w:tbl>
      <w:tblPr>
        <w:tblW w:w="8320" w:type="dxa"/>
        <w:jc w:val="left"/>
        <w:tblInd w:w="0" w:type="dxa"/>
        <w:tblLayout w:type="fixed"/>
        <w:tblCellMar>
          <w:top w:w="0" w:type="dxa"/>
          <w:left w:w="0" w:type="dxa"/>
          <w:bottom w:w="0" w:type="dxa"/>
          <w:right w:w="0" w:type="dxa"/>
        </w:tblCellMar>
      </w:tblPr>
      <w:tblGrid>
        <w:gridCol w:w="3106"/>
        <w:gridCol w:w="326"/>
        <w:gridCol w:w="1246"/>
        <w:gridCol w:w="326"/>
        <w:gridCol w:w="331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310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left"/>
              <w:rPr/>
            </w:pPr>
            <w:r>
              <w:rPr/>
              <w:t>    </w:t>
            </w:r>
          </w:p>
        </w:tc>
        <w:tc>
          <w:tcPr>
            <w:tcW w:w="124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26" w:type="dxa"/>
            <w:tcBorders/>
            <w:vAlign w:val="center"/>
          </w:tcPr>
          <w:p>
            <w:pPr>
              <w:pStyle w:val="TableContents"/>
              <w:bidi w:val="0"/>
              <w:spacing w:before="0" w:after="0"/>
              <w:ind w:left="0" w:right="0" w:hanging="0"/>
              <w:jc w:val="left"/>
              <w:rPr/>
            </w:pPr>
            <w:r>
              <w:rPr/>
              <w:t>    </w:t>
            </w:r>
          </w:p>
        </w:tc>
        <w:tc>
          <w:tcPr>
            <w:tcW w:w="331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10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$1.00 per share</w:t>
            </w:r>
          </w:p>
        </w:tc>
        <w:tc>
          <w:tcPr>
            <w:tcW w:w="326" w:type="dxa"/>
            <w:tcBorders/>
            <w:vAlign w:val="center"/>
          </w:tcPr>
          <w:p>
            <w:pPr>
              <w:pStyle w:val="TableContents"/>
              <w:bidi w:val="0"/>
              <w:spacing w:before="0" w:after="240"/>
              <w:ind w:left="0" w:right="0" w:hanging="0"/>
              <w:jc w:val="left"/>
              <w:rPr/>
            </w:pPr>
            <w:r>
              <w:rPr/>
              <w:t>​</w:t>
            </w:r>
          </w:p>
        </w:tc>
        <w:tc>
          <w:tcPr>
            <w:tcW w:w="124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ALRS</w:t>
            </w:r>
          </w:p>
        </w:tc>
        <w:tc>
          <w:tcPr>
            <w:tcW w:w="326" w:type="dxa"/>
            <w:tcBorders/>
            <w:vAlign w:val="center"/>
          </w:tcPr>
          <w:p>
            <w:pPr>
              <w:pStyle w:val="TableContents"/>
              <w:bidi w:val="0"/>
              <w:spacing w:before="0" w:after="240"/>
              <w:ind w:left="0" w:right="0" w:hanging="0"/>
              <w:jc w:val="left"/>
              <w:rPr/>
            </w:pPr>
            <w:r>
              <w:rPr/>
              <w:t>​</w:t>
            </w:r>
          </w:p>
        </w:tc>
        <w:tc>
          <w:tcPr>
            <w:tcW w:w="331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7414" w:type="dxa"/>
        <w:jc w:val="left"/>
        <w:tblInd w:w="0" w:type="dxa"/>
        <w:tblLayout w:type="fixed"/>
        <w:tblCellMar>
          <w:top w:w="0" w:type="dxa"/>
          <w:left w:w="0" w:type="dxa"/>
          <w:bottom w:w="0" w:type="dxa"/>
          <w:right w:w="0" w:type="dxa"/>
        </w:tblCellMar>
      </w:tblPr>
      <w:tblGrid>
        <w:gridCol w:w="1876"/>
        <w:gridCol w:w="1441"/>
        <w:gridCol w:w="1786"/>
        <w:gridCol w:w="2311"/>
      </w:tblGrid>
      <w:tr>
        <w:trPr/>
        <w:tc>
          <w:tcPr>
            <w:tcW w:w="18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Accelerated filer</w:t>
            </w:r>
            <w:r>
              <w:rPr>
                <w:rFonts w:ascii="Times New Roman;Times;serif" w:hAnsi="Times New Roman;Times;serif"/>
                <w:sz w:val="20"/>
              </w:rPr>
              <w:t> ⌧</w:t>
            </w:r>
          </w:p>
        </w:tc>
        <w:tc>
          <w:tcPr>
            <w:tcW w:w="17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number of shares of the registrant’s common stock outstanding at April 30, 2024 was 19,776,786.</w:t>
      </w:r>
    </w:p>
    <w:p>
      <w:pPr>
        <w:pStyle w:val="TextBody"/>
        <w:bidi w:val="0"/>
        <w:spacing w:before="0" w:after="240"/>
        <w:ind w:left="0" w:right="0" w:firstLine="72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 w:name="_92eed78e_0635_4afe_9fb6_26fc16242215"/>
      <w:bookmarkEnd w:id="26"/>
      <w:r>
        <w:rPr>
          <w:rFonts w:ascii="Times New Roman;Times;serif" w:hAnsi="Times New Roman;Times;serif"/>
          <w:b/>
          <w:sz w:val="20"/>
        </w:rPr>
        <w:t>Alerus Financial Corporation and Subsidiaries</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bookmarkStart w:id="27" w:name="TOC"/>
      <w:bookmarkEnd w:id="27"/>
      <w:r>
        <w:rPr>
          <w:rFonts w:ascii="Times New Roman;Times;serif" w:hAnsi="Times New Roman;Times;serif"/>
          <w:b/>
          <w:sz w:val="20"/>
        </w:rPr>
        <w:t>Table of Contents</w:t>
      </w:r>
    </w:p>
    <w:tbl>
      <w:tblPr>
        <w:tblW w:w="8898" w:type="dxa"/>
        <w:jc w:val="left"/>
        <w:tblInd w:w="0" w:type="dxa"/>
        <w:tblLayout w:type="fixed"/>
        <w:tblCellMar>
          <w:top w:w="0" w:type="dxa"/>
          <w:left w:w="0" w:type="dxa"/>
          <w:bottom w:w="0" w:type="dxa"/>
          <w:right w:w="0" w:type="dxa"/>
        </w:tblCellMar>
      </w:tblPr>
      <w:tblGrid>
        <w:gridCol w:w="1021"/>
        <w:gridCol w:w="7366"/>
        <w:gridCol w:w="511"/>
      </w:tblGrid>
      <w:tr>
        <w:trPr/>
        <w:tc>
          <w:tcPr>
            <w:tcW w:w="102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8" w:space="0" w:color="000000"/>
            </w:tcBorders>
            <w:tcMar>
              <w:bottom w:w="28" w:type="dxa"/>
            </w:tcMar>
            <w:vAlign w:val="center"/>
          </w:tcPr>
          <w:p>
            <w:pPr>
              <w:pStyle w:val="TableContents"/>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021" w:type="dxa"/>
            <w:tcBorders/>
            <w:vAlign w:val="center"/>
          </w:tcPr>
          <w:p>
            <w:pPr>
              <w:pStyle w:val="TableContents"/>
              <w:bidi w:val="0"/>
              <w:spacing w:before="0" w:after="60"/>
              <w:ind w:left="0" w:right="0" w:hanging="0"/>
              <w:jc w:val="left"/>
              <w:rPr/>
            </w:pPr>
            <w:hyperlink w:anchor="PART1FINANCIALINFORMATION_118374">
              <w:r>
                <w:rPr>
                  <w:rStyle w:val="InternetLink"/>
                  <w:rFonts w:ascii="Times New Roman;Times;serif" w:hAnsi="Times New Roman;Times;serif"/>
                  <w:b/>
                  <w:i w:val="false"/>
                  <w:caps w:val="false"/>
                  <w:smallCaps w:val="false"/>
                  <w:sz w:val="20"/>
                </w:rPr>
                <w:t>Part 1</w:t>
              </w:r>
            </w:hyperlink>
            <w:hyperlink w:anchor="PART1FINANCIALINFORMATION_118374">
              <w:r>
                <w:rPr>
                  <w:rStyle w:val="InternetLink"/>
                  <w:rFonts w:ascii="Symbol" w:hAnsi="Symbol"/>
                  <w:b/>
                  <w:i w:val="false"/>
                  <w:caps w:val="false"/>
                  <w:smallCaps w:val="false"/>
                  <w:sz w:val="20"/>
                </w:rPr>
                <w:t>:</w:t>
              </w:r>
            </w:hyperlink>
          </w:p>
        </w:tc>
        <w:tc>
          <w:tcPr>
            <w:tcW w:w="7366" w:type="dxa"/>
            <w:tcBorders/>
            <w:vAlign w:val="center"/>
          </w:tcPr>
          <w:p>
            <w:pPr>
              <w:pStyle w:val="TableContents"/>
              <w:bidi w:val="0"/>
              <w:spacing w:before="0" w:after="60"/>
              <w:ind w:left="0" w:right="0" w:hanging="0"/>
              <w:jc w:val="left"/>
              <w:rPr/>
            </w:pPr>
            <w:hyperlink w:anchor="PART1FINANCIALINFORMATION_118374">
              <w:r>
                <w:rPr>
                  <w:rStyle w:val="InternetLink"/>
                  <w:rFonts w:ascii="Times New Roman;Times;serif" w:hAnsi="Times New Roman;Times;serif"/>
                  <w:b/>
                  <w:i w:val="false"/>
                  <w:caps w:val="false"/>
                  <w:smallCaps w:val="false"/>
                  <w:sz w:val="20"/>
                </w:rPr>
                <w:t>FINANCIAL INFORMATION</w:t>
              </w:r>
            </w:hyperlink>
          </w:p>
        </w:tc>
        <w:tc>
          <w:tcPr>
            <w:tcW w:w="511" w:type="dxa"/>
            <w:tcBorders>
              <w:top w:val="single" w:sz="8" w:space="0" w:color="000000"/>
            </w:tcBorders>
            <w:tcMar>
              <w:top w:w="28" w:type="dxa"/>
            </w:tcMar>
            <w:vAlign w:val="center"/>
          </w:tcPr>
          <w:p>
            <w:pPr>
              <w:pStyle w:val="TableContents"/>
              <w:bidi w:val="0"/>
              <w:spacing w:before="0" w:after="60"/>
              <w:ind w:left="0" w:right="0" w:hanging="0"/>
              <w:jc w:val="right"/>
              <w:rPr/>
            </w:pPr>
            <w:r>
              <w:rPr/>
              <w:t>​</w:t>
            </w:r>
          </w:p>
        </w:tc>
      </w:tr>
      <w:tr>
        <w:trPr/>
        <w:tc>
          <w:tcPr>
            <w:tcW w:w="1021" w:type="dxa"/>
            <w:tcBorders/>
            <w:vAlign w:val="center"/>
          </w:tcPr>
          <w:p>
            <w:pPr>
              <w:pStyle w:val="TableContents"/>
              <w:bidi w:val="0"/>
              <w:spacing w:before="0" w:after="60"/>
              <w:ind w:left="0" w:right="0" w:hanging="0"/>
              <w:jc w:val="left"/>
              <w:rPr/>
            </w:pPr>
            <w:hyperlink w:anchor="Item1FinancialStatements_935508">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60"/>
              <w:ind w:left="0" w:right="0" w:hanging="0"/>
              <w:jc w:val="left"/>
              <w:rPr/>
            </w:pPr>
            <w:hyperlink w:anchor="Item1FinancialStatements_935508">
              <w:r>
                <w:rPr>
                  <w:rStyle w:val="InternetLink"/>
                  <w:rFonts w:ascii="Times New Roman;Times;serif" w:hAnsi="Times New Roman;Times;serif"/>
                  <w:b w:val="false"/>
                  <w:i w:val="false"/>
                  <w:caps w:val="false"/>
                  <w:smallCaps w:val="false"/>
                  <w:sz w:val="20"/>
                </w:rPr>
                <w:t>Consolidated Financial Statements</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2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60"/>
              <w:ind w:left="0" w:right="0" w:hanging="0"/>
              <w:jc w:val="left"/>
              <w:rPr/>
            </w:pPr>
            <w:hyperlink w:anchor="BalanceSheets_889058">
              <w:r>
                <w:rPr>
                  <w:rStyle w:val="InternetLink"/>
                  <w:rFonts w:ascii="Times New Roman;Times;serif" w:hAnsi="Times New Roman;Times;serif"/>
                  <w:b w:val="false"/>
                  <w:i w:val="false"/>
                  <w:caps w:val="false"/>
                  <w:smallCaps w:val="false"/>
                  <w:sz w:val="20"/>
                </w:rPr>
                <w:t xml:space="preserve">Consolidated Balance Sheets </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2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60"/>
              <w:ind w:left="0" w:right="0" w:hanging="0"/>
              <w:jc w:val="left"/>
              <w:rPr/>
            </w:pPr>
            <w:hyperlink w:anchor="StatementsofIncome_79265">
              <w:r>
                <w:rPr>
                  <w:rStyle w:val="InternetLink"/>
                  <w:rFonts w:ascii="Times New Roman;Times;serif" w:hAnsi="Times New Roman;Times;serif"/>
                  <w:b w:val="false"/>
                  <w:i w:val="false"/>
                  <w:caps w:val="false"/>
                  <w:smallCaps w:val="false"/>
                  <w:sz w:val="20"/>
                </w:rPr>
                <w:t xml:space="preserve">Consolidated Statements of Income </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02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60"/>
              <w:ind w:left="0" w:right="0" w:hanging="0"/>
              <w:jc w:val="left"/>
              <w:rPr/>
            </w:pPr>
            <w:hyperlink w:anchor="ComprehensiveIncome_425788">
              <w:r>
                <w:rPr>
                  <w:rStyle w:val="InternetLink"/>
                  <w:rFonts w:ascii="Times New Roman;Times;serif" w:hAnsi="Times New Roman;Times;serif"/>
                  <w:b w:val="false"/>
                  <w:i w:val="false"/>
                  <w:caps w:val="false"/>
                  <w:smallCaps w:val="false"/>
                  <w:sz w:val="20"/>
                </w:rPr>
                <w:t xml:space="preserve">Consolidated Statements of Comprehensive Income </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02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60"/>
              <w:ind w:left="0" w:right="0" w:hanging="0"/>
              <w:jc w:val="left"/>
              <w:rPr/>
            </w:pPr>
            <w:hyperlink w:anchor="StockholdersEquity_458166">
              <w:r>
                <w:rPr>
                  <w:rStyle w:val="InternetLink"/>
                  <w:rFonts w:ascii="Times New Roman;Times;serif" w:hAnsi="Times New Roman;Times;serif"/>
                  <w:b w:val="false"/>
                  <w:i w:val="false"/>
                  <w:caps w:val="false"/>
                  <w:smallCaps w:val="false"/>
                  <w:sz w:val="20"/>
                </w:rPr>
                <w:t xml:space="preserve">Consolidated Statements of Changes in Stockholders’ Equity </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02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60"/>
              <w:ind w:left="0" w:right="0" w:hanging="0"/>
              <w:jc w:val="left"/>
              <w:rPr/>
            </w:pPr>
            <w:hyperlink w:anchor="CashFlows_84299">
              <w:r>
                <w:rPr>
                  <w:rStyle w:val="InternetLink"/>
                  <w:rFonts w:ascii="Times New Roman;Times;serif" w:hAnsi="Times New Roman;Times;serif"/>
                  <w:b w:val="false"/>
                  <w:i w:val="false"/>
                  <w:caps w:val="false"/>
                  <w:smallCaps w:val="false"/>
                  <w:sz w:val="20"/>
                </w:rPr>
                <w:t xml:space="preserve">Consolidated Statements of Cash Flows </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02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60"/>
              <w:ind w:left="0" w:right="0" w:hanging="0"/>
              <w:jc w:val="left"/>
              <w:rPr/>
            </w:pPr>
            <w:hyperlink w:anchor="NotestoConsolidatedFinancialStatements_5">
              <w:r>
                <w:rPr>
                  <w:rStyle w:val="InternetLink"/>
                  <w:rFonts w:ascii="Times New Roman;Times;serif" w:hAnsi="Times New Roman;Times;serif"/>
                  <w:b w:val="false"/>
                  <w:i w:val="false"/>
                  <w:caps w:val="false"/>
                  <w:smallCaps w:val="false"/>
                  <w:sz w:val="20"/>
                </w:rPr>
                <w:t xml:space="preserve">Notes to Consolidated Financial Statements </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021" w:type="dxa"/>
            <w:tcBorders/>
            <w:vAlign w:val="center"/>
          </w:tcPr>
          <w:p>
            <w:pPr>
              <w:pStyle w:val="TableContents"/>
              <w:bidi w:val="0"/>
              <w:spacing w:before="0" w:after="6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6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021" w:type="dxa"/>
            <w:tcBorders/>
            <w:vAlign w:val="center"/>
          </w:tcPr>
          <w:p>
            <w:pPr>
              <w:pStyle w:val="TableContents"/>
              <w:bidi w:val="0"/>
              <w:spacing w:before="0" w:after="6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6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021" w:type="dxa"/>
            <w:tcBorders/>
            <w:vAlign w:val="center"/>
          </w:tcPr>
          <w:p>
            <w:pPr>
              <w:pStyle w:val="TableContents"/>
              <w:bidi w:val="0"/>
              <w:spacing w:before="0" w:after="60"/>
              <w:ind w:left="0" w:right="0" w:hanging="0"/>
              <w:jc w:val="left"/>
              <w:rPr/>
            </w:pPr>
            <w:hyperlink w:anchor="ITEM4CONTROLSANDPROCEDURES_218234">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60"/>
              <w:ind w:left="0" w:right="0" w:hanging="0"/>
              <w:jc w:val="left"/>
              <w:rPr/>
            </w:pPr>
            <w:hyperlink w:anchor="ITEM4CONTROLSANDPROCEDURES_218234">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02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vAlign w:val="center"/>
          </w:tcPr>
          <w:p>
            <w:pPr>
              <w:pStyle w:val="TableContents"/>
              <w:bidi w:val="0"/>
              <w:spacing w:before="0" w:after="60"/>
              <w:ind w:left="0" w:right="0" w:hanging="0"/>
              <w:jc w:val="left"/>
              <w:rPr/>
            </w:pPr>
            <w:hyperlink w:anchor="PARTIIOTHERINFORMATION_296051">
              <w:r>
                <w:rPr>
                  <w:rStyle w:val="InternetLink"/>
                  <w:rFonts w:ascii="Times New Roman;Times;serif" w:hAnsi="Times New Roman;Times;serif"/>
                  <w:b/>
                  <w:i w:val="false"/>
                  <w:caps w:val="false"/>
                  <w:smallCaps w:val="false"/>
                  <w:sz w:val="20"/>
                </w:rPr>
                <w:t>Part 2</w:t>
              </w:r>
            </w:hyperlink>
            <w:hyperlink w:anchor="PARTIIOTHERINFORMATION_296051">
              <w:r>
                <w:rPr>
                  <w:rStyle w:val="InternetLink"/>
                  <w:rFonts w:ascii="Symbol" w:hAnsi="Symbol"/>
                  <w:b/>
                  <w:i w:val="false"/>
                  <w:caps w:val="false"/>
                  <w:smallCaps w:val="false"/>
                  <w:sz w:val="20"/>
                </w:rPr>
                <w:t>:</w:t>
              </w:r>
            </w:hyperlink>
          </w:p>
        </w:tc>
        <w:tc>
          <w:tcPr>
            <w:tcW w:w="7366" w:type="dxa"/>
            <w:tcBorders/>
            <w:vAlign w:val="center"/>
          </w:tcPr>
          <w:p>
            <w:pPr>
              <w:pStyle w:val="TableContents"/>
              <w:bidi w:val="0"/>
              <w:spacing w:before="0" w:after="60"/>
              <w:ind w:left="0" w:right="0" w:hanging="0"/>
              <w:jc w:val="left"/>
              <w:rPr/>
            </w:pPr>
            <w:hyperlink w:anchor="PARTIIOTHERINFORMATION_296051">
              <w:r>
                <w:rPr>
                  <w:rStyle w:val="InternetLink"/>
                  <w:rFonts w:ascii="Times New Roman;Times;serif" w:hAnsi="Times New Roman;Times;serif"/>
                  <w:b/>
                  <w:i w:val="false"/>
                  <w:caps w:val="false"/>
                  <w:smallCaps w:val="false"/>
                  <w:sz w:val="20"/>
                </w:rPr>
                <w:t>OTHER INFORMATION</w:t>
              </w:r>
            </w:hyperlink>
          </w:p>
        </w:tc>
        <w:tc>
          <w:tcPr>
            <w:tcW w:w="511" w:type="dxa"/>
            <w:tcBorders/>
            <w:vAlign w:val="center"/>
          </w:tcPr>
          <w:p>
            <w:pPr>
              <w:pStyle w:val="TableContents"/>
              <w:bidi w:val="0"/>
              <w:spacing w:before="0" w:after="60"/>
              <w:ind w:left="0" w:right="0" w:hanging="0"/>
              <w:jc w:val="right"/>
              <w:rPr/>
            </w:pPr>
            <w:r>
              <w:rPr/>
              <w:t>​</w:t>
            </w:r>
          </w:p>
        </w:tc>
      </w:tr>
      <w:tr>
        <w:trPr/>
        <w:tc>
          <w:tcPr>
            <w:tcW w:w="1021" w:type="dxa"/>
            <w:tcBorders/>
            <w:vAlign w:val="center"/>
          </w:tcPr>
          <w:p>
            <w:pPr>
              <w:pStyle w:val="TableContents"/>
              <w:bidi w:val="0"/>
              <w:spacing w:before="0" w:after="60"/>
              <w:ind w:left="0" w:right="0" w:hanging="0"/>
              <w:jc w:val="left"/>
              <w:rPr/>
            </w:pPr>
            <w:hyperlink w:anchor="Item1LegalProceedings_874551">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60"/>
              <w:ind w:left="0" w:right="0" w:hanging="0"/>
              <w:jc w:val="left"/>
              <w:rPr/>
            </w:pPr>
            <w:hyperlink w:anchor="Item1LegalProceedings_874551">
              <w:r>
                <w:rPr>
                  <w:rStyle w:val="InternetLink"/>
                  <w:rFonts w:ascii="Times New Roman;Times;serif" w:hAnsi="Times New Roman;Times;serif"/>
                  <w:b w:val="false"/>
                  <w:i w:val="false"/>
                  <w:caps w:val="false"/>
                  <w:smallCaps w:val="false"/>
                  <w:sz w:val="20"/>
                </w:rPr>
                <w:t>Legal Proceedings</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021" w:type="dxa"/>
            <w:tcBorders/>
            <w:vAlign w:val="center"/>
          </w:tcPr>
          <w:p>
            <w:pPr>
              <w:pStyle w:val="TableContents"/>
              <w:bidi w:val="0"/>
              <w:spacing w:before="0" w:after="60"/>
              <w:ind w:left="0" w:right="0" w:hanging="0"/>
              <w:jc w:val="left"/>
              <w:rPr/>
            </w:pPr>
            <w:hyperlink w:anchor="Item1ARiskFactors_807447">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60"/>
              <w:ind w:left="0" w:right="0" w:hanging="0"/>
              <w:jc w:val="left"/>
              <w:rPr/>
            </w:pPr>
            <w:hyperlink w:anchor="Item1ARiskFactors_807447">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021" w:type="dxa"/>
            <w:tcBorders/>
            <w:vAlign w:val="center"/>
          </w:tcPr>
          <w:p>
            <w:pPr>
              <w:pStyle w:val="TableContents"/>
              <w:bidi w:val="0"/>
              <w:spacing w:before="0" w:after="60"/>
              <w:ind w:left="0" w:right="0" w:hanging="0"/>
              <w:jc w:val="left"/>
              <w:rPr/>
            </w:pPr>
            <w:hyperlink w:anchor="Item2RecentSalesofUnregistered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60"/>
              <w:ind w:left="0" w:right="0" w:hanging="0"/>
              <w:jc w:val="left"/>
              <w:rPr/>
            </w:pPr>
            <w:hyperlink w:anchor="Item2RecentSalesofUnregistered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021" w:type="dxa"/>
            <w:tcBorders/>
            <w:vAlign w:val="center"/>
          </w:tcPr>
          <w:p>
            <w:pPr>
              <w:pStyle w:val="TableContents"/>
              <w:bidi w:val="0"/>
              <w:spacing w:before="0" w:after="60"/>
              <w:ind w:left="0" w:right="0" w:hanging="0"/>
              <w:jc w:val="left"/>
              <w:rPr/>
            </w:pPr>
            <w:hyperlink w:anchor="Item3DefaultsUponSeniorSecurities_928521">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60"/>
              <w:ind w:left="0" w:right="0" w:hanging="0"/>
              <w:jc w:val="left"/>
              <w:rPr/>
            </w:pPr>
            <w:hyperlink w:anchor="Item3DefaultsUponSeniorSecurities_928521">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1021" w:type="dxa"/>
            <w:tcBorders/>
            <w:vAlign w:val="center"/>
          </w:tcPr>
          <w:p>
            <w:pPr>
              <w:pStyle w:val="TableContents"/>
              <w:bidi w:val="0"/>
              <w:spacing w:before="0" w:after="60"/>
              <w:ind w:left="0" w:right="0" w:hanging="0"/>
              <w:jc w:val="left"/>
              <w:rPr/>
            </w:pPr>
            <w:hyperlink w:anchor="Item4MineSafetyDisclosures_391221">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60"/>
              <w:ind w:left="0" w:right="0" w:hanging="0"/>
              <w:jc w:val="left"/>
              <w:rPr/>
            </w:pPr>
            <w:hyperlink w:anchor="Item4MineSafetyDisclosures_391221">
              <w:r>
                <w:rPr>
                  <w:rStyle w:val="InternetLink"/>
                  <w:rFonts w:ascii="Times New Roman;Times;serif" w:hAnsi="Times New Roman;Times;serif"/>
                  <w:b w:val="false"/>
                  <w:i w:val="false"/>
                  <w:caps w:val="false"/>
                  <w:smallCaps w:val="false"/>
                  <w:sz w:val="20"/>
                </w:rPr>
                <w:t>Mine Safety Disclosures</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1021" w:type="dxa"/>
            <w:tcBorders/>
            <w:vAlign w:val="center"/>
          </w:tcPr>
          <w:p>
            <w:pPr>
              <w:pStyle w:val="TableContents"/>
              <w:bidi w:val="0"/>
              <w:spacing w:before="0" w:after="60"/>
              <w:ind w:left="0" w:right="0" w:hanging="0"/>
              <w:jc w:val="left"/>
              <w:rPr/>
            </w:pPr>
            <w:hyperlink w:anchor="Item5OtherInformation_201012">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60"/>
              <w:ind w:left="0" w:right="0" w:hanging="0"/>
              <w:jc w:val="left"/>
              <w:rPr/>
            </w:pPr>
            <w:hyperlink w:anchor="Item5OtherInformation_201012">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1021" w:type="dxa"/>
            <w:tcBorders/>
            <w:vAlign w:val="center"/>
          </w:tcPr>
          <w:p>
            <w:pPr>
              <w:pStyle w:val="TableContents"/>
              <w:bidi w:val="0"/>
              <w:spacing w:before="0" w:after="60"/>
              <w:ind w:left="0" w:right="0" w:hanging="0"/>
              <w:jc w:val="left"/>
              <w:rPr/>
            </w:pPr>
            <w:hyperlink w:anchor="Item6Exhibits_20006">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60"/>
              <w:ind w:left="0" w:right="0" w:hanging="0"/>
              <w:jc w:val="left"/>
              <w:rPr/>
            </w:pPr>
            <w:hyperlink w:anchor="Item6Exhibits_20006">
              <w:r>
                <w:rPr>
                  <w:rStyle w:val="InternetLink"/>
                  <w:rFonts w:ascii="Times New Roman;Times;serif" w:hAnsi="Times New Roman;Times;serif"/>
                  <w:b w:val="false"/>
                  <w:i w:val="false"/>
                  <w:caps w:val="false"/>
                  <w:smallCaps w:val="false"/>
                  <w:sz w:val="20"/>
                </w:rPr>
                <w:t>Exhibits</w:t>
              </w:r>
            </w:hyperlink>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102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vAlign w:val="center"/>
          </w:tcPr>
          <w:p>
            <w:pPr>
              <w:pStyle w:val="TableContents"/>
              <w:bidi w:val="0"/>
              <w:spacing w:before="0" w:after="60"/>
              <w:ind w:left="0" w:right="0" w:hanging="0"/>
              <w:jc w:val="left"/>
              <w:rPr/>
            </w:pPr>
            <w:hyperlink w:anchor="SIGNATURES_407399">
              <w:r>
                <w:rPr>
                  <w:rStyle w:val="InternetLink"/>
                  <w:rFonts w:ascii="Times New Roman;Times;serif" w:hAnsi="Times New Roman;Times;serif"/>
                  <w:b/>
                  <w:i w:val="false"/>
                  <w:caps w:val="false"/>
                  <w:smallCaps w:val="false"/>
                  <w:sz w:val="20"/>
                </w:rPr>
                <w:t>Signatures</w:t>
              </w:r>
            </w:hyperlink>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8" w:name="PART1FINANCIALINFORMATION_118374"/>
      <w:bookmarkStart w:id="29" w:name="_1908f109_ec39_41d2_bac3_c63529a292f8"/>
      <w:bookmarkEnd w:id="28"/>
      <w:bookmarkEnd w:id="29"/>
      <w:r>
        <w:rPr>
          <w:rFonts w:ascii="Times New Roman;Times;serif" w:hAnsi="Times New Roman;Times;serif"/>
          <w:b/>
          <w:sz w:val="20"/>
        </w:rPr>
        <w:t>PART 1. FINANCIAL INFORMATION</w:t>
      </w:r>
    </w:p>
    <w:p>
      <w:pPr>
        <w:pStyle w:val="TextBody"/>
        <w:bidi w:val="0"/>
        <w:spacing w:before="0" w:after="240"/>
        <w:ind w:left="0" w:right="0" w:hanging="0"/>
        <w:jc w:val="center"/>
        <w:rPr>
          <w:rFonts w:ascii="Times New Roman;Times;serif" w:hAnsi="Times New Roman;Times;serif"/>
          <w:b/>
          <w:sz w:val="20"/>
        </w:rPr>
      </w:pPr>
      <w:bookmarkStart w:id="30" w:name="Item1FinancialStatements_935508"/>
      <w:bookmarkEnd w:id="30"/>
      <w:r>
        <w:rPr>
          <w:rFonts w:ascii="Times New Roman;Times;serif" w:hAnsi="Times New Roman;Times;serif"/>
          <w:b/>
          <w:sz w:val="20"/>
        </w:rPr>
        <w:t>Item 1 - Consolidated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Alerus Financial Corporation and Subsidiaries</w:t>
      </w:r>
    </w:p>
    <w:p>
      <w:pPr>
        <w:pStyle w:val="TextBody"/>
        <w:bidi w:val="0"/>
        <w:spacing w:before="0" w:after="0"/>
        <w:ind w:left="0" w:right="0" w:hanging="0"/>
        <w:jc w:val="center"/>
        <w:rPr>
          <w:rFonts w:ascii="Times New Roman;Times;serif" w:hAnsi="Times New Roman;Times;serif"/>
          <w:b/>
          <w:sz w:val="20"/>
        </w:rPr>
      </w:pPr>
      <w:bookmarkStart w:id="31" w:name="BalanceSheets_889058"/>
      <w:bookmarkEnd w:id="31"/>
      <w:r>
        <w:rPr>
          <w:rFonts w:ascii="Times New Roman;Times;serif" w:hAnsi="Times New Roman;Times;serif"/>
          <w:b/>
          <w:sz w:val="20"/>
        </w:rPr>
        <w:t>Consolidated Balance Sheets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2" w:name="Tc_PMTrmALck0muFqASNhrD5g_42_5"/>
      <w:bookmarkStart w:id="33" w:name="Tc_4T5ybUf_vkWwfyxk0_2Cqw_42_2"/>
      <w:bookmarkStart w:id="34" w:name="Tc_4MnELjQm0Eqe4hF_NMUr4w_42_0"/>
      <w:bookmarkStart w:id="35" w:name="Tc_556e6_dD0UOjKSWyoKqPpA_41_0"/>
      <w:bookmarkStart w:id="36" w:name="Tc_8EdXmaNofkGVJZ2BEzv2zA_40_0"/>
      <w:bookmarkStart w:id="37" w:name="Tc_3dIbBmyEFUyDQzq3GRyZ4g_39_0"/>
      <w:bookmarkStart w:id="38" w:name="Tc_4pJCwODs-0eOBtAvu_ilXw_38_0"/>
      <w:bookmarkStart w:id="39" w:name="Tc_QFguIZ1F3E2jaLB7v-o3TA_37_0"/>
      <w:bookmarkStart w:id="40" w:name="_dac5be8e_fff3_4d57_a094_8107f7c90b2f_3"/>
      <w:bookmarkStart w:id="41" w:name="_dac5be8e_fff3_4d57_a094_8107f7c90b2f_2"/>
      <w:bookmarkStart w:id="42" w:name="_dac5be8e_fff3_4d57_a094_8107f7c90b2f"/>
      <w:bookmarkStart w:id="43" w:name="Tc_IwQyNxecIkGnjlKsKPlLrA_36_0"/>
      <w:bookmarkStart w:id="44" w:name="Tc_tdFcEimukECO12Ytz6P5Xw_35_0"/>
      <w:bookmarkStart w:id="45" w:name="Tc_5OKcFoZegUK5A4JhGduMGw_34_0"/>
      <w:bookmarkStart w:id="46" w:name="Tc_zajzguVAt0SsbQOUEHr7nA_33_0"/>
      <w:bookmarkStart w:id="47" w:name="Tc_3lbRuJE0HkaSKh1FtOhbeA_32_0"/>
      <w:bookmarkStart w:id="48" w:name="Tc_x8Fl22n8rkGW6m3nYqEwkQ_31_0"/>
      <w:bookmarkStart w:id="49" w:name="Tc_hiC7nzzMGk2PjPM6SIU9WQ_30_0"/>
      <w:bookmarkStart w:id="50" w:name="Tc_u0UhbZXork-u6qKQRKrg4g_29_0"/>
      <w:bookmarkStart w:id="51" w:name="Tc_YhD-RGP3mk6oDjt63R2Qmg_28_0"/>
      <w:bookmarkStart w:id="52" w:name="Tc_j-2pUuAJ3EW_lMkx3Gbyww_27_0"/>
      <w:bookmarkStart w:id="53" w:name="Tc_am89VpUIEkG7erRgRd__nw_26_5"/>
      <w:bookmarkStart w:id="54" w:name="Tc_4qc3O1BLskCMfYfEa-aSyA_26_2"/>
      <w:bookmarkStart w:id="55" w:name="Tc_fYTAYResnEeuGN_AHtMojg_26_0"/>
      <w:bookmarkStart w:id="56" w:name="Tc_SFYibu5HgEeMVZDFpMP7Iw_25_0"/>
      <w:bookmarkStart w:id="57" w:name="Tc_gGGjzlEqEkCvlFTKgAH5Fg_24_0"/>
      <w:bookmarkStart w:id="58" w:name="Tc_GupIf9cn7kO_OpTPP_d3_Q_23_0"/>
      <w:bookmarkStart w:id="59" w:name="Tc_DbDSUyFuTE-Y5Os_sbvKrA_22_5"/>
      <w:bookmarkStart w:id="60" w:name="Tc_7QGHoYfXV0muPMkj9CZrVg_22_2"/>
      <w:bookmarkStart w:id="61" w:name="Tc_m3ukhc5QrECpHHRt0kmvRQ_22_0"/>
      <w:bookmarkStart w:id="62" w:name="Tc_b4BPJP99f0yjU41nH92uQw_21_0"/>
      <w:bookmarkStart w:id="63" w:name="Tc_Gn22kthOq0Wztao5_4nPXg_20_0"/>
      <w:bookmarkStart w:id="64" w:name="Tc_TMWsr0ynxkyVF0wdLaTcjQ_19_0"/>
      <w:bookmarkStart w:id="65" w:name="Tc_-weYX0EmbEalcdl28fE1dg_18_0"/>
      <w:bookmarkStart w:id="66" w:name="Tc_FsbQ0Qppr0CSFiQ1jNW4kA_17_0"/>
      <w:bookmarkStart w:id="67" w:name="Tc_UtGYyVRlBE6MVNEpz4C1Uw_16_0"/>
      <w:bookmarkStart w:id="68" w:name="Tc_YCoVHBf8q0yyWFSPMzEP3w_15_0"/>
      <w:bookmarkStart w:id="69" w:name="Tc_NFuZI2Ixk0mDO-t0sr_5IA_14_0"/>
      <w:bookmarkStart w:id="70" w:name="Tc_enNPl-gF60C6Wb8jW-eryQ_13_0"/>
      <w:bookmarkStart w:id="71" w:name="Tc_xRdSGEyPuUqgBIwTxxnb7Q_12_0"/>
      <w:bookmarkStart w:id="72" w:name="Tc_tfbVLcfRyEa9Y29a2-naeA_11_0"/>
      <w:bookmarkStart w:id="73" w:name="Tc_2c2ZnDeJY0ef1Z2YUwtJ6A_10_0"/>
      <w:bookmarkStart w:id="74" w:name="Tc_fXvB3-ZiT0uhnlWtkO5iXQ_9_0"/>
      <w:bookmarkStart w:id="75" w:name="Tc_-fHbHSQk90G85rD2u2Unzw_8_0"/>
      <w:bookmarkStart w:id="76" w:name="Tc_NpALzuPfo02WFHjPtYHfGw_7_0"/>
      <w:bookmarkStart w:id="77" w:name="Tc_cLWpR9witUmrwNHX5EA2NQ_6_6"/>
      <w:bookmarkStart w:id="78" w:name="Tc_F8CWSpiRTk-eftTk8utUnw_6_0"/>
      <w:bookmarkStart w:id="79" w:name="Tc_GGaj2AeT4UeyKE87b3b7sg_5_0"/>
      <w:bookmarkStart w:id="80" w:name="Tc_qg7FNTFBS0WGX7WS6xL1Xg_4_5"/>
      <w:bookmarkStart w:id="81" w:name="Tc_jeZifgYFJk6hD1e7zbNdLg_4_2"/>
      <w:bookmarkStart w:id="82" w:name="Tc_DR4ZHD2HyE-7Rqt3RU1Ixw_4_0"/>
      <w:bookmarkStart w:id="83" w:name="Tc_02Gcvg09z0-2c9dj4Pq8DQ_3_5"/>
      <w:bookmarkStart w:id="84" w:name="Tc_zOn9UlcMHUyvZh5i8V0Lkg_3_2"/>
      <w:bookmarkStart w:id="85" w:name="Tc_lEwvTa-lEkSmEjvkIBk-Lw_3_0"/>
      <w:bookmarkStart w:id="86" w:name="Tc_eXaiA8XFI02F_90EDo7emA_2_5"/>
      <w:bookmarkStart w:id="87" w:name="Tc_R7Y5h4X3OEeg2sMkhRoCSA_2_2"/>
      <w:bookmarkStart w:id="88" w:name="Tc_aXIkbpNaH0i4JBC78s27dQ_2_0"/>
      <w:bookmarkStart w:id="89" w:name="Tc_3ZNhGbGyu0OAbJ8jE58ooA_1_5"/>
      <w:bookmarkStart w:id="90" w:name="Tc_P8JuNQAoAUq4aol4haogug_1_2"/>
      <w:bookmarkStart w:id="91" w:name="_7f9f0024_ac25_461f_9793_0c68a38bf310"/>
      <w:bookmarkStart w:id="92" w:name="Tc_PMTrmALck0muFqASNhrD5g_42_5"/>
      <w:bookmarkStart w:id="93" w:name="Tc_4T5ybUf_vkWwfyxk0_2Cqw_42_2"/>
      <w:bookmarkStart w:id="94" w:name="Tc_4MnELjQm0Eqe4hF_NMUr4w_42_0"/>
      <w:bookmarkStart w:id="95" w:name="Tc_556e6_dD0UOjKSWyoKqPpA_41_0"/>
      <w:bookmarkStart w:id="96" w:name="Tc_8EdXmaNofkGVJZ2BEzv2zA_40_0"/>
      <w:bookmarkStart w:id="97" w:name="Tc_3dIbBmyEFUyDQzq3GRyZ4g_39_0"/>
      <w:bookmarkStart w:id="98" w:name="Tc_4pJCwODs-0eOBtAvu_ilXw_38_0"/>
      <w:bookmarkStart w:id="99" w:name="Tc_QFguIZ1F3E2jaLB7v-o3TA_37_0"/>
      <w:bookmarkStart w:id="100" w:name="_dac5be8e_fff3_4d57_a094_8107f7c90b2f_3"/>
      <w:bookmarkStart w:id="101" w:name="_dac5be8e_fff3_4d57_a094_8107f7c90b2f_2"/>
      <w:bookmarkStart w:id="102" w:name="_dac5be8e_fff3_4d57_a094_8107f7c90b2f"/>
      <w:bookmarkStart w:id="103" w:name="Tc_IwQyNxecIkGnjlKsKPlLrA_36_0"/>
      <w:bookmarkStart w:id="104" w:name="Tc_tdFcEimukECO12Ytz6P5Xw_35_0"/>
      <w:bookmarkStart w:id="105" w:name="Tc_5OKcFoZegUK5A4JhGduMGw_34_0"/>
      <w:bookmarkStart w:id="106" w:name="Tc_zajzguVAt0SsbQOUEHr7nA_33_0"/>
      <w:bookmarkStart w:id="107" w:name="Tc_3lbRuJE0HkaSKh1FtOhbeA_32_0"/>
      <w:bookmarkStart w:id="108" w:name="Tc_x8Fl22n8rkGW6m3nYqEwkQ_31_0"/>
      <w:bookmarkStart w:id="109" w:name="Tc_hiC7nzzMGk2PjPM6SIU9WQ_30_0"/>
      <w:bookmarkStart w:id="110" w:name="Tc_u0UhbZXork-u6qKQRKrg4g_29_0"/>
      <w:bookmarkStart w:id="111" w:name="Tc_YhD-RGP3mk6oDjt63R2Qmg_28_0"/>
      <w:bookmarkStart w:id="112" w:name="Tc_j-2pUuAJ3EW_lMkx3Gbyww_27_0"/>
      <w:bookmarkStart w:id="113" w:name="Tc_am89VpUIEkG7erRgRd__nw_26_5"/>
      <w:bookmarkStart w:id="114" w:name="Tc_4qc3O1BLskCMfYfEa-aSyA_26_2"/>
      <w:bookmarkStart w:id="115" w:name="Tc_fYTAYResnEeuGN_AHtMojg_26_0"/>
      <w:bookmarkStart w:id="116" w:name="Tc_SFYibu5HgEeMVZDFpMP7Iw_25_0"/>
      <w:bookmarkStart w:id="117" w:name="Tc_gGGjzlEqEkCvlFTKgAH5Fg_24_0"/>
      <w:bookmarkStart w:id="118" w:name="Tc_GupIf9cn7kO_OpTPP_d3_Q_23_0"/>
      <w:bookmarkStart w:id="119" w:name="Tc_DbDSUyFuTE-Y5Os_sbvKrA_22_5"/>
      <w:bookmarkStart w:id="120" w:name="Tc_7QGHoYfXV0muPMkj9CZrVg_22_2"/>
      <w:bookmarkStart w:id="121" w:name="Tc_m3ukhc5QrECpHHRt0kmvRQ_22_0"/>
      <w:bookmarkStart w:id="122" w:name="Tc_b4BPJP99f0yjU41nH92uQw_21_0"/>
      <w:bookmarkStart w:id="123" w:name="Tc_Gn22kthOq0Wztao5_4nPXg_20_0"/>
      <w:bookmarkStart w:id="124" w:name="Tc_TMWsr0ynxkyVF0wdLaTcjQ_19_0"/>
      <w:bookmarkStart w:id="125" w:name="Tc_-weYX0EmbEalcdl28fE1dg_18_0"/>
      <w:bookmarkStart w:id="126" w:name="Tc_FsbQ0Qppr0CSFiQ1jNW4kA_17_0"/>
      <w:bookmarkStart w:id="127" w:name="Tc_UtGYyVRlBE6MVNEpz4C1Uw_16_0"/>
      <w:bookmarkStart w:id="128" w:name="Tc_YCoVHBf8q0yyWFSPMzEP3w_15_0"/>
      <w:bookmarkStart w:id="129" w:name="Tc_NFuZI2Ixk0mDO-t0sr_5IA_14_0"/>
      <w:bookmarkStart w:id="130" w:name="Tc_enNPl-gF60C6Wb8jW-eryQ_13_0"/>
      <w:bookmarkStart w:id="131" w:name="Tc_xRdSGEyPuUqgBIwTxxnb7Q_12_0"/>
      <w:bookmarkStart w:id="132" w:name="Tc_tfbVLcfRyEa9Y29a2-naeA_11_0"/>
      <w:bookmarkStart w:id="133" w:name="Tc_2c2ZnDeJY0ef1Z2YUwtJ6A_10_0"/>
      <w:bookmarkStart w:id="134" w:name="Tc_fXvB3-ZiT0uhnlWtkO5iXQ_9_0"/>
      <w:bookmarkStart w:id="135" w:name="Tc_-fHbHSQk90G85rD2u2Unzw_8_0"/>
      <w:bookmarkStart w:id="136" w:name="Tc_NpALzuPfo02WFHjPtYHfGw_7_0"/>
      <w:bookmarkStart w:id="137" w:name="Tc_cLWpR9witUmrwNHX5EA2NQ_6_6"/>
      <w:bookmarkStart w:id="138" w:name="Tc_F8CWSpiRTk-eftTk8utUnw_6_0"/>
      <w:bookmarkStart w:id="139" w:name="Tc_GGaj2AeT4UeyKE87b3b7sg_5_0"/>
      <w:bookmarkStart w:id="140" w:name="Tc_qg7FNTFBS0WGX7WS6xL1Xg_4_5"/>
      <w:bookmarkStart w:id="141" w:name="Tc_jeZifgYFJk6hD1e7zbNdLg_4_2"/>
      <w:bookmarkStart w:id="142" w:name="Tc_DR4ZHD2HyE-7Rqt3RU1Ixw_4_0"/>
      <w:bookmarkStart w:id="143" w:name="Tc_02Gcvg09z0-2c9dj4Pq8DQ_3_5"/>
      <w:bookmarkStart w:id="144" w:name="Tc_zOn9UlcMHUyvZh5i8V0Lkg_3_2"/>
      <w:bookmarkStart w:id="145" w:name="Tc_lEwvTa-lEkSmEjvkIBk-Lw_3_0"/>
      <w:bookmarkStart w:id="146" w:name="Tc_eXaiA8XFI02F_90EDo7emA_2_5"/>
      <w:bookmarkStart w:id="147" w:name="Tc_R7Y5h4X3OEeg2sMkhRoCSA_2_2"/>
      <w:bookmarkStart w:id="148" w:name="Tc_aXIkbpNaH0i4JBC78s27dQ_2_0"/>
      <w:bookmarkStart w:id="149" w:name="Tc_3ZNhGbGyu0OAbJ8jE58ooA_1_5"/>
      <w:bookmarkStart w:id="150" w:name="Tc_P8JuNQAoAUq4aol4haogug_1_2"/>
      <w:bookmarkStart w:id="151" w:name="_7f9f0024_ac25_461f_9793_0c68a38bf310"/>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tbl>
      <w:tblPr>
        <w:tblW w:w="10205" w:type="dxa"/>
        <w:jc w:val="left"/>
        <w:tblInd w:w="0" w:type="dxa"/>
        <w:tblLayout w:type="fixed"/>
        <w:tblCellMar>
          <w:top w:w="0" w:type="dxa"/>
          <w:left w:w="0" w:type="dxa"/>
          <w:bottom w:w="0" w:type="dxa"/>
          <w:right w:w="0" w:type="dxa"/>
        </w:tblCellMar>
      </w:tblPr>
      <w:tblGrid>
        <w:gridCol w:w="7372"/>
        <w:gridCol w:w="326"/>
        <w:gridCol w:w="196"/>
        <w:gridCol w:w="826"/>
        <w:gridCol w:w="326"/>
        <w:gridCol w:w="201"/>
        <w:gridCol w:w="958"/>
      </w:tblGrid>
      <w:tr>
        <w:trPr/>
        <w:tc>
          <w:tcPr>
            <w:tcW w:w="73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07010" cy="175260"/>
                      <wp:effectExtent l="0" t="0" r="0" b="0"/>
                      <wp:wrapNone/>
                      <wp:docPr id="1" name="Frame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24460" cy="175260"/>
                      <wp:effectExtent l="0" t="0" r="0" b="0"/>
                      <wp:wrapNone/>
                      <wp:docPr id="2" name="Frame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24510" cy="175260"/>
                      <wp:effectExtent l="0" t="0" r="0" b="0"/>
                      <wp:wrapNone/>
                      <wp:docPr id="3" name="Frame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7635" cy="175260"/>
                      <wp:effectExtent l="0" t="0" r="0" b="0"/>
                      <wp:wrapNone/>
                      <wp:docPr id="5" name="Frame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08330" cy="175260"/>
                      <wp:effectExtent l="0" t="0" r="0" b="0"/>
                      <wp:wrapNone/>
                      <wp:docPr id="6" name="Frame6"/>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    </w:t>
            </w:r>
          </w:p>
        </w:tc>
        <w:tc>
          <w:tcPr>
            <w:tcW w:w="115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 except share and per share data)</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1022"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26" w:type="dxa"/>
            <w:tcBorders/>
            <w:shd w:fill="CCEEFF" w:val="clear"/>
            <w:vAlign w:val="center"/>
          </w:tcPr>
          <w:p>
            <w:pPr>
              <w:pStyle w:val="TableContents"/>
              <w:bidi w:val="0"/>
              <w:spacing w:before="0" w:after="1"/>
              <w:ind w:left="0" w:right="0" w:hanging="0"/>
              <w:jc w:val="left"/>
              <w:rPr/>
            </w:pPr>
            <w:r>
              <w:rPr/>
              <w:t> </w:t>
            </w:r>
          </w:p>
        </w:tc>
        <w:tc>
          <w:tcPr>
            <w:tcW w:w="1159"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(Unaudited)</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545,772</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129,893</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pPr>
            <w:r>
              <w:rPr/>
              <w:t xml:space="preserve">   </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Trading</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4,553</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58" w:type="dxa"/>
            <w:tcBorders/>
            <w:vAlign w:val="center"/>
          </w:tcPr>
          <w:p>
            <w:pPr>
              <w:pStyle w:val="TableContents"/>
              <w:bidi w:val="0"/>
              <w:spacing w:before="0" w:after="1"/>
              <w:ind w:left="0" w:right="0" w:hanging="0"/>
              <w:jc w:val="right"/>
              <w:rPr/>
            </w:pPr>
            <w:r>
              <w:rPr/>
              <w:t>—</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Available-for-sale, at fair value (amortized cost of $573,733 and $584,754,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472,272</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486,736</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Held-to-maturity, at amortized cost (fair value of $249,807 and $258,617, respectively, with an allowance for credit losses on investments of $207 and $213,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291,932</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299,515</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held for sale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10,625</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11,497</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2,799,475</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2,759,583</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Allowance for credit losses on loans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(36,584)</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(35,843)</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loans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2,762,891</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2,723,740</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Land, premises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18,162</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17,940</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5,112</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5,436</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interest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16,149</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15,700</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Bank-owned life insurance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33,396</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33,236</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46,783</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46,783</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intangible assets,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15,834</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17,158</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Servicing rights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1,983</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2,052</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34,796</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34,595</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77,833</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83,432</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4,338,093</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3,907,713</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pPr>
            <w:r>
              <w:rPr/>
              <w:t xml:space="preserve">   </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958" w:type="dxa"/>
            <w:tcBorders/>
            <w:vAlign w:val="center"/>
          </w:tcPr>
          <w:p>
            <w:pPr>
              <w:pStyle w:val="TableContents"/>
              <w:bidi w:val="0"/>
              <w:spacing w:before="0" w:after="1"/>
              <w:ind w:left="0" w:right="0" w:hanging="0"/>
              <w:jc w:val="right"/>
              <w:rPr/>
            </w:pPr>
            <w:r>
              <w:rPr/>
              <w:t>​</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Deposits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pPr>
            <w:r>
              <w:rPr/>
              <w:t xml:space="preserve">   </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Noninterest-bearing</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692,500</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728,082</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2,592,469</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2,367,529</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deposits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3,284,969</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3,095,611</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Short-term borrowings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555,000</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314,170</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58,985</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58,956</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5,420</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5,751</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 and other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62,084</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64,098</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3,966,458</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3,538,586</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11)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958" w:type="dxa"/>
            <w:tcBorders/>
            <w:vAlign w:val="center"/>
          </w:tcPr>
          <w:p>
            <w:pPr>
              <w:pStyle w:val="TableContents"/>
              <w:bidi w:val="0"/>
              <w:spacing w:before="0" w:after="1"/>
              <w:ind w:left="0" w:right="0" w:hanging="0"/>
              <w:jc w:val="right"/>
              <w:rPr/>
            </w:pPr>
            <w:r>
              <w:rPr/>
              <w:t>​</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pPr>
            <w:r>
              <w:rPr/>
              <w:t xml:space="preserve">   </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$1 par value, 2,000,000 shares authorized: 0 issued and outstanding</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958"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Common stock, $1</w:t>
            </w:r>
            <w:r>
              <w:rPr>
                <w:rFonts w:ascii="Times New Roman;Times;serif" w:hAnsi="Times New Roman;Times;serif"/>
                <w:sz w:val="20"/>
              </w:rPr>
              <w:t xml:space="preserve"> </w:t>
            </w:r>
            <w:r>
              <w:rPr>
                <w:rFonts w:ascii="Times New Roman;Times;serif" w:hAnsi="Times New Roman;Times;serif"/>
                <w:sz w:val="18"/>
              </w:rPr>
              <w:t>par value, 30,000,000</w:t>
            </w:r>
            <w:r>
              <w:rPr>
                <w:rFonts w:ascii="Times New Roman;Times;serif" w:hAnsi="Times New Roman;Times;serif"/>
                <w:sz w:val="20"/>
              </w:rPr>
              <w:t xml:space="preserve"> </w:t>
            </w:r>
            <w:r>
              <w:rPr>
                <w:rFonts w:ascii="Times New Roman;Times;serif" w:hAnsi="Times New Roman;Times;serif"/>
                <w:sz w:val="18"/>
              </w:rPr>
              <w:t>shares authorized: 19,776,786</w:t>
            </w:r>
            <w:r>
              <w:rPr>
                <w:rFonts w:ascii="Times New Roman;Times;serif" w:hAnsi="Times New Roman;Times;serif"/>
                <w:sz w:val="20"/>
              </w:rPr>
              <w:t xml:space="preserve"> </w:t>
            </w:r>
            <w:r>
              <w:rPr>
                <w:rFonts w:ascii="Times New Roman;Times;serif" w:hAnsi="Times New Roman;Times;serif"/>
                <w:sz w:val="18"/>
              </w:rPr>
              <w:t>and 19,734,077</w:t>
            </w:r>
            <w:r>
              <w:rPr>
                <w:rFonts w:ascii="Times New Roman;Times;serif" w:hAnsi="Times New Roman;Times;serif"/>
                <w:sz w:val="20"/>
              </w:rPr>
              <w:t xml:space="preserve">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19,777</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19,734</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150,740</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150,343</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275,374</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272,705</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income (loss)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(74,256)</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(73,655)</w:t>
            </w:r>
          </w:p>
        </w:tc>
      </w:tr>
      <w:tr>
        <w:trPr/>
        <w:tc>
          <w:tcPr>
            <w:tcW w:w="737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371,635</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369,127</w:t>
            </w:r>
          </w:p>
        </w:tc>
      </w:tr>
      <w:tr>
        <w:trPr/>
        <w:tc>
          <w:tcPr>
            <w:tcW w:w="737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4,338,093</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3,907,713</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 (unaudited)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2" w:name="_c69221e6_1447_4542_b135_177a1ffb2c01"/>
      <w:bookmarkEnd w:id="152"/>
      <w:r>
        <w:rPr>
          <w:rFonts w:ascii="Times New Roman;Times;serif" w:hAnsi="Times New Roman;Times;serif"/>
          <w:b/>
          <w:sz w:val="20"/>
        </w:rPr>
        <w:t>Alerus Financial Corporation and Subsidiaries</w:t>
      </w:r>
    </w:p>
    <w:p>
      <w:pPr>
        <w:pStyle w:val="TextBody"/>
        <w:bidi w:val="0"/>
        <w:spacing w:before="0" w:after="0"/>
        <w:ind w:left="0" w:right="0" w:hanging="0"/>
        <w:jc w:val="center"/>
        <w:rPr>
          <w:rFonts w:ascii="Times New Roman;Times;serif" w:hAnsi="Times New Roman;Times;serif"/>
          <w:b/>
          <w:sz w:val="20"/>
        </w:rPr>
      </w:pPr>
      <w:bookmarkStart w:id="153" w:name="StatementsofIncome_79265"/>
      <w:bookmarkEnd w:id="153"/>
      <w:r>
        <w:rPr>
          <w:rFonts w:ascii="Times New Roman;Times;serif" w:hAnsi="Times New Roman;Times;serif"/>
          <w:b/>
          <w:sz w:val="20"/>
        </w:rPr>
        <w:t>Consolidated Statements of Income (Unaudited)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4" w:name="Tc_6CbMfLMdGEemR0rKd2KqBg_48_0"/>
      <w:bookmarkStart w:id="155" w:name="Tc_NdGCJnhHV0GBwCwpIwD2Vw_47_0"/>
      <w:bookmarkStart w:id="156" w:name="Tc_Vo_Q-czGh02oeT3Dt_E7eA_46_5"/>
      <w:bookmarkStart w:id="157" w:name="Tc_VFP9NK14Z0y1FoJZQGh5Bw_46_2"/>
      <w:bookmarkStart w:id="158" w:name="Tc_sTUJZD2j7E6eNFRdS3571Q_46_0"/>
      <w:bookmarkStart w:id="159" w:name="Tc_6Ro1eGMyqUa1PtUrJ4jxcQ_45_5"/>
      <w:bookmarkStart w:id="160" w:name="Tc_oV0RdKQ6kE6bolGm6nKQmQ_45_2"/>
      <w:bookmarkStart w:id="161" w:name="Tc_zLI3Qqls9kWCGXfDspPe-w_45_0"/>
      <w:bookmarkStart w:id="162" w:name="Tc_pf5EBjh-7EOoWNRAVx0oXQ_43_5"/>
      <w:bookmarkStart w:id="163" w:name="Tc_XPbF_ft6y0q7D3_wANV0JA_43_2"/>
      <w:bookmarkStart w:id="164" w:name="Tc_1K4eu75NrkuTWIsfsarPOA_43_0"/>
      <w:bookmarkStart w:id="165" w:name="Tc_L-N_VmEerkOwiQ2rIOI6PA_42_0"/>
      <w:bookmarkStart w:id="166" w:name="Tc_lIZ0risno0Gagcb2zT-7_w_41_5"/>
      <w:bookmarkStart w:id="167" w:name="Tc_jN2_83xxVEe-LYbhSWh4Xg_41_2"/>
      <w:bookmarkStart w:id="168" w:name="Tc_5uoTo8BVVUq9TDRxuvLBtg_41_0"/>
      <w:bookmarkStart w:id="169" w:name="Tc_o6JObG4GjEm8WRAzaCHhOA_40_0"/>
      <w:bookmarkStart w:id="170" w:name="Tc_YSuuS-BmhkCeW-qRzgXd2Q_39_0"/>
      <w:bookmarkStart w:id="171" w:name="Tc_BIeki-kCBEWtsXpSYp78ug_38_0"/>
      <w:bookmarkStart w:id="172" w:name="Tc_WLEfwSXmv0aX31vXllh_UA_37_0"/>
      <w:bookmarkStart w:id="173" w:name="Tc_iaG_yzbLBUqFxDMXI_Pc_Q_36_0"/>
      <w:bookmarkStart w:id="174" w:name="Tc_XSPWZYQixUKB-13N9fJ6JA_35_0"/>
      <w:bookmarkStart w:id="175" w:name="Tc_21IQ2dCtmEmTtWdxIpuvLA_34_0"/>
      <w:bookmarkStart w:id="176" w:name="Tc_M-DBQHPAtUSk0Osf-Zuhtg_33_0"/>
      <w:bookmarkStart w:id="177" w:name="Tc_8sO4SpgsEUOSE9r7pHCNBQ_32_0"/>
      <w:bookmarkStart w:id="178" w:name="Tc_Bf1Sq-6rv0icuEJDCu3jNw_31_0"/>
      <w:bookmarkStart w:id="179" w:name="Tc_yAomnnkR6EW0Xg1UGR2xqw_30_0"/>
      <w:bookmarkStart w:id="180" w:name="Tc_tYTC3jmDE06Aj23bOvRWlg_29_0"/>
      <w:bookmarkStart w:id="181" w:name="Tc_3ta-Ov9SgUyL3Xm5jv2S0g_28_0"/>
      <w:bookmarkStart w:id="182" w:name="Tc_ZrUUSJLKjEOS62OfzPhAEg_27_0"/>
      <w:bookmarkStart w:id="183" w:name="Tc_Q65if5HndUypyslVYaiwWA_26_0"/>
      <w:bookmarkStart w:id="184" w:name="Tc_luaIZzIYy0ur6deqvAZxJw_25_0"/>
      <w:bookmarkStart w:id="185" w:name="Tc_17DzoWeqfEqz6_49uBfd_Q_24_0"/>
      <w:bookmarkStart w:id="186" w:name="Tc_907EDeieB0WnS7ypJfj4sQ_23_0"/>
      <w:bookmarkStart w:id="187" w:name="Tc_NERIal3VbEGGs5MEzQhmrw_22_0"/>
      <w:bookmarkStart w:id="188" w:name="Tc_gRPaVPDVoU2wjW-2HtuSxA_21_0"/>
      <w:bookmarkStart w:id="189" w:name="Tc_mg__l8QYukKrcMfqxSf2bQ_20_0"/>
      <w:bookmarkStart w:id="190" w:name="Tc_9h0RiEpt4kmmbs3Hd8F-Nw_19_0"/>
      <w:bookmarkStart w:id="191" w:name="Tc_SPDwbAoYNUaq_5h8Qdi1ng_18_0"/>
      <w:bookmarkStart w:id="192" w:name="Tc_qzVr9xJ2SEe5QsZ1mmNzKA_17_3"/>
      <w:bookmarkStart w:id="193" w:name="Tc_hfxqDOHUd0KAIs5MKcOpAw_17_0"/>
      <w:bookmarkStart w:id="194" w:name="Tc_K7L5YGGBWUy2ynuHK-wAuw_16_0"/>
      <w:bookmarkStart w:id="195" w:name="Tc_gDflGzT0mUOL1Xqo6hQ0Ng_15_0"/>
      <w:bookmarkStart w:id="196" w:name="Tc_-yB5zlPrMESo5WipipDheg_14_0"/>
      <w:bookmarkStart w:id="197" w:name="Tc_SdoO9X7oRkOf5d7PGXxpAA_13_0"/>
      <w:bookmarkStart w:id="198" w:name="Tc_OjmOzvSYYk23DwZrRFtN2Q_12_0"/>
      <w:bookmarkStart w:id="199" w:name="Tc_Y6PRfVxfsEe0TWBKbJTMag_11_0"/>
      <w:bookmarkStart w:id="200" w:name="Tc_HwDjvm-xhUCrDqeYVC6xWg_10_0"/>
      <w:bookmarkStart w:id="201" w:name="Tc_c3SbbCTsOEqCQ-6kl4x7vQ_9_0"/>
      <w:bookmarkStart w:id="202" w:name="Tc_yeMKHNd9y0-L3L9QVeHcgA_8_0"/>
      <w:bookmarkStart w:id="203" w:name="Tc_SjTrp7AMHkeZEXYzuLfeEw_7_0"/>
      <w:bookmarkStart w:id="204" w:name="Tc_I9wuygYE_0WjbpPoFcvR6A_6_0"/>
      <w:bookmarkStart w:id="205" w:name="Tc_zBmrl3TwykehDPxlGezyxw_5_5"/>
      <w:bookmarkStart w:id="206" w:name="Tc_3ewzruqEdEaGhWUx8DFOlA_5_2"/>
      <w:bookmarkStart w:id="207" w:name="Tc_Qg7A_A-UEkCf9dohfhGfNg_5_0"/>
      <w:bookmarkStart w:id="208" w:name="Tc_tt8Ezy2NNkuMWGeXjvuFDg_4_0"/>
      <w:bookmarkStart w:id="209" w:name="Tc_ULFaAfkW206VaJ_PYt-2EA_3_5"/>
      <w:bookmarkStart w:id="210" w:name="Tc_Jz1HkZr9pUawDypagySQJg_3_2"/>
      <w:bookmarkStart w:id="211" w:name="Tc_-kzk4iLq0Ua6keQPkWsVYg_3_0"/>
      <w:bookmarkStart w:id="212" w:name="Tc_gY3nH-AlTEuS5WQBRCm2PQ_2_2"/>
      <w:bookmarkStart w:id="213" w:name="Tc_3u_oiRoOm0Ww8xtDsHsb8Q_1_2"/>
      <w:bookmarkStart w:id="214" w:name="_c4556a3b_5e33_40ab_a426_de722f7573ec"/>
      <w:bookmarkStart w:id="215" w:name="Tc_6CbMfLMdGEemR0rKd2KqBg_48_0"/>
      <w:bookmarkStart w:id="216" w:name="Tc_NdGCJnhHV0GBwCwpIwD2Vw_47_0"/>
      <w:bookmarkStart w:id="217" w:name="Tc_Vo_Q-czGh02oeT3Dt_E7eA_46_5"/>
      <w:bookmarkStart w:id="218" w:name="Tc_VFP9NK14Z0y1FoJZQGh5Bw_46_2"/>
      <w:bookmarkStart w:id="219" w:name="Tc_sTUJZD2j7E6eNFRdS3571Q_46_0"/>
      <w:bookmarkStart w:id="220" w:name="Tc_6Ro1eGMyqUa1PtUrJ4jxcQ_45_5"/>
      <w:bookmarkStart w:id="221" w:name="Tc_oV0RdKQ6kE6bolGm6nKQmQ_45_2"/>
      <w:bookmarkStart w:id="222" w:name="Tc_zLI3Qqls9kWCGXfDspPe-w_45_0"/>
      <w:bookmarkStart w:id="223" w:name="Tc_pf5EBjh-7EOoWNRAVx0oXQ_43_5"/>
      <w:bookmarkStart w:id="224" w:name="Tc_XPbF_ft6y0q7D3_wANV0JA_43_2"/>
      <w:bookmarkStart w:id="225" w:name="Tc_1K4eu75NrkuTWIsfsarPOA_43_0"/>
      <w:bookmarkStart w:id="226" w:name="Tc_L-N_VmEerkOwiQ2rIOI6PA_42_0"/>
      <w:bookmarkStart w:id="227" w:name="Tc_lIZ0risno0Gagcb2zT-7_w_41_5"/>
      <w:bookmarkStart w:id="228" w:name="Tc_jN2_83xxVEe-LYbhSWh4Xg_41_2"/>
      <w:bookmarkStart w:id="229" w:name="Tc_5uoTo8BVVUq9TDRxuvLBtg_41_0"/>
      <w:bookmarkStart w:id="230" w:name="Tc_o6JObG4GjEm8WRAzaCHhOA_40_0"/>
      <w:bookmarkStart w:id="231" w:name="Tc_YSuuS-BmhkCeW-qRzgXd2Q_39_0"/>
      <w:bookmarkStart w:id="232" w:name="Tc_BIeki-kCBEWtsXpSYp78ug_38_0"/>
      <w:bookmarkStart w:id="233" w:name="Tc_WLEfwSXmv0aX31vXllh_UA_37_0"/>
      <w:bookmarkStart w:id="234" w:name="Tc_iaG_yzbLBUqFxDMXI_Pc_Q_36_0"/>
      <w:bookmarkStart w:id="235" w:name="Tc_XSPWZYQixUKB-13N9fJ6JA_35_0"/>
      <w:bookmarkStart w:id="236" w:name="Tc_21IQ2dCtmEmTtWdxIpuvLA_34_0"/>
      <w:bookmarkStart w:id="237" w:name="Tc_M-DBQHPAtUSk0Osf-Zuhtg_33_0"/>
      <w:bookmarkStart w:id="238" w:name="Tc_8sO4SpgsEUOSE9r7pHCNBQ_32_0"/>
      <w:bookmarkStart w:id="239" w:name="Tc_Bf1Sq-6rv0icuEJDCu3jNw_31_0"/>
      <w:bookmarkStart w:id="240" w:name="Tc_yAomnnkR6EW0Xg1UGR2xqw_30_0"/>
      <w:bookmarkStart w:id="241" w:name="Tc_tYTC3jmDE06Aj23bOvRWlg_29_0"/>
      <w:bookmarkStart w:id="242" w:name="Tc_3ta-Ov9SgUyL3Xm5jv2S0g_28_0"/>
      <w:bookmarkStart w:id="243" w:name="Tc_ZrUUSJLKjEOS62OfzPhAEg_27_0"/>
      <w:bookmarkStart w:id="244" w:name="Tc_Q65if5HndUypyslVYaiwWA_26_0"/>
      <w:bookmarkStart w:id="245" w:name="Tc_luaIZzIYy0ur6deqvAZxJw_25_0"/>
      <w:bookmarkStart w:id="246" w:name="Tc_17DzoWeqfEqz6_49uBfd_Q_24_0"/>
      <w:bookmarkStart w:id="247" w:name="Tc_907EDeieB0WnS7ypJfj4sQ_23_0"/>
      <w:bookmarkStart w:id="248" w:name="Tc_NERIal3VbEGGs5MEzQhmrw_22_0"/>
      <w:bookmarkStart w:id="249" w:name="Tc_gRPaVPDVoU2wjW-2HtuSxA_21_0"/>
      <w:bookmarkStart w:id="250" w:name="Tc_mg__l8QYukKrcMfqxSf2bQ_20_0"/>
      <w:bookmarkStart w:id="251" w:name="Tc_9h0RiEpt4kmmbs3Hd8F-Nw_19_0"/>
      <w:bookmarkStart w:id="252" w:name="Tc_SPDwbAoYNUaq_5h8Qdi1ng_18_0"/>
      <w:bookmarkStart w:id="253" w:name="Tc_qzVr9xJ2SEe5QsZ1mmNzKA_17_3"/>
      <w:bookmarkStart w:id="254" w:name="Tc_hfxqDOHUd0KAIs5MKcOpAw_17_0"/>
      <w:bookmarkStart w:id="255" w:name="Tc_K7L5YGGBWUy2ynuHK-wAuw_16_0"/>
      <w:bookmarkStart w:id="256" w:name="Tc_gDflGzT0mUOL1Xqo6hQ0Ng_15_0"/>
      <w:bookmarkStart w:id="257" w:name="Tc_-yB5zlPrMESo5WipipDheg_14_0"/>
      <w:bookmarkStart w:id="258" w:name="Tc_SdoO9X7oRkOf5d7PGXxpAA_13_0"/>
      <w:bookmarkStart w:id="259" w:name="Tc_OjmOzvSYYk23DwZrRFtN2Q_12_0"/>
      <w:bookmarkStart w:id="260" w:name="Tc_Y6PRfVxfsEe0TWBKbJTMag_11_0"/>
      <w:bookmarkStart w:id="261" w:name="Tc_HwDjvm-xhUCrDqeYVC6xWg_10_0"/>
      <w:bookmarkStart w:id="262" w:name="Tc_c3SbbCTsOEqCQ-6kl4x7vQ_9_0"/>
      <w:bookmarkStart w:id="263" w:name="Tc_yeMKHNd9y0-L3L9QVeHcgA_8_0"/>
      <w:bookmarkStart w:id="264" w:name="Tc_SjTrp7AMHkeZEXYzuLfeEw_7_0"/>
      <w:bookmarkStart w:id="265" w:name="Tc_I9wuygYE_0WjbpPoFcvR6A_6_0"/>
      <w:bookmarkStart w:id="266" w:name="Tc_zBmrl3TwykehDPxlGezyxw_5_5"/>
      <w:bookmarkStart w:id="267" w:name="Tc_3ewzruqEdEaGhWUx8DFOlA_5_2"/>
      <w:bookmarkStart w:id="268" w:name="Tc_Qg7A_A-UEkCf9dohfhGfNg_5_0"/>
      <w:bookmarkStart w:id="269" w:name="Tc_tt8Ezy2NNkuMWGeXjvuFDg_4_0"/>
      <w:bookmarkStart w:id="270" w:name="Tc_ULFaAfkW206VaJ_PYt-2EA_3_5"/>
      <w:bookmarkStart w:id="271" w:name="Tc_Jz1HkZr9pUawDypagySQJg_3_2"/>
      <w:bookmarkStart w:id="272" w:name="Tc_-kzk4iLq0Ua6keQPkWsVYg_3_0"/>
      <w:bookmarkStart w:id="273" w:name="Tc_gY3nH-AlTEuS5WQBRCm2PQ_2_2"/>
      <w:bookmarkStart w:id="274" w:name="Tc_3u_oiRoOm0Ww8xtDsHsb8Q_1_2"/>
      <w:bookmarkStart w:id="275" w:name="_c4556a3b_5e33_40ab_a426_de722f7573ec"/>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tbl>
      <w:tblPr>
        <w:tblW w:w="6372" w:type="dxa"/>
        <w:jc w:val="left"/>
        <w:tblInd w:w="0" w:type="dxa"/>
        <w:tblLayout w:type="fixed"/>
        <w:tblCellMar>
          <w:top w:w="0" w:type="dxa"/>
          <w:left w:w="0" w:type="dxa"/>
          <w:bottom w:w="0" w:type="dxa"/>
          <w:right w:w="0" w:type="dxa"/>
        </w:tblCellMar>
      </w:tblPr>
      <w:tblGrid>
        <w:gridCol w:w="4021"/>
        <w:gridCol w:w="326"/>
        <w:gridCol w:w="196"/>
        <w:gridCol w:w="601"/>
        <w:gridCol w:w="326"/>
        <w:gridCol w:w="196"/>
        <w:gridCol w:w="706"/>
      </w:tblGrid>
      <w:tr>
        <w:trPr/>
        <w:tc>
          <w:tcPr>
            <w:tcW w:w="4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460" cy="175260"/>
                      <wp:effectExtent l="0" t="0" r="0" b="0"/>
                      <wp:wrapNone/>
                      <wp:docPr id="8"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81635" cy="175260"/>
                      <wp:effectExtent l="0" t="0" r="0" b="0"/>
                      <wp:wrapNone/>
                      <wp:docPr id="9" name="Frame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4460" cy="175260"/>
                      <wp:effectExtent l="0" t="0" r="0" b="0"/>
                      <wp:wrapNone/>
                      <wp:docPr id="11" name="Frame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48310" cy="175260"/>
                      <wp:effectExtent l="0" t="0" r="0" b="0"/>
                      <wp:wrapNone/>
                      <wp:docPr id="12" name="Frame1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and shares in thousands, except per share data)</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including fees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39,294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30,933</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  </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4,568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5,951</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Exempt from federal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735</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37,809</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Interest Expense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  </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Deposits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9,104</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Short-term borrowings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5,989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4,393</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654</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 expense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26,819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14,151</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22,219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23,658</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credit losses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interest income after provision for credit losses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22,219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23,108</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Noninterest Income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  </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Retirement and benefit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15,655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15,482</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Wealth management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6,118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5,194</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Mortgage banking</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1,717</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 charges on deposit accounts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2,559</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noninterest income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25,323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25,253</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  </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Compensation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19,332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19,158</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Employee taxes and benefits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6,188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5,853</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 and equipment expense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1,899</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Business services, software and technology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5,345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5,324</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amortization expense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1,324</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Professional fees and assessments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1,152</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Marketing and business development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686</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Supplies and postage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460</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Travel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Mortgage and lending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497</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1,268</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noninterest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39,019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37,869</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before income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8,523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10,492</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2,306</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6,432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8,186</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 Common Share Data</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 earnings per common share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0.41</w:t>
            </w:r>
          </w:p>
        </w:tc>
      </w:tr>
      <w:tr>
        <w:trPr/>
        <w:tc>
          <w:tcPr>
            <w:tcW w:w="40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 earnings per common share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0.40</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Dividends declared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0.18</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Average common shares outstanding</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19,739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20,028</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 average common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19,986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20,246</w:t>
            </w:r>
          </w:p>
        </w:tc>
      </w:tr>
    </w:tbl>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 (unaudited)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76" w:name="_82989924_1654_43f1_88ef_5509404cd9e5"/>
      <w:bookmarkEnd w:id="276"/>
      <w:r>
        <w:rPr>
          <w:rFonts w:ascii="Times New Roman;Times;serif" w:hAnsi="Times New Roman;Times;serif"/>
          <w:b/>
          <w:sz w:val="20"/>
        </w:rPr>
        <w:t>Alerus Financial Corporation and Subsidiaries</w:t>
      </w:r>
    </w:p>
    <w:p>
      <w:pPr>
        <w:pStyle w:val="TextBody"/>
        <w:bidi w:val="0"/>
        <w:spacing w:before="0" w:after="0"/>
        <w:ind w:left="0" w:right="0" w:hanging="0"/>
        <w:jc w:val="center"/>
        <w:rPr>
          <w:rFonts w:ascii="Times New Roman;Times;serif" w:hAnsi="Times New Roman;Times;serif"/>
          <w:b/>
          <w:sz w:val="20"/>
        </w:rPr>
      </w:pPr>
      <w:bookmarkStart w:id="277" w:name="ComprehensiveIncome_425788"/>
      <w:bookmarkEnd w:id="277"/>
      <w:r>
        <w:rPr>
          <w:rFonts w:ascii="Times New Roman;Times;serif" w:hAnsi="Times New Roman;Times;serif"/>
          <w:b/>
          <w:sz w:val="20"/>
        </w:rPr>
        <w:t>Consolidated Statements of Comprehensive Income (Unaudited)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78" w:name="Tc_DU23_3ad1Um_JHvmUz9wAA_12_5"/>
      <w:bookmarkStart w:id="279" w:name="Tc_0daAKaaaQ0SDnC6ICPkx6Q_12_2"/>
      <w:bookmarkStart w:id="280" w:name="Tc_mP3Flvjx6kCPOffC033JvA_12_0"/>
      <w:bookmarkStart w:id="281" w:name="Tc_obZotVPpaEqaXnNHxtvxhQ_11_0"/>
      <w:bookmarkStart w:id="282" w:name="Tc_i8O8zOZdcUO9OP1eFZuexQ_10_0"/>
      <w:bookmarkStart w:id="283" w:name="Tc_r6Wbj_4BUEmie-yGcUiKXA_9_0"/>
      <w:bookmarkStart w:id="284" w:name="Tc_2sAM6iSH_E-te7EWnrX7YA_8_0"/>
      <w:bookmarkStart w:id="285" w:name="Tc_NCRySbbDZkCpwQVo4-lWqQ_7_6"/>
      <w:bookmarkStart w:id="286" w:name="Tc_5uESMunRMkiz6VBTYG2XrQ_7_0"/>
      <w:bookmarkStart w:id="287" w:name="Tc_xhoVZRVBX0GgfIAKADYw5w_6_0"/>
      <w:bookmarkStart w:id="288" w:name="Tc_bUlBf_0-pke2CPRlJgZ8RA_5_0"/>
      <w:bookmarkStart w:id="289" w:name="Tc_1gbIH5rmQkurOfeligKIqQ_4_5"/>
      <w:bookmarkStart w:id="290" w:name="Tc_3OV0d64spUSTqJHUk2z2Ww_4_2"/>
      <w:bookmarkStart w:id="291" w:name="Tc_c9kuYjphBkiBYQLhxqlNLw_4_0"/>
      <w:bookmarkStart w:id="292" w:name="Tc_TN18p6XAgUu9IwFbQ6O75w_3_5"/>
      <w:bookmarkStart w:id="293" w:name="Tc_4xGid32aCEmwUCuGJZQ47Q_3_2"/>
      <w:bookmarkStart w:id="294" w:name="Tc_qPqVFWWTCEioYisC1Ve8lg_3_0"/>
      <w:bookmarkStart w:id="295" w:name="Tc_Ijfq6xafw0W5p_Z2KcIvkQ_2_2"/>
      <w:bookmarkStart w:id="296" w:name="Tc_k-QgqWxEDkqdy8CtCpG9Hg_1_2"/>
      <w:bookmarkStart w:id="297" w:name="_aeddef17_cac6_456b_adb2_6eb1b1b5bb3c"/>
      <w:bookmarkStart w:id="298" w:name="Tc_DU23_3ad1Um_JHvmUz9wAA_12_5"/>
      <w:bookmarkStart w:id="299" w:name="Tc_0daAKaaaQ0SDnC6ICPkx6Q_12_2"/>
      <w:bookmarkStart w:id="300" w:name="Tc_mP3Flvjx6kCPOffC033JvA_12_0"/>
      <w:bookmarkStart w:id="301" w:name="Tc_obZotVPpaEqaXnNHxtvxhQ_11_0"/>
      <w:bookmarkStart w:id="302" w:name="Tc_i8O8zOZdcUO9OP1eFZuexQ_10_0"/>
      <w:bookmarkStart w:id="303" w:name="Tc_r6Wbj_4BUEmie-yGcUiKXA_9_0"/>
      <w:bookmarkStart w:id="304" w:name="Tc_2sAM6iSH_E-te7EWnrX7YA_8_0"/>
      <w:bookmarkStart w:id="305" w:name="Tc_NCRySbbDZkCpwQVo4-lWqQ_7_6"/>
      <w:bookmarkStart w:id="306" w:name="Tc_5uESMunRMkiz6VBTYG2XrQ_7_0"/>
      <w:bookmarkStart w:id="307" w:name="Tc_xhoVZRVBX0GgfIAKADYw5w_6_0"/>
      <w:bookmarkStart w:id="308" w:name="Tc_bUlBf_0-pke2CPRlJgZ8RA_5_0"/>
      <w:bookmarkStart w:id="309" w:name="Tc_1gbIH5rmQkurOfeligKIqQ_4_5"/>
      <w:bookmarkStart w:id="310" w:name="Tc_3OV0d64spUSTqJHUk2z2Ww_4_2"/>
      <w:bookmarkStart w:id="311" w:name="Tc_c9kuYjphBkiBYQLhxqlNLw_4_0"/>
      <w:bookmarkStart w:id="312" w:name="Tc_TN18p6XAgUu9IwFbQ6O75w_3_5"/>
      <w:bookmarkStart w:id="313" w:name="Tc_4xGid32aCEmwUCuGJZQ47Q_3_2"/>
      <w:bookmarkStart w:id="314" w:name="Tc_qPqVFWWTCEioYisC1Ve8lg_3_0"/>
      <w:bookmarkStart w:id="315" w:name="Tc_Ijfq6xafw0W5p_Z2KcIvkQ_2_2"/>
      <w:bookmarkStart w:id="316" w:name="Tc_k-QgqWxEDkqdy8CtCpG9Hg_1_2"/>
      <w:bookmarkStart w:id="317" w:name="_aeddef17_cac6_456b_adb2_6eb1b1b5bb3c"/>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tbl>
      <w:tblPr>
        <w:tblW w:w="8367" w:type="dxa"/>
        <w:jc w:val="left"/>
        <w:tblInd w:w="0" w:type="dxa"/>
        <w:tblLayout w:type="fixed"/>
        <w:tblCellMar>
          <w:top w:w="0" w:type="dxa"/>
          <w:left w:w="0" w:type="dxa"/>
          <w:bottom w:w="0" w:type="dxa"/>
          <w:right w:w="0" w:type="dxa"/>
        </w:tblCellMar>
      </w:tblPr>
      <w:tblGrid>
        <w:gridCol w:w="5986"/>
        <w:gridCol w:w="326"/>
        <w:gridCol w:w="196"/>
        <w:gridCol w:w="631"/>
        <w:gridCol w:w="326"/>
        <w:gridCol w:w="196"/>
        <w:gridCol w:w="706"/>
      </w:tblGrid>
      <w:tr>
        <w:trPr/>
        <w:tc>
          <w:tcPr>
            <w:tcW w:w="5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4460" cy="175260"/>
                      <wp:effectExtent l="0" t="0" r="0" b="0"/>
                      <wp:wrapNone/>
                      <wp:docPr id="14"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00685" cy="175260"/>
                      <wp:effectExtent l="0" t="0" r="0" b="0"/>
                      <wp:wrapNone/>
                      <wp:docPr id="15" name="Frame1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48310" cy="175260"/>
                      <wp:effectExtent l="0" t="0" r="0" b="0"/>
                      <wp:wrapNone/>
                      <wp:docPr id="18" name="Frame1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8,186</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unrealized gains (losses) on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4,841</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unrealized gain (losses) on cash flow hedging derivatives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unrealized gain (losses) on other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(1,725)</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comprehensive income (loss), before tax</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3,116</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 related to items of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782</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2,334</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10,520</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318" w:name="_10871d13_5187_41c0_8bdc_80521c163266"/>
      <w:bookmarkEnd w:id="318"/>
      <w:r>
        <w:rPr>
          <w:rFonts w:ascii="Times New Roman;Times;serif" w:hAnsi="Times New Roman;Times;serif"/>
          <w:b/>
          <w:sz w:val="20"/>
        </w:rPr>
        <w:t>Alerus Financial Corporation and Subsidiaries</w:t>
      </w:r>
    </w:p>
    <w:p>
      <w:pPr>
        <w:pStyle w:val="TextBody"/>
        <w:bidi w:val="0"/>
        <w:spacing w:before="0" w:after="0"/>
        <w:ind w:left="0" w:right="0" w:hanging="0"/>
        <w:jc w:val="center"/>
        <w:rPr>
          <w:rFonts w:ascii="Times New Roman;Times;serif" w:hAnsi="Times New Roman;Times;serif"/>
          <w:b/>
          <w:sz w:val="20"/>
        </w:rPr>
      </w:pPr>
      <w:bookmarkStart w:id="319" w:name="StockholdersEquity_458166"/>
      <w:bookmarkEnd w:id="319"/>
      <w:r>
        <w:rPr>
          <w:rFonts w:ascii="Times New Roman;Times;serif" w:hAnsi="Times New Roman;Times;serif"/>
          <w:b/>
          <w:sz w:val="20"/>
        </w:rPr>
        <w:t>Consolidated Statements of Changes in Stockholders’ Equity (Unaudited)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20" w:name="Tc_ZW0CkXrpxEmwt7W9bNDP-Q_24_14"/>
      <w:bookmarkStart w:id="321" w:name="Tc_CoiNzPRz70uIBKT3JRF2Dg_24_11"/>
      <w:bookmarkStart w:id="322" w:name="Tc_0nx5hwsVg0amG2bQZsf2dA_24_8"/>
      <w:bookmarkStart w:id="323" w:name="Tc_2ypgJY1Nl02CezrQqL4z1g_24_5"/>
      <w:bookmarkStart w:id="324" w:name="Tc_gahMG0NFVUikmBWlOg-eGA_24_0"/>
      <w:bookmarkStart w:id="325" w:name="Tc_Yhix1MpaO0OmiuDXszgBnw_23_15"/>
      <w:bookmarkStart w:id="326" w:name="Tc_1BX659Otj0mXaE5rmM4f8Q_23_12"/>
      <w:bookmarkStart w:id="327" w:name="Tc_BO5onu_520yPMfDXKE2OeQ_23_9"/>
      <w:bookmarkStart w:id="328" w:name="Tc__caeNQVUNUqzlmTIcYUQYw_23_0"/>
      <w:bookmarkStart w:id="329" w:name="Tc_LKAFgM2JMkGAbfz8v9jjIQ_22_12"/>
      <w:bookmarkStart w:id="330" w:name="Tc_2QkBbFkOlkKgBXWmaFNbcg_22_9"/>
      <w:bookmarkStart w:id="331" w:name="Tc_k8u9FcuXHU6pdfNPodfoNQ_22_3"/>
      <w:bookmarkStart w:id="332" w:name="Tc_mx0DUDk13k-5fh4C1CcCjg_22_0"/>
      <w:bookmarkStart w:id="333" w:name="Tc_CAjujg6LwEu4EkU03tDUaQ_21_12"/>
      <w:bookmarkStart w:id="334" w:name="Tc_S_cuZrLnhU-sBBp_bEeEyQ_21_6"/>
      <w:bookmarkStart w:id="335" w:name="Tc_bodV6B9JnkuLWzZkKLxXPA_21_3"/>
      <w:bookmarkStart w:id="336" w:name="Tc_aIWY_ix1JEuNd566R-W1gw_21_0"/>
      <w:bookmarkStart w:id="337" w:name="Tc_vKObTcpGSk2jnG06XAqdaA_20_12"/>
      <w:bookmarkStart w:id="338" w:name="Tc_JrWib81lEESn434RbBdyRw_20_9"/>
      <w:bookmarkStart w:id="339" w:name="Tc_EH5duR8FrEuFTbFmUblQlg_20_0"/>
      <w:bookmarkStart w:id="340" w:name="Tc_uckT2qcoZECH9MicMjx-UQ_19_9"/>
      <w:bookmarkStart w:id="341" w:name="Tc_31CRJmK9k0KprdKavUS6nw_19_6"/>
      <w:bookmarkStart w:id="342" w:name="Tc_vibWoiMbuUKLpmPzamkFHw_19_3"/>
      <w:bookmarkStart w:id="343" w:name="Tc_a9qOrts2KUiBWcslmjR_JQ_19_0"/>
      <w:bookmarkStart w:id="344" w:name="Tc_ZU1HvkSxrUCP6Y2DVlnKPw_18_12"/>
      <w:bookmarkStart w:id="345" w:name="Tc_zsBjywTnPEeQp7Vnz5r1HQ_18_6"/>
      <w:bookmarkStart w:id="346" w:name="Tc_8h4v3TqNqkCHlMneTwYtWw_18_3"/>
      <w:bookmarkStart w:id="347" w:name="Tc_dka55wDWfE208Fox_jEK9w_18_0"/>
      <w:bookmarkStart w:id="348" w:name="Tc_H24arhC-0U6qA5mWqgZ3RQ_17_14"/>
      <w:bookmarkStart w:id="349" w:name="Tc_GFa265MgfkGBMsEF3JizXg_17_11"/>
      <w:bookmarkStart w:id="350" w:name="Tc_O5yYq-IuFUSArbWHqmDp1w_17_8"/>
      <w:bookmarkStart w:id="351" w:name="Tc_tzLMg9PllUe5NyUAY4kTvw_17_5"/>
      <w:bookmarkStart w:id="352" w:name="Tc_ItA46BSMpEupOD1c3f3rnw_17_0"/>
      <w:bookmarkStart w:id="353" w:name="Tc_wKsEyL63wUmEHhQNRRstkA_15_14"/>
      <w:bookmarkStart w:id="354" w:name="Tc_orF0XpZr7UidWYkovtOUtg_15_11"/>
      <w:bookmarkStart w:id="355" w:name="Tc_WxOn7hpBAkOB616pDKX1uA_15_8"/>
      <w:bookmarkStart w:id="356" w:name="Tc_t8ysFaa4tU-Q7SIELz9NLw_15_5"/>
      <w:bookmarkStart w:id="357" w:name="Tc_J-UxTcoJIkykVBwql0wWNg_15_0"/>
      <w:bookmarkStart w:id="358" w:name="Tc_cJWhPHEBskqj4ROu0OG3tg_14_15"/>
      <w:bookmarkStart w:id="359" w:name="Tc_lbe2X7NpHkuuPk9J3B3Ltg_14_12"/>
      <w:bookmarkStart w:id="360" w:name="Tc_xOnlv70XwUaNszxh-uQETQ_14_9"/>
      <w:bookmarkStart w:id="361" w:name="Tc_LWdrGHj0pU-RDSoLsXCl8A_14_0"/>
      <w:bookmarkStart w:id="362" w:name="Tc_Q7vEV6D4M0itWZdpmQw2tQ_13_12"/>
      <w:bookmarkStart w:id="363" w:name="Tc_xoTfh0Sb2kKIJUmH7g2LSw_13_9"/>
      <w:bookmarkStart w:id="364" w:name="Tc_PGBm5WcjD0CPtcCe05zTsw_13_3"/>
      <w:bookmarkStart w:id="365" w:name="Tc_Qao8pMzHU06-_nEuUXNSXQ_13_0"/>
      <w:bookmarkStart w:id="366" w:name="Tc_fQbMZV_-e0qzfWkkx7oKeQ_12_12"/>
      <w:bookmarkStart w:id="367" w:name="Tc_hL50Q0GaPEiAIznpHS5cHA_12_6"/>
      <w:bookmarkStart w:id="368" w:name="Tc_myyzL-HJl0KI_6wma7JqDQ_12_3"/>
      <w:bookmarkStart w:id="369" w:name="Tc_qvUcMzAj9kCpP6rIAVprBQ_12_0"/>
      <w:bookmarkStart w:id="370" w:name="Tc_gtIK9RVdMkiTv4PMHY-h3Q_11_12"/>
      <w:bookmarkStart w:id="371" w:name="Tc_lX7by_jb3Ui-3sHGIAramg_11_9"/>
      <w:bookmarkStart w:id="372" w:name="Tc_DPmqWnQcmk2a4_6jnwv-9A_11_0"/>
      <w:bookmarkStart w:id="373" w:name="Tc_i9AjGS1JWE-PFO4rjT-rbQ_10_9"/>
      <w:bookmarkStart w:id="374" w:name="Tc_6A43IZVbrkulPN6cRzVURg_10_6"/>
      <w:bookmarkStart w:id="375" w:name="Tc_In6-U2jtsU2vsQYos01ZCQ_10_3"/>
      <w:bookmarkStart w:id="376" w:name="Tc_5dmRURZ92ky5tdc_rHI0ng_10_0"/>
      <w:bookmarkStart w:id="377" w:name="Tc_3SE6fZSG4US2wYncnIC2bQ_9_12"/>
      <w:bookmarkStart w:id="378" w:name="Tc_iNDIMnUSf0SU0MZ2OeAiog_9_6"/>
      <w:bookmarkStart w:id="379" w:name="Tc_4kEJS8HdmUyLw--V1hxAFA_9_3"/>
      <w:bookmarkStart w:id="380" w:name="Tc_CiH1FPlsyEi49woBJOGHZQ_9_0"/>
      <w:bookmarkStart w:id="381" w:name="Tc_UR1Of9inN0Wbp2wPMFqLEQ_8_0"/>
      <w:bookmarkStart w:id="382" w:name="Tc_z4hkaSqVL0a7nopvJx9BnQ_7_12"/>
      <w:bookmarkStart w:id="383" w:name="Tc_3nbHG9t8AUa6oIL16FOCZg_7_6"/>
      <w:bookmarkStart w:id="384" w:name="Tc__g31Dijg60upb8tV-KaT0A_7_3"/>
      <w:bookmarkStart w:id="385" w:name="Tc_4MFm6BPZcE2rXkuidjkIXw_7_0"/>
      <w:bookmarkStart w:id="386" w:name="Tc_m3c4Yh9ir02g6WpjH0IDAA_6_14"/>
      <w:bookmarkStart w:id="387" w:name="Tc_IL0ZFTVIJEuanh-6tgCf1g_6_11"/>
      <w:bookmarkStart w:id="388" w:name="Tc_hteYMem6ZkCD8KlNR6qxgw_6_8"/>
      <w:bookmarkStart w:id="389" w:name="Tc_5hOVoga20k-F46hRSo8DBA_6_5"/>
      <w:bookmarkStart w:id="390" w:name="Tc_57BK2aDISUCgijnrIu6NCA_6_0"/>
      <w:bookmarkStart w:id="391" w:name="Tc_p1Tun8GgJU-cR42-pgGINg_5_14"/>
      <w:bookmarkStart w:id="392" w:name="Tc_tzHb-krxbEWCGac1UeBuEQ_5_11"/>
      <w:bookmarkStart w:id="393" w:name="Tc_RlnNzPFLLEam7Iw6sip-1g_5_8"/>
      <w:bookmarkStart w:id="394" w:name="Tc_yE75U9bQakuqO27wwSm0Eg_5_5"/>
      <w:bookmarkStart w:id="395" w:name="Tc_ycxMo3dFFUmcnsqyxU3BdA_5_2"/>
      <w:bookmarkStart w:id="396" w:name="Tc_RFV0vPFv20uzVLFB-PThYw_5_0"/>
      <w:bookmarkStart w:id="397" w:name="Tc_0TyMR81mw0m17wqnXDhw5w_4_11"/>
      <w:bookmarkStart w:id="398" w:name="Tc_ucv8e9xLVEa5rbPGVEuPmA_4_8"/>
      <w:bookmarkStart w:id="399" w:name="Tc_awFTd8M08kueQ-fX9r7zBQ_4_5"/>
      <w:bookmarkStart w:id="400" w:name="Tc_msNE2QS58kqDJhZryXuIWw_4_2"/>
      <w:bookmarkStart w:id="401" w:name="Tc_muzSRyNfq0u3B6TzVEyYeQ_3_11"/>
      <w:bookmarkStart w:id="402" w:name="Tc_2DyOdzISoU6KcC3vQltVkw_3_5"/>
      <w:bookmarkStart w:id="403" w:name="Tc_MV-xbP8WMU25j01kcrGUGA_2_11"/>
      <w:bookmarkStart w:id="404" w:name="Tc_g5i6E-oQJ0CZbaZ8J1_mOQ_1_2"/>
      <w:bookmarkStart w:id="405" w:name="_566138dd_5fd8_458b_8282_714165f945c8"/>
      <w:bookmarkStart w:id="406" w:name="Tc_ZW0CkXrpxEmwt7W9bNDP-Q_24_14"/>
      <w:bookmarkStart w:id="407" w:name="Tc_CoiNzPRz70uIBKT3JRF2Dg_24_11"/>
      <w:bookmarkStart w:id="408" w:name="Tc_0nx5hwsVg0amG2bQZsf2dA_24_8"/>
      <w:bookmarkStart w:id="409" w:name="Tc_2ypgJY1Nl02CezrQqL4z1g_24_5"/>
      <w:bookmarkStart w:id="410" w:name="Tc_gahMG0NFVUikmBWlOg-eGA_24_0"/>
      <w:bookmarkStart w:id="411" w:name="Tc_Yhix1MpaO0OmiuDXszgBnw_23_15"/>
      <w:bookmarkStart w:id="412" w:name="Tc_1BX659Otj0mXaE5rmM4f8Q_23_12"/>
      <w:bookmarkStart w:id="413" w:name="Tc_BO5onu_520yPMfDXKE2OeQ_23_9"/>
      <w:bookmarkStart w:id="414" w:name="Tc__caeNQVUNUqzlmTIcYUQYw_23_0"/>
      <w:bookmarkStart w:id="415" w:name="Tc_LKAFgM2JMkGAbfz8v9jjIQ_22_12"/>
      <w:bookmarkStart w:id="416" w:name="Tc_2QkBbFkOlkKgBXWmaFNbcg_22_9"/>
      <w:bookmarkStart w:id="417" w:name="Tc_k8u9FcuXHU6pdfNPodfoNQ_22_3"/>
      <w:bookmarkStart w:id="418" w:name="Tc_mx0DUDk13k-5fh4C1CcCjg_22_0"/>
      <w:bookmarkStart w:id="419" w:name="Tc_CAjujg6LwEu4EkU03tDUaQ_21_12"/>
      <w:bookmarkStart w:id="420" w:name="Tc_S_cuZrLnhU-sBBp_bEeEyQ_21_6"/>
      <w:bookmarkStart w:id="421" w:name="Tc_bodV6B9JnkuLWzZkKLxXPA_21_3"/>
      <w:bookmarkStart w:id="422" w:name="Tc_aIWY_ix1JEuNd566R-W1gw_21_0"/>
      <w:bookmarkStart w:id="423" w:name="Tc_vKObTcpGSk2jnG06XAqdaA_20_12"/>
      <w:bookmarkStart w:id="424" w:name="Tc_JrWib81lEESn434RbBdyRw_20_9"/>
      <w:bookmarkStart w:id="425" w:name="Tc_EH5duR8FrEuFTbFmUblQlg_20_0"/>
      <w:bookmarkStart w:id="426" w:name="Tc_uckT2qcoZECH9MicMjx-UQ_19_9"/>
      <w:bookmarkStart w:id="427" w:name="Tc_31CRJmK9k0KprdKavUS6nw_19_6"/>
      <w:bookmarkStart w:id="428" w:name="Tc_vibWoiMbuUKLpmPzamkFHw_19_3"/>
      <w:bookmarkStart w:id="429" w:name="Tc_a9qOrts2KUiBWcslmjR_JQ_19_0"/>
      <w:bookmarkStart w:id="430" w:name="Tc_ZU1HvkSxrUCP6Y2DVlnKPw_18_12"/>
      <w:bookmarkStart w:id="431" w:name="Tc_zsBjywTnPEeQp7Vnz5r1HQ_18_6"/>
      <w:bookmarkStart w:id="432" w:name="Tc_8h4v3TqNqkCHlMneTwYtWw_18_3"/>
      <w:bookmarkStart w:id="433" w:name="Tc_dka55wDWfE208Fox_jEK9w_18_0"/>
      <w:bookmarkStart w:id="434" w:name="Tc_H24arhC-0U6qA5mWqgZ3RQ_17_14"/>
      <w:bookmarkStart w:id="435" w:name="Tc_GFa265MgfkGBMsEF3JizXg_17_11"/>
      <w:bookmarkStart w:id="436" w:name="Tc_O5yYq-IuFUSArbWHqmDp1w_17_8"/>
      <w:bookmarkStart w:id="437" w:name="Tc_tzLMg9PllUe5NyUAY4kTvw_17_5"/>
      <w:bookmarkStart w:id="438" w:name="Tc_ItA46BSMpEupOD1c3f3rnw_17_0"/>
      <w:bookmarkStart w:id="439" w:name="Tc_wKsEyL63wUmEHhQNRRstkA_15_14"/>
      <w:bookmarkStart w:id="440" w:name="Tc_orF0XpZr7UidWYkovtOUtg_15_11"/>
      <w:bookmarkStart w:id="441" w:name="Tc_WxOn7hpBAkOB616pDKX1uA_15_8"/>
      <w:bookmarkStart w:id="442" w:name="Tc_t8ysFaa4tU-Q7SIELz9NLw_15_5"/>
      <w:bookmarkStart w:id="443" w:name="Tc_J-UxTcoJIkykVBwql0wWNg_15_0"/>
      <w:bookmarkStart w:id="444" w:name="Tc_cJWhPHEBskqj4ROu0OG3tg_14_15"/>
      <w:bookmarkStart w:id="445" w:name="Tc_lbe2X7NpHkuuPk9J3B3Ltg_14_12"/>
      <w:bookmarkStart w:id="446" w:name="Tc_xOnlv70XwUaNszxh-uQETQ_14_9"/>
      <w:bookmarkStart w:id="447" w:name="Tc_LWdrGHj0pU-RDSoLsXCl8A_14_0"/>
      <w:bookmarkStart w:id="448" w:name="Tc_Q7vEV6D4M0itWZdpmQw2tQ_13_12"/>
      <w:bookmarkStart w:id="449" w:name="Tc_xoTfh0Sb2kKIJUmH7g2LSw_13_9"/>
      <w:bookmarkStart w:id="450" w:name="Tc_PGBm5WcjD0CPtcCe05zTsw_13_3"/>
      <w:bookmarkStart w:id="451" w:name="Tc_Qao8pMzHU06-_nEuUXNSXQ_13_0"/>
      <w:bookmarkStart w:id="452" w:name="Tc_fQbMZV_-e0qzfWkkx7oKeQ_12_12"/>
      <w:bookmarkStart w:id="453" w:name="Tc_hL50Q0GaPEiAIznpHS5cHA_12_6"/>
      <w:bookmarkStart w:id="454" w:name="Tc_myyzL-HJl0KI_6wma7JqDQ_12_3"/>
      <w:bookmarkStart w:id="455" w:name="Tc_qvUcMzAj9kCpP6rIAVprBQ_12_0"/>
      <w:bookmarkStart w:id="456" w:name="Tc_gtIK9RVdMkiTv4PMHY-h3Q_11_12"/>
      <w:bookmarkStart w:id="457" w:name="Tc_lX7by_jb3Ui-3sHGIAramg_11_9"/>
      <w:bookmarkStart w:id="458" w:name="Tc_DPmqWnQcmk2a4_6jnwv-9A_11_0"/>
      <w:bookmarkStart w:id="459" w:name="Tc_i9AjGS1JWE-PFO4rjT-rbQ_10_9"/>
      <w:bookmarkStart w:id="460" w:name="Tc_6A43IZVbrkulPN6cRzVURg_10_6"/>
      <w:bookmarkStart w:id="461" w:name="Tc_In6-U2jtsU2vsQYos01ZCQ_10_3"/>
      <w:bookmarkStart w:id="462" w:name="Tc_5dmRURZ92ky5tdc_rHI0ng_10_0"/>
      <w:bookmarkStart w:id="463" w:name="Tc_3SE6fZSG4US2wYncnIC2bQ_9_12"/>
      <w:bookmarkStart w:id="464" w:name="Tc_iNDIMnUSf0SU0MZ2OeAiog_9_6"/>
      <w:bookmarkStart w:id="465" w:name="Tc_4kEJS8HdmUyLw--V1hxAFA_9_3"/>
      <w:bookmarkStart w:id="466" w:name="Tc_CiH1FPlsyEi49woBJOGHZQ_9_0"/>
      <w:bookmarkStart w:id="467" w:name="Tc_UR1Of9inN0Wbp2wPMFqLEQ_8_0"/>
      <w:bookmarkStart w:id="468" w:name="Tc_z4hkaSqVL0a7nopvJx9BnQ_7_12"/>
      <w:bookmarkStart w:id="469" w:name="Tc_3nbHG9t8AUa6oIL16FOCZg_7_6"/>
      <w:bookmarkStart w:id="470" w:name="Tc__g31Dijg60upb8tV-KaT0A_7_3"/>
      <w:bookmarkStart w:id="471" w:name="Tc_4MFm6BPZcE2rXkuidjkIXw_7_0"/>
      <w:bookmarkStart w:id="472" w:name="Tc_m3c4Yh9ir02g6WpjH0IDAA_6_14"/>
      <w:bookmarkStart w:id="473" w:name="Tc_IL0ZFTVIJEuanh-6tgCf1g_6_11"/>
      <w:bookmarkStart w:id="474" w:name="Tc_hteYMem6ZkCD8KlNR6qxgw_6_8"/>
      <w:bookmarkStart w:id="475" w:name="Tc_5hOVoga20k-F46hRSo8DBA_6_5"/>
      <w:bookmarkStart w:id="476" w:name="Tc_57BK2aDISUCgijnrIu6NCA_6_0"/>
      <w:bookmarkStart w:id="477" w:name="Tc_p1Tun8GgJU-cR42-pgGINg_5_14"/>
      <w:bookmarkStart w:id="478" w:name="Tc_tzHb-krxbEWCGac1UeBuEQ_5_11"/>
      <w:bookmarkStart w:id="479" w:name="Tc_RlnNzPFLLEam7Iw6sip-1g_5_8"/>
      <w:bookmarkStart w:id="480" w:name="Tc_yE75U9bQakuqO27wwSm0Eg_5_5"/>
      <w:bookmarkStart w:id="481" w:name="Tc_ycxMo3dFFUmcnsqyxU3BdA_5_2"/>
      <w:bookmarkStart w:id="482" w:name="Tc_RFV0vPFv20uzVLFB-PThYw_5_0"/>
      <w:bookmarkStart w:id="483" w:name="Tc_0TyMR81mw0m17wqnXDhw5w_4_11"/>
      <w:bookmarkStart w:id="484" w:name="Tc_ucv8e9xLVEa5rbPGVEuPmA_4_8"/>
      <w:bookmarkStart w:id="485" w:name="Tc_awFTd8M08kueQ-fX9r7zBQ_4_5"/>
      <w:bookmarkStart w:id="486" w:name="Tc_msNE2QS58kqDJhZryXuIWw_4_2"/>
      <w:bookmarkStart w:id="487" w:name="Tc_muzSRyNfq0u3B6TzVEyYeQ_3_11"/>
      <w:bookmarkStart w:id="488" w:name="Tc_2DyOdzISoU6KcC3vQltVkw_3_5"/>
      <w:bookmarkStart w:id="489" w:name="Tc_MV-xbP8WMU25j01kcrGUGA_2_11"/>
      <w:bookmarkStart w:id="490" w:name="Tc_g5i6E-oQJ0CZbaZ8J1_mOQ_1_2"/>
      <w:bookmarkStart w:id="491" w:name="_566138dd_5fd8_458b_8282_714165f945c8"/>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tbl>
      <w:tblPr>
        <w:tblW w:w="10205" w:type="dxa"/>
        <w:jc w:val="left"/>
        <w:tblInd w:w="0" w:type="dxa"/>
        <w:tblLayout w:type="fixed"/>
        <w:tblCellMar>
          <w:top w:w="0" w:type="dxa"/>
          <w:left w:w="0" w:type="dxa"/>
          <w:bottom w:w="0" w:type="dxa"/>
          <w:right w:w="0" w:type="dxa"/>
        </w:tblCellMar>
      </w:tblPr>
      <w:tblGrid>
        <w:gridCol w:w="3827"/>
        <w:gridCol w:w="326"/>
        <w:gridCol w:w="149"/>
        <w:gridCol w:w="617"/>
        <w:gridCol w:w="326"/>
        <w:gridCol w:w="196"/>
        <w:gridCol w:w="691"/>
        <w:gridCol w:w="326"/>
        <w:gridCol w:w="196"/>
        <w:gridCol w:w="691"/>
        <w:gridCol w:w="326"/>
        <w:gridCol w:w="277"/>
        <w:gridCol w:w="939"/>
        <w:gridCol w:w="326"/>
        <w:gridCol w:w="196"/>
        <w:gridCol w:w="796"/>
      </w:tblGrid>
      <w:tr>
        <w:trPr/>
        <w:tc>
          <w:tcPr>
            <w:tcW w:w="38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4615" cy="175260"/>
                      <wp:effectExtent l="0" t="0" r="0" b="0"/>
                      <wp:wrapNone/>
                      <wp:docPr id="20" name="Frame20"/>
                      <a:graphic xmlns:a="http://schemas.openxmlformats.org/drawingml/2006/main">
                        <a:graphicData uri="http://schemas.microsoft.com/office/word/2010/wordprocessingShape">
                          <wps:wsp>
                            <wps:cNvSpPr txBox="1"/>
                            <wps:spPr>
                              <a:xfrm>
                                <a:off x="0" y="0"/>
                                <a:ext cx="94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91795" cy="175260"/>
                      <wp:effectExtent l="0" t="0" r="0" b="0"/>
                      <wp:wrapNone/>
                      <wp:docPr id="21" name="Frame21"/>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3" name="Frame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38785" cy="175260"/>
                      <wp:effectExtent l="0" t="0" r="0" b="0"/>
                      <wp:wrapNone/>
                      <wp:docPr id="24" name="Frame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38785" cy="175260"/>
                      <wp:effectExtent l="0" t="0" r="0" b="0"/>
                      <wp:wrapNone/>
                      <wp:docPr id="27" name="Frame2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75895" cy="175260"/>
                      <wp:effectExtent l="0" t="0" r="0" b="0"/>
                      <wp:wrapNone/>
                      <wp:docPr id="29" name="Frame29"/>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96265" cy="175260"/>
                      <wp:effectExtent l="0" t="0" r="0" b="0"/>
                      <wp:wrapNone/>
                      <wp:docPr id="30" name="Frame30"/>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5460" cy="175260"/>
                      <wp:effectExtent l="0" t="0" r="0" b="0"/>
                      <wp:wrapNone/>
                      <wp:docPr id="33" name="Frame3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5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8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38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38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3827"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and shares in thousands)</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2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4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155,095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280,426</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(98,641)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356,872</w:t>
            </w:r>
          </w:p>
        </w:tc>
      </w:tr>
      <w:tr>
        <w:trPr/>
        <w:tc>
          <w:tcPr>
            <w:tcW w:w="38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Cumulative effect of change in accounting principles, net of tax</w:t>
            </w:r>
          </w:p>
        </w:tc>
        <w:tc>
          <w:tcPr>
            <w:tcW w:w="326" w:type="dxa"/>
            <w:tcBorders/>
            <w:vAlign w:val="center"/>
          </w:tcPr>
          <w:p>
            <w:pPr>
              <w:pStyle w:val="TableContents"/>
              <w:bidi w:val="0"/>
              <w:spacing w:before="0" w:after="0"/>
              <w:ind w:left="0" w:right="0" w:hanging="0"/>
              <w:jc w:val="left"/>
              <w:rPr/>
            </w:pPr>
            <w:r>
              <w:rPr/>
              <w:t>​</w:t>
            </w:r>
          </w:p>
        </w:tc>
        <w:tc>
          <w:tcPr>
            <w:tcW w:w="1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(4,452)</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(4,452)</w:t>
            </w:r>
          </w:p>
        </w:tc>
      </w:tr>
      <w:tr>
        <w:trPr/>
        <w:tc>
          <w:tcPr>
            <w:tcW w:w="382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14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155,095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275,974</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(98,641)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352,420</w:t>
            </w:r>
          </w:p>
        </w:tc>
      </w:tr>
      <w:tr>
        <w:trPr/>
        <w:tc>
          <w:tcPr>
            <w:tcW w:w="38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8,186</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8,186</w:t>
            </w:r>
          </w:p>
        </w:tc>
      </w:tr>
      <w:tr>
        <w:trPr/>
        <w:tc>
          <w:tcPr>
            <w:tcW w:w="38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49" w:type="dxa"/>
            <w:tcBorders/>
            <w:shd w:fill="CCEEFF" w:val="clear"/>
            <w:vAlign w:val="center"/>
          </w:tcPr>
          <w:p>
            <w:pPr>
              <w:pStyle w:val="TableContents"/>
              <w:bidi w:val="0"/>
              <w:spacing w:before="0" w:after="0"/>
              <w:ind w:left="0" w:right="0" w:hanging="0"/>
              <w:jc w:val="center"/>
              <w:rPr/>
            </w:pPr>
            <w:r>
              <w:rPr/>
              <w:t>​</w:t>
            </w:r>
          </w:p>
        </w:tc>
        <w:tc>
          <w:tcPr>
            <w:tcW w:w="6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center"/>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2,334</w:t>
            </w:r>
          </w:p>
        </w:tc>
      </w:tr>
      <w:tr>
        <w:trPr/>
        <w:tc>
          <w:tcPr>
            <w:tcW w:w="38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repurchased</w:t>
            </w:r>
          </w:p>
        </w:tc>
        <w:tc>
          <w:tcPr>
            <w:tcW w:w="326"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w:t>
            </w:r>
          </w:p>
        </w:tc>
      </w:tr>
      <w:tr>
        <w:trPr/>
        <w:tc>
          <w:tcPr>
            <w:tcW w:w="38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149" w:type="dxa"/>
            <w:tcBorders/>
            <w:shd w:fill="CCEEFF" w:val="clear"/>
            <w:vAlign w:val="center"/>
          </w:tcPr>
          <w:p>
            <w:pPr>
              <w:pStyle w:val="TableContents"/>
              <w:bidi w:val="0"/>
              <w:spacing w:before="0" w:after="0"/>
              <w:ind w:left="0" w:right="0" w:hanging="0"/>
              <w:jc w:val="center"/>
              <w:rPr/>
            </w:pPr>
            <w:r>
              <w:rPr/>
              <w:t>​</w:t>
            </w:r>
          </w:p>
        </w:tc>
        <w:tc>
          <w:tcPr>
            <w:tcW w:w="6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(3,620)</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center"/>
              <w:rPr/>
            </w:pPr>
            <w:r>
              <w:rPr/>
              <w:t>​</w:t>
            </w:r>
          </w:p>
        </w:tc>
        <w:tc>
          <w:tcPr>
            <w:tcW w:w="9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(3,620)</w:t>
            </w:r>
          </w:p>
        </w:tc>
      </w:tr>
      <w:tr>
        <w:trPr/>
        <w:tc>
          <w:tcPr>
            <w:tcW w:w="38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w:t>
              <w:noBreakHyphen/>
              <w:t>based compensation expense</w:t>
            </w:r>
          </w:p>
        </w:tc>
        <w:tc>
          <w:tcPr>
            <w:tcW w:w="326"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w:t>
            </w:r>
          </w:p>
        </w:tc>
      </w:tr>
      <w:tr>
        <w:trPr/>
        <w:tc>
          <w:tcPr>
            <w:tcW w:w="38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Vesting of restricted stock</w:t>
            </w:r>
          </w:p>
        </w:tc>
        <w:tc>
          <w:tcPr>
            <w:tcW w:w="326" w:type="dxa"/>
            <w:tcBorders/>
            <w:shd w:fill="CCEEFF" w:val="clear"/>
            <w:vAlign w:val="center"/>
          </w:tcPr>
          <w:p>
            <w:pPr>
              <w:pStyle w:val="TableContents"/>
              <w:bidi w:val="0"/>
              <w:spacing w:before="0" w:after="0"/>
              <w:ind w:left="0" w:right="0" w:hanging="0"/>
              <w:jc w:val="left"/>
              <w:rPr/>
            </w:pPr>
            <w:r>
              <w:rPr/>
              <w:t>​</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2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March 31, 2023</w:t>
            </w:r>
          </w:p>
        </w:tc>
        <w:tc>
          <w:tcPr>
            <w:tcW w:w="326" w:type="dxa"/>
            <w:tcBorders/>
            <w:vAlign w:val="center"/>
          </w:tcPr>
          <w:p>
            <w:pPr>
              <w:pStyle w:val="TableContents"/>
              <w:bidi w:val="0"/>
              <w:spacing w:before="0" w:after="0"/>
              <w:ind w:left="0" w:right="0" w:hanging="0"/>
              <w:jc w:val="left"/>
              <w:rPr/>
            </w:pPr>
            <w:r>
              <w:rPr/>
              <w:t>​</w:t>
            </w:r>
          </w:p>
        </w:tc>
        <w:tc>
          <w:tcPr>
            <w:tcW w:w="149"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6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20,067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154,818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280,540</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(96,307)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359,118</w:t>
            </w:r>
          </w:p>
        </w:tc>
      </w:tr>
      <w:tr>
        <w:trPr/>
        <w:tc>
          <w:tcPr>
            <w:tcW w:w="382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9" w:type="dxa"/>
            <w:tcBorders/>
            <w:shd w:fill="CCEEFF" w:val="clear"/>
            <w:vAlign w:val="center"/>
          </w:tcPr>
          <w:p>
            <w:pPr>
              <w:pStyle w:val="TableContents"/>
              <w:bidi w:val="0"/>
              <w:spacing w:before="0" w:after="0"/>
              <w:ind w:left="0" w:right="0" w:hanging="0"/>
              <w:jc w:val="center"/>
              <w:rPr/>
            </w:pPr>
            <w:r>
              <w:rPr/>
              <w:t>​</w:t>
            </w:r>
          </w:p>
        </w:tc>
        <w:tc>
          <w:tcPr>
            <w:tcW w:w="6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382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December 31, 2023</w:t>
            </w:r>
          </w:p>
        </w:tc>
        <w:tc>
          <w:tcPr>
            <w:tcW w:w="326"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150,343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272,705</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(73,655)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369,127</w:t>
            </w:r>
          </w:p>
        </w:tc>
      </w:tr>
      <w:tr>
        <w:trPr/>
        <w:tc>
          <w:tcPr>
            <w:tcW w:w="38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49" w:type="dxa"/>
            <w:tcBorders/>
            <w:shd w:fill="CCEEFF" w:val="clear"/>
            <w:vAlign w:val="center"/>
          </w:tcPr>
          <w:p>
            <w:pPr>
              <w:pStyle w:val="TableContents"/>
              <w:bidi w:val="0"/>
              <w:spacing w:before="0" w:after="0"/>
              <w:ind w:left="0" w:right="0" w:hanging="0"/>
              <w:jc w:val="left"/>
              <w:rPr/>
            </w:pPr>
            <w:r>
              <w:rPr/>
              <w:t> </w:t>
            </w:r>
          </w:p>
        </w:tc>
        <w:tc>
          <w:tcPr>
            <w:tcW w:w="6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6,432</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6,432</w:t>
            </w:r>
          </w:p>
        </w:tc>
      </w:tr>
      <w:tr>
        <w:trPr/>
        <w:tc>
          <w:tcPr>
            <w:tcW w:w="38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(601)</w:t>
            </w:r>
          </w:p>
        </w:tc>
      </w:tr>
      <w:tr>
        <w:trPr/>
        <w:tc>
          <w:tcPr>
            <w:tcW w:w="38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repurchased</w:t>
            </w:r>
          </w:p>
        </w:tc>
        <w:tc>
          <w:tcPr>
            <w:tcW w:w="326" w:type="dxa"/>
            <w:tcBorders/>
            <w:shd w:fill="CCEEFF" w:val="clear"/>
            <w:vAlign w:val="center"/>
          </w:tcPr>
          <w:p>
            <w:pPr>
              <w:pStyle w:val="TableContents"/>
              <w:bidi w:val="0"/>
              <w:spacing w:before="0" w:after="0"/>
              <w:ind w:left="0" w:right="0" w:hanging="0"/>
              <w:jc w:val="left"/>
              <w:rPr/>
            </w:pPr>
            <w:r>
              <w:rPr/>
              <w:t>​</w:t>
            </w:r>
          </w:p>
        </w:tc>
        <w:tc>
          <w:tcPr>
            <w:tcW w:w="149" w:type="dxa"/>
            <w:tcBorders/>
            <w:shd w:fill="CCEEFF" w:val="clear"/>
            <w:vAlign w:val="center"/>
          </w:tcPr>
          <w:p>
            <w:pPr>
              <w:pStyle w:val="TableContents"/>
              <w:bidi w:val="0"/>
              <w:spacing w:before="0" w:after="0"/>
              <w:ind w:left="0" w:right="0" w:hanging="0"/>
              <w:jc w:val="left"/>
              <w:rPr/>
            </w:pPr>
            <w:r>
              <w:rPr/>
              <w:t> </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r>
      <w:tr>
        <w:trPr/>
        <w:tc>
          <w:tcPr>
            <w:tcW w:w="38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w:t>
            </w:r>
          </w:p>
        </w:tc>
        <w:tc>
          <w:tcPr>
            <w:tcW w:w="326"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(3,763)</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(3,763)</w:t>
            </w:r>
          </w:p>
        </w:tc>
      </w:tr>
      <w:tr>
        <w:trPr/>
        <w:tc>
          <w:tcPr>
            <w:tcW w:w="38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w:t>
              <w:noBreakHyphen/>
              <w:t>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49" w:type="dxa"/>
            <w:tcBorders/>
            <w:shd w:fill="CCEEFF" w:val="clear"/>
            <w:vAlign w:val="center"/>
          </w:tcPr>
          <w:p>
            <w:pPr>
              <w:pStyle w:val="TableContents"/>
              <w:bidi w:val="0"/>
              <w:spacing w:before="0" w:after="0"/>
              <w:ind w:left="0" w:right="0" w:hanging="0"/>
              <w:jc w:val="left"/>
              <w:rPr/>
            </w:pPr>
            <w:r>
              <w:rPr/>
              <w:t> </w:t>
            </w:r>
          </w:p>
        </w:tc>
        <w:tc>
          <w:tcPr>
            <w:tcW w:w="6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w:t>
            </w:r>
          </w:p>
        </w:tc>
      </w:tr>
      <w:tr>
        <w:trPr/>
        <w:tc>
          <w:tcPr>
            <w:tcW w:w="38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Vesting of restricted stock</w:t>
            </w:r>
          </w:p>
        </w:tc>
        <w:tc>
          <w:tcPr>
            <w:tcW w:w="326" w:type="dxa"/>
            <w:tcBorders/>
            <w:vAlign w:val="center"/>
          </w:tcPr>
          <w:p>
            <w:pPr>
              <w:pStyle w:val="TableContents"/>
              <w:bidi w:val="0"/>
              <w:spacing w:before="0" w:after="0"/>
              <w:ind w:left="0" w:right="0" w:hanging="0"/>
              <w:jc w:val="left"/>
              <w:rPr/>
            </w:pPr>
            <w:r>
              <w:rPr/>
              <w:t>​</w:t>
            </w:r>
          </w:p>
        </w:tc>
        <w:tc>
          <w:tcPr>
            <w:tcW w:w="1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2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as of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150,740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275,374</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(74,256)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371,635</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 (unaudited)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492" w:name="_0cab4375_4da9_4ab5_bf84_b7c961bf4ff5"/>
      <w:bookmarkEnd w:id="492"/>
      <w:r>
        <w:rPr>
          <w:rFonts w:ascii="Times New Roman;Times;serif" w:hAnsi="Times New Roman;Times;serif"/>
          <w:b/>
          <w:sz w:val="20"/>
        </w:rPr>
        <w:t>Alerus Financial Corporation and Subsidiaries</w:t>
      </w:r>
    </w:p>
    <w:p>
      <w:pPr>
        <w:pStyle w:val="TextBody"/>
        <w:bidi w:val="0"/>
        <w:spacing w:before="0" w:after="0"/>
        <w:ind w:left="0" w:right="0" w:hanging="0"/>
        <w:jc w:val="center"/>
        <w:rPr>
          <w:rFonts w:ascii="Times New Roman;Times;serif" w:hAnsi="Times New Roman;Times;serif"/>
          <w:b/>
          <w:sz w:val="20"/>
        </w:rPr>
      </w:pPr>
      <w:bookmarkStart w:id="493" w:name="CashFlows_84299"/>
      <w:bookmarkEnd w:id="493"/>
      <w:r>
        <w:rPr>
          <w:rFonts w:ascii="Times New Roman;Times;serif" w:hAnsi="Times New Roman;Times;serif"/>
          <w:b/>
          <w:sz w:val="20"/>
        </w:rPr>
        <w:t>Consolidated Statements of Cash Flows (Unaudited)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94" w:name="Tc_9qhFQk7HO0a-SUBGuVfa_A_47_5"/>
      <w:bookmarkStart w:id="495" w:name="Tc_PXqDTSYhE0iFEtSetpXoqA_47_2"/>
      <w:bookmarkStart w:id="496" w:name="Tc_fJIZeD7SX0izUb7AFMhlRQ_47_0"/>
      <w:bookmarkStart w:id="497" w:name="Tc_KaSWX8V6PkSN5vkKMluwfQ_46_0"/>
      <w:bookmarkStart w:id="498" w:name="Tc_9GaVYxuwek6wO7mB-oB4Jw_45_0"/>
      <w:bookmarkStart w:id="499" w:name="Tc_udK-Bi5dmk6i64-lj8l3gA_44_0"/>
      <w:bookmarkStart w:id="500" w:name="Tc_EEmCVcP7j06umGt7dlnoww_43_0"/>
      <w:bookmarkStart w:id="501" w:name="Tc_t87SXxun-UKEdChxNUL-LQ_42_0"/>
      <w:bookmarkStart w:id="502" w:name="Tc_s8uyPKdrFE2ONkiLBatqTw_41_6"/>
      <w:bookmarkStart w:id="503" w:name="Tc_06PBoXKMjUK2dgp8li37tQ_41_0"/>
      <w:bookmarkStart w:id="504" w:name="Tc_wy_pqD6etEKyflpOvt9SBQ_40_0"/>
      <w:bookmarkStart w:id="505" w:name="Tc_AGyKtjW75UqNepMPbkAmKg_39_0"/>
      <w:bookmarkStart w:id="506" w:name="Tc_KmaDNiDlSkSEOopazlxwkA_38_0"/>
      <w:bookmarkStart w:id="507" w:name="Tc_RPqc5zy7Mk-kRLJ5yx87yA_37_0"/>
      <w:bookmarkStart w:id="508" w:name="Tc_Jz56MtulT0-18fOz4uqrOQ_36_0"/>
      <w:bookmarkStart w:id="509" w:name="Tc_23OH_ulYOkKq43HOoH79Gg_35_0"/>
      <w:bookmarkStart w:id="510" w:name="Tc_wEttItvH60Oz4_Fkl0C6ow_34_3"/>
      <w:bookmarkStart w:id="511" w:name="Tc_7M_xdkFOrUSQwKu4VtRkLw_34_0"/>
      <w:bookmarkStart w:id="512" w:name="Tc_POHfLqQ2iU6NhzmKNyrTjQ_33_0"/>
      <w:bookmarkStart w:id="513" w:name="Tc_rl3tJ6KCvEqWnwoUymwyPg_32_0"/>
      <w:bookmarkStart w:id="514" w:name="Tc_yTpREmdh1EegzTlqnLifxg_31_0"/>
      <w:bookmarkStart w:id="515" w:name="Tc_JrjMo_YqdE-7Iz7uTeQU7g_30_0"/>
      <w:bookmarkStart w:id="516" w:name="Tc_H2WN_nd4Q0WKfBnViWuvJQ_29_0"/>
      <w:bookmarkStart w:id="517" w:name="Tc_SzN-KuAzn0yN_wkmjOuiFw_28_6"/>
      <w:bookmarkStart w:id="518" w:name="Tc_D42JgoixiUSbTrFIyL5aKg_28_0"/>
      <w:bookmarkStart w:id="519" w:name="Tc_RfjyICdQXk23I95wZfVNPw_27_6"/>
      <w:bookmarkStart w:id="520" w:name="Tc_ChwrluJhkkmUA4mD5xGPqw_27_0"/>
      <w:bookmarkStart w:id="521" w:name="Tc_pQTgbxyGP0-zzSVXLsVsoA_26_0"/>
      <w:bookmarkStart w:id="522" w:name="Tc_ilCM4_xPC0idO9A_D_tkpg_25_0"/>
      <w:bookmarkStart w:id="523" w:name="Tc_kwFeFhzWk0COptSOXkQ-YQ_24_0"/>
      <w:bookmarkStart w:id="524" w:name="Tc_ehGMQsuu7ku0tvXboMbz8A_23_0"/>
      <w:bookmarkStart w:id="525" w:name="Tc_OprLGopN6k20XGRPVDtUrg_22_0"/>
      <w:bookmarkStart w:id="526" w:name="Tc_eiundd_7mEWVZLaPkaBRiw_21_0"/>
      <w:bookmarkStart w:id="527" w:name="Tc_vmMtkc9jeEWjUjYjBr0fKg_20_0"/>
      <w:bookmarkStart w:id="528" w:name="Tc_rOqDe_tq5ECarHiw6RBhPw_19_3"/>
      <w:bookmarkStart w:id="529" w:name="Tc_hu7yjTBtGU6QXa-CT2_-dg_19_0"/>
      <w:bookmarkStart w:id="530" w:name="Tc_hmuDH-9Z7kWPu8iebgQGjQ_18_3"/>
      <w:bookmarkStart w:id="531" w:name="Tc_nEhUkyoaeUCc_qJjLTxzBQ_18_0"/>
      <w:bookmarkStart w:id="532" w:name="Tc_5Yd9_to-fk2NIbxY9bKulg_17_0"/>
      <w:bookmarkStart w:id="533" w:name="Tc_lVHjMg92KkKDoUKn5LoXQw_16_0"/>
      <w:bookmarkStart w:id="534" w:name="Tc_hNNw9ezwgkemBWGRfw3IZw_15_0"/>
      <w:bookmarkStart w:id="535" w:name="Tc_ktDJoKO8J0G_fCPL7lgxOw_14_0"/>
      <w:bookmarkStart w:id="536" w:name="Tc_Av0KKTWtFE2jD-VS0KiypA_13_0"/>
      <w:bookmarkStart w:id="537" w:name="Tc_QLbmrd3WPECy7YH6wGXY-g_12_0"/>
      <w:bookmarkStart w:id="538" w:name="Tc_kVeBa0PY70CJJrtvzdACWg_11_0"/>
      <w:bookmarkStart w:id="539" w:name="Tc_1BsMVRfk00qS-rJTMqptVA_10_0"/>
      <w:bookmarkStart w:id="540" w:name="Tc_G9xHEv4ls0adXhGFMFY6_A_9_0"/>
      <w:bookmarkStart w:id="541" w:name="Tc_AEiMdCwxqUaIp-oRuoX-Rg_8_3"/>
      <w:bookmarkStart w:id="542" w:name="Tc__QjmtYuEqEGlS3ZJjWswuQ_8_0"/>
      <w:bookmarkStart w:id="543" w:name="Tc_i1p5oJ4i9kGIhT75O0gGyw_7_3"/>
      <w:bookmarkStart w:id="544" w:name="Tc_EgQor7Ae3EepxJYrUe5oYQ_7_0"/>
      <w:bookmarkStart w:id="545" w:name="Tc_b7ipdOxOSkuu4qyjR72tnA_6_0"/>
      <w:bookmarkStart w:id="546" w:name="Tc_50jXMjiurE2TGmN3hk-oYw_5_5"/>
      <w:bookmarkStart w:id="547" w:name="Tc_hxhmTbzhr0G0kGaXa8H88Q_5_2"/>
      <w:bookmarkStart w:id="548" w:name="Tc_C8OwrdwzhEW5vrtD15DXbg_5_0"/>
      <w:bookmarkStart w:id="549" w:name="Tc_n8NoRGdMpkeY4S5gjOHjKQ_4_0"/>
      <w:bookmarkStart w:id="550" w:name="Tc_J1gH0nj9OE2dSHViu1-eVw_3_5"/>
      <w:bookmarkStart w:id="551" w:name="Tc_LL_r9CgTVUiXpX8Q9KteTw_3_2"/>
      <w:bookmarkStart w:id="552" w:name="Tc_NSqYIXcQ-Eq9QM6pfT-ghQ_3_0"/>
      <w:bookmarkStart w:id="553" w:name="Tc_E22ZPs7e6UGKUrFaPh8Idw_2_2"/>
      <w:bookmarkStart w:id="554" w:name="Tc__6qkOoUTr0Sowc_8JL-Reg_1_2"/>
      <w:bookmarkStart w:id="555" w:name="_4ffeb615_2cbf_4b92_8ec9_dc4baa492e0f"/>
      <w:bookmarkStart w:id="556" w:name="Tc_9qhFQk7HO0a-SUBGuVfa_A_47_5"/>
      <w:bookmarkStart w:id="557" w:name="Tc_PXqDTSYhE0iFEtSetpXoqA_47_2"/>
      <w:bookmarkStart w:id="558" w:name="Tc_fJIZeD7SX0izUb7AFMhlRQ_47_0"/>
      <w:bookmarkStart w:id="559" w:name="Tc_KaSWX8V6PkSN5vkKMluwfQ_46_0"/>
      <w:bookmarkStart w:id="560" w:name="Tc_9GaVYxuwek6wO7mB-oB4Jw_45_0"/>
      <w:bookmarkStart w:id="561" w:name="Tc_udK-Bi5dmk6i64-lj8l3gA_44_0"/>
      <w:bookmarkStart w:id="562" w:name="Tc_EEmCVcP7j06umGt7dlnoww_43_0"/>
      <w:bookmarkStart w:id="563" w:name="Tc_t87SXxun-UKEdChxNUL-LQ_42_0"/>
      <w:bookmarkStart w:id="564" w:name="Tc_s8uyPKdrFE2ONkiLBatqTw_41_6"/>
      <w:bookmarkStart w:id="565" w:name="Tc_06PBoXKMjUK2dgp8li37tQ_41_0"/>
      <w:bookmarkStart w:id="566" w:name="Tc_wy_pqD6etEKyflpOvt9SBQ_40_0"/>
      <w:bookmarkStart w:id="567" w:name="Tc_AGyKtjW75UqNepMPbkAmKg_39_0"/>
      <w:bookmarkStart w:id="568" w:name="Tc_KmaDNiDlSkSEOopazlxwkA_38_0"/>
      <w:bookmarkStart w:id="569" w:name="Tc_RPqc5zy7Mk-kRLJ5yx87yA_37_0"/>
      <w:bookmarkStart w:id="570" w:name="Tc_Jz56MtulT0-18fOz4uqrOQ_36_0"/>
      <w:bookmarkStart w:id="571" w:name="Tc_23OH_ulYOkKq43HOoH79Gg_35_0"/>
      <w:bookmarkStart w:id="572" w:name="Tc_wEttItvH60Oz4_Fkl0C6ow_34_3"/>
      <w:bookmarkStart w:id="573" w:name="Tc_7M_xdkFOrUSQwKu4VtRkLw_34_0"/>
      <w:bookmarkStart w:id="574" w:name="Tc_POHfLqQ2iU6NhzmKNyrTjQ_33_0"/>
      <w:bookmarkStart w:id="575" w:name="Tc_rl3tJ6KCvEqWnwoUymwyPg_32_0"/>
      <w:bookmarkStart w:id="576" w:name="Tc_yTpREmdh1EegzTlqnLifxg_31_0"/>
      <w:bookmarkStart w:id="577" w:name="Tc_JrjMo_YqdE-7Iz7uTeQU7g_30_0"/>
      <w:bookmarkStart w:id="578" w:name="Tc_H2WN_nd4Q0WKfBnViWuvJQ_29_0"/>
      <w:bookmarkStart w:id="579" w:name="Tc_SzN-KuAzn0yN_wkmjOuiFw_28_6"/>
      <w:bookmarkStart w:id="580" w:name="Tc_D42JgoixiUSbTrFIyL5aKg_28_0"/>
      <w:bookmarkStart w:id="581" w:name="Tc_RfjyICdQXk23I95wZfVNPw_27_6"/>
      <w:bookmarkStart w:id="582" w:name="Tc_ChwrluJhkkmUA4mD5xGPqw_27_0"/>
      <w:bookmarkStart w:id="583" w:name="Tc_pQTgbxyGP0-zzSVXLsVsoA_26_0"/>
      <w:bookmarkStart w:id="584" w:name="Tc_ilCM4_xPC0idO9A_D_tkpg_25_0"/>
      <w:bookmarkStart w:id="585" w:name="Tc_kwFeFhzWk0COptSOXkQ-YQ_24_0"/>
      <w:bookmarkStart w:id="586" w:name="Tc_ehGMQsuu7ku0tvXboMbz8A_23_0"/>
      <w:bookmarkStart w:id="587" w:name="Tc_OprLGopN6k20XGRPVDtUrg_22_0"/>
      <w:bookmarkStart w:id="588" w:name="Tc_eiundd_7mEWVZLaPkaBRiw_21_0"/>
      <w:bookmarkStart w:id="589" w:name="Tc_vmMtkc9jeEWjUjYjBr0fKg_20_0"/>
      <w:bookmarkStart w:id="590" w:name="Tc_rOqDe_tq5ECarHiw6RBhPw_19_3"/>
      <w:bookmarkStart w:id="591" w:name="Tc_hu7yjTBtGU6QXa-CT2_-dg_19_0"/>
      <w:bookmarkStart w:id="592" w:name="Tc_hmuDH-9Z7kWPu8iebgQGjQ_18_3"/>
      <w:bookmarkStart w:id="593" w:name="Tc_nEhUkyoaeUCc_qJjLTxzBQ_18_0"/>
      <w:bookmarkStart w:id="594" w:name="Tc_5Yd9_to-fk2NIbxY9bKulg_17_0"/>
      <w:bookmarkStart w:id="595" w:name="Tc_lVHjMg92KkKDoUKn5LoXQw_16_0"/>
      <w:bookmarkStart w:id="596" w:name="Tc_hNNw9ezwgkemBWGRfw3IZw_15_0"/>
      <w:bookmarkStart w:id="597" w:name="Tc_ktDJoKO8J0G_fCPL7lgxOw_14_0"/>
      <w:bookmarkStart w:id="598" w:name="Tc_Av0KKTWtFE2jD-VS0KiypA_13_0"/>
      <w:bookmarkStart w:id="599" w:name="Tc_QLbmrd3WPECy7YH6wGXY-g_12_0"/>
      <w:bookmarkStart w:id="600" w:name="Tc_kVeBa0PY70CJJrtvzdACWg_11_0"/>
      <w:bookmarkStart w:id="601" w:name="Tc_1BsMVRfk00qS-rJTMqptVA_10_0"/>
      <w:bookmarkStart w:id="602" w:name="Tc_G9xHEv4ls0adXhGFMFY6_A_9_0"/>
      <w:bookmarkStart w:id="603" w:name="Tc_AEiMdCwxqUaIp-oRuoX-Rg_8_3"/>
      <w:bookmarkStart w:id="604" w:name="Tc__QjmtYuEqEGlS3ZJjWswuQ_8_0"/>
      <w:bookmarkStart w:id="605" w:name="Tc_i1p5oJ4i9kGIhT75O0gGyw_7_3"/>
      <w:bookmarkStart w:id="606" w:name="Tc_EgQor7Ae3EepxJYrUe5oYQ_7_0"/>
      <w:bookmarkStart w:id="607" w:name="Tc_b7ipdOxOSkuu4qyjR72tnA_6_0"/>
      <w:bookmarkStart w:id="608" w:name="Tc_50jXMjiurE2TGmN3hk-oYw_5_5"/>
      <w:bookmarkStart w:id="609" w:name="Tc_hxhmTbzhr0G0kGaXa8H88Q_5_2"/>
      <w:bookmarkStart w:id="610" w:name="Tc_C8OwrdwzhEW5vrtD15DXbg_5_0"/>
      <w:bookmarkStart w:id="611" w:name="Tc_n8NoRGdMpkeY4S5gjOHjKQ_4_0"/>
      <w:bookmarkStart w:id="612" w:name="Tc_J1gH0nj9OE2dSHViu1-eVw_3_5"/>
      <w:bookmarkStart w:id="613" w:name="Tc_LL_r9CgTVUiXpX8Q9KteTw_3_2"/>
      <w:bookmarkStart w:id="614" w:name="Tc_NSqYIXcQ-Eq9QM6pfT-ghQ_3_0"/>
      <w:bookmarkStart w:id="615" w:name="Tc_E22ZPs7e6UGKUrFaPh8Idw_2_2"/>
      <w:bookmarkStart w:id="616" w:name="Tc__6qkOoUTr0Sowc_8JL-Reg_1_2"/>
      <w:bookmarkStart w:id="617" w:name="_4ffeb615_2cbf_4b92_8ec9_dc4baa492e0f"/>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tbl>
      <w:tblPr>
        <w:tblW w:w="8802" w:type="dxa"/>
        <w:jc w:val="left"/>
        <w:tblInd w:w="0" w:type="dxa"/>
        <w:tblLayout w:type="fixed"/>
        <w:tblCellMar>
          <w:top w:w="0" w:type="dxa"/>
          <w:left w:w="0" w:type="dxa"/>
          <w:bottom w:w="0" w:type="dxa"/>
          <w:right w:w="0" w:type="dxa"/>
        </w:tblCellMar>
      </w:tblPr>
      <w:tblGrid>
        <w:gridCol w:w="6241"/>
        <w:gridCol w:w="326"/>
        <w:gridCol w:w="196"/>
        <w:gridCol w:w="721"/>
        <w:gridCol w:w="326"/>
        <w:gridCol w:w="196"/>
        <w:gridCol w:w="796"/>
      </w:tblGrid>
      <w:tr>
        <w:trPr/>
        <w:tc>
          <w:tcPr>
            <w:tcW w:w="6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4460" cy="175260"/>
                      <wp:effectExtent l="0" t="0" r="0" b="0"/>
                      <wp:wrapNone/>
                      <wp:docPr id="35" name="Frame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57835" cy="175260"/>
                      <wp:effectExtent l="0" t="0" r="0" b="0"/>
                      <wp:wrapNone/>
                      <wp:docPr id="36" name="Frame3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05460" cy="175260"/>
                      <wp:effectExtent l="0" t="0" r="0" b="0"/>
                      <wp:wrapNone/>
                      <wp:docPr id="39" name="Frame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6,432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8,186</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(used)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1,459</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credit losses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2,130</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and accretion of premiums/discounts on investment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operating lease right-of-use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w:t>
              <w:noBreakHyphen/>
              <w:t>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Originations on loans held for sale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(53,129)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(56,347)</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on loans held for sale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55,362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50,381</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(Increase) in value of bank-owned life insurance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Realized loss (gain) on derivative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Realized loss (gain) on loans sold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(1,344)</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Realized loss (gain) on sale of foreclosed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Realized loss (gain) on BOLI mortality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(1,196)</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Realized loss (gain) on servicing rights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change in: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interest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2,052</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 and other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(8,352)</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(used) by operating activities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11,989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(2,383)</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sales of trading investment securities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trading investment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maturities of investment securities available-for-sale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10,818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16,139</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calls of investment securities held-to-maturity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maturities and paydowns of investment securities held-to-maturity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7,043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7,578</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loans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(42,801)</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FHLB stock</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5,075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BOLI mortality claim</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2,828</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premises and equipment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(923)</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sales of foreclosed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(used) by investing activities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(22,389)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(17,256)</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deposits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189,358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116,494</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short-term borrowings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240,830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(5,935)</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long-term debt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paid on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(3,620)</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(361)</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(used)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426,279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106,578</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change in cash and cash equivalents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415,879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86,939</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at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129,893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58,242</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at end of period</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545,772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145,181</w:t>
            </w:r>
          </w:p>
        </w:tc>
      </w:tr>
    </w:tbl>
    <w:p>
      <w:pPr>
        <w:pStyle w:val="TextBody"/>
        <w:bidi w:val="0"/>
        <w:spacing w:before="0" w:after="24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618" w:name="Tc_3QHPgeCE6UqqJ2z-ZK7wGA_11_6"/>
      <w:bookmarkStart w:id="619" w:name="Tc_xVaLDiDNL0CRkWaX7GJRtg_11_0"/>
      <w:bookmarkStart w:id="620" w:name="Tc_PEGmCac5zUW6FDXsjG2puA_10_0"/>
      <w:bookmarkStart w:id="621" w:name="Tc_n5khXjR5Y0CXPQRnJQF1JQ_9_6"/>
      <w:bookmarkStart w:id="622" w:name="Tc_CD2Ii5D65ECjyGQQf6agIw_9_0"/>
      <w:bookmarkStart w:id="623" w:name="Tc_xNQHac-TWUKv9NdGfTKLlQ_8_0"/>
      <w:bookmarkStart w:id="624" w:name="Tc_p9vLIR3hhUW2Uz1qc3eYJg_7_0"/>
      <w:bookmarkStart w:id="625" w:name="Tc_gipLR4UNVkKRf64C7I6XLQ_6_6"/>
      <w:bookmarkStart w:id="626" w:name="Tc_wRjVgnhTCECeXL-Mxw3fGA_6_0"/>
      <w:bookmarkStart w:id="627" w:name="Tc_2Q7u-OyhkEySIOKtUXrWFg_5_5"/>
      <w:bookmarkStart w:id="628" w:name="Tc_R8qGyvHySkmlVFiocbJZ3g_5_2"/>
      <w:bookmarkStart w:id="629" w:name="Tc_TCQb4tmm1ECjeTIFLuS8lQ_5_0"/>
      <w:bookmarkStart w:id="630" w:name="Tc_chqqvaJHHkOJjEMQzyG06A_4_0"/>
      <w:bookmarkStart w:id="631" w:name="Tc_5-WcohIHWkGiFu2AX3ZlgA_3_5"/>
      <w:bookmarkStart w:id="632" w:name="Tc_XD0cmw120k-pAJKYEjpwcg_3_2"/>
      <w:bookmarkStart w:id="633" w:name="Tc_RIdEdlSvzk-ngh27pgtDlA_2_2"/>
      <w:bookmarkStart w:id="634" w:name="Tc_774NGjioHU2zHPIFOXAONA_1_2"/>
      <w:bookmarkStart w:id="635" w:name="_4573c8f2_d111_49bd_862c_afbb5d5a0efd"/>
      <w:bookmarkStart w:id="636" w:name="Tc_3QHPgeCE6UqqJ2z-ZK7wGA_11_6"/>
      <w:bookmarkStart w:id="637" w:name="Tc_xVaLDiDNL0CRkWaX7GJRtg_11_0"/>
      <w:bookmarkStart w:id="638" w:name="Tc_PEGmCac5zUW6FDXsjG2puA_10_0"/>
      <w:bookmarkStart w:id="639" w:name="Tc_n5khXjR5Y0CXPQRnJQF1JQ_9_6"/>
      <w:bookmarkStart w:id="640" w:name="Tc_CD2Ii5D65ECjyGQQf6agIw_9_0"/>
      <w:bookmarkStart w:id="641" w:name="Tc_xNQHac-TWUKv9NdGfTKLlQ_8_0"/>
      <w:bookmarkStart w:id="642" w:name="Tc_p9vLIR3hhUW2Uz1qc3eYJg_7_0"/>
      <w:bookmarkStart w:id="643" w:name="Tc_gipLR4UNVkKRf64C7I6XLQ_6_6"/>
      <w:bookmarkStart w:id="644" w:name="Tc_wRjVgnhTCECeXL-Mxw3fGA_6_0"/>
      <w:bookmarkStart w:id="645" w:name="Tc_2Q7u-OyhkEySIOKtUXrWFg_5_5"/>
      <w:bookmarkStart w:id="646" w:name="Tc_R8qGyvHySkmlVFiocbJZ3g_5_2"/>
      <w:bookmarkStart w:id="647" w:name="Tc_TCQb4tmm1ECjeTIFLuS8lQ_5_0"/>
      <w:bookmarkStart w:id="648" w:name="Tc_chqqvaJHHkOJjEMQzyG06A_4_0"/>
      <w:bookmarkStart w:id="649" w:name="Tc_5-WcohIHWkGiFu2AX3ZlgA_3_5"/>
      <w:bookmarkStart w:id="650" w:name="Tc_XD0cmw120k-pAJKYEjpwcg_3_2"/>
      <w:bookmarkStart w:id="651" w:name="Tc_RIdEdlSvzk-ngh27pgtDlA_2_2"/>
      <w:bookmarkStart w:id="652" w:name="Tc_774NGjioHU2zHPIFOXAONA_1_2"/>
      <w:bookmarkStart w:id="653" w:name="_4573c8f2_d111_49bd_862c_afbb5d5a0efd"/>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tbl>
      <w:tblPr>
        <w:tblW w:w="8682" w:type="dxa"/>
        <w:jc w:val="left"/>
        <w:tblInd w:w="0" w:type="dxa"/>
        <w:tblLayout w:type="fixed"/>
        <w:tblCellMar>
          <w:top w:w="0" w:type="dxa"/>
          <w:left w:w="0" w:type="dxa"/>
          <w:bottom w:w="0" w:type="dxa"/>
          <w:right w:w="0" w:type="dxa"/>
        </w:tblCellMar>
      </w:tblPr>
      <w:tblGrid>
        <w:gridCol w:w="6391"/>
        <w:gridCol w:w="326"/>
        <w:gridCol w:w="196"/>
        <w:gridCol w:w="601"/>
        <w:gridCol w:w="326"/>
        <w:gridCol w:w="196"/>
        <w:gridCol w:w="646"/>
      </w:tblGrid>
      <w:tr>
        <w:trPr/>
        <w:tc>
          <w:tcPr>
            <w:tcW w:w="6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4460" cy="175260"/>
                      <wp:effectExtent l="0" t="0" r="0" b="0"/>
                      <wp:wrapNone/>
                      <wp:docPr id="41" name="Frame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81635" cy="175260"/>
                      <wp:effectExtent l="0" t="0" r="0" b="0"/>
                      <wp:wrapNone/>
                      <wp:docPr id="42" name="Frame4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10210" cy="175260"/>
                      <wp:effectExtent l="0" t="0" r="0" b="0"/>
                      <wp:wrapNone/>
                      <wp:docPr id="45" name="Frame4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Supplemental Cash Flow Disclosures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  </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paid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22,339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15,167</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taxes paid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declared, not paid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3,763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3,620</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Supplemental Disclosures of Noncash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  </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 collateral transferred to foreclosed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Right-of-use assets obtained in exchange for new operating lease liabilities,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hedges presented within residential real estate loans and other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54" w:name="NotestoConsolidatedFinancialStatements_5"/>
      <w:bookmarkEnd w:id="654"/>
      <w:r>
        <w:rPr>
          <w:rFonts w:ascii="Times New Roman;Times;serif" w:hAnsi="Times New Roman;Times;serif"/>
          <w:b/>
          <w:sz w:val="20"/>
        </w:rPr>
        <w:t>Alerus Financial Corporation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unaudited consolidated interim financial statements and notes thereto of the Company have been prepared in accordance with instructions for Form 10-Q and, therefore, do not include all disclosures required by accounting principles generally accepted in the United States of America, or GAAP, for complete presentation of financial statements. In the opinion of management, the consolidated financial statements contain all adjustments (consisting only of normal recurring accruals) necessary to present fairly the consolidated balance sheets of Alerus Financial Corporation, or the Company, as of March 31, 2024 and December 31, 2023, the consolidated statements of income for the three months ended March 31, 2024 and 2023, consolidated statements of comprehensive income (loss) for the three months ended March 31, 2024 and 2023, the consolidated statements of changes in stockholders’ equity for the three months ended March 31, 2024 and 2023, and the consolidated statements of cash flows for the three months ended March 31, 2024 and 2023.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unaudited consolidated financial statements include the accounts of the Company and its wholly owned subsidiaries. The Company’s principal operating subsidiary is the Bank. Certain items previously reported have been reclassified to conform to the current period’s reporting format. Such reclassifications did not affect net income or stockholders’ equity. The results of operations for the interim periods are not necessarily indicative of the results for the full year or any other period. The Company has also evaluated all subsequent events for potential recognition and disclosure through the date of the filing of this Quarterly Report on Form 10-Q. These interim unaudited financial statements should be read in conjunction with the audited consolidated financial statements and the notes thereto as of and for the year ended December 31, 2023, included in the Company’s Annual Report on Form 10-K filed with the SEC on March 8,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Emerging Growth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qualifies as an “emerging growth company” under the Jumpstart Our Business Startups Act of 2012, or the JOBS Act, and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periodic reports and proxy statements, and exemptions from the requirements of holding a nonbinding advisory vote on executive compensation and stockholder approval of any golden parachute payments not previously approved. In addition, even if the Company complies with the greater obligations of public companies that are not emerging growth companies, the Company may avail itself of the reduced requirements applicable to emerging growth companies from time to time in the future, so long as the Company is an emerging growth company. The Company will continue to be an emerging growth company until the earliest to occur of: (1) the end of the fiscal year following the fifth anniversary of the date of the first sale of common equity securities under the Company’s Registration Statement on Form S-1, which was declared effective by the U.S. Securities and Exchange Commission, or SEC, on September 12, 2019; (2) the last day of the fiscal year in which the Company has $1.235 billion or more in annual revenues; (3) the date on which the Company is deemed to be a “large accelerated filer” under the Securities Exchange Act of 1934, as amended, or the Exchange Act; or (4) the date on which the Company has, during the previous three-year period, issued publicly or privately, more than $1.0 billion in non-convertible debt securities. Management cannot predict if investors will find the Company’s common stock less attractive because it will rely on the exemptions available to emerging growth companies. If some investors find the Company’s common stock less attractive as a result, there may be a less active trading market for its common stock and the Company’s stock price may be more volatile. The last year the Company qualifies as an emerging growth company is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Section 107 of the JOBS Act provides that an emerging growth company can take advantage of the extended transition period provided in Section 7(a)(2)(B) of the Securities Act of 1933 for complying with new or revised accounting standards. As an emerging growth company, the Company can delay the adoption of certain accounting standards until those standards would otherwise apply to private companies. The Company elected to take advantage of the benefits of this extended transition period.</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Financial Accounting Standards Board, or FASB, Accounting Standards Updates, or ASUs, are divided into pronouncements which have been adopted by the Company since January 1, 2024, and those which are not yet effective and have been evaluated or are currently being evaluated by management as of March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Adopted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new ASUs adopted by the Company since January 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Pronouncements Not Yet Effective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2023, the FASB issued guidance within ASU 2023-07, Segment Reporting (Topic 280). The amendments in this update are intended to improve reportable segment disclosure requirements, primarily through enhanced disclosures related to significant segment expenses. The amendments do not change how an entity identifies its operating segments, aggregates those operating segments, or applies the quantitative thresholds to determine its reportable segments, and all existing segment disclosure requirements in ASC 280 and other Codification topics remain unchanged. The amendments in this update are incremental and require public entities that report segment information to disclose, on an annual and interim basis, significant segment expenses that are regularly provided to the chief operating decision maker and included within each reported measure of segment profit or loss as well as other segment items. Annual disclosure of the title and position of the chief operating decision maker and how the reported measures of segment profit or loss are used to assess performance and allocation of resources is also required.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amendments in this update are effective for fiscal years beginning after December 15, 2023, and interim periods within fiscal years beginning after December 15, 2024 and are applied on a retrospective basis. The Company is currently evaluating the impact these amendments will have on its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The amendments in this ASU related to the rate reconciliation and income taxes paid disclosures, to improve the transparency of income tax disclosures by requiring consistent categories and greater disaggregation of information in the rate reconciliation and income taxes paid disaggregated by jurisdiction disclosures. The amendments allow investors to better assess, in their capital allocation decisions, how an entity’s worldwide operations and related tax risks and tax planning and operational opportunities affect its income tax rate and prospects for future cash flows. The other amendments in this ASU improve the effectiveness and comparability of disclosures by adding disclosures of pretax income (or loss) and income tax expense (or benefit) to be consistent with U.S. Securities and Exchange Commission (“SEC”) Regulation S-X 210.4-08(h), Rules of General Application—General Notes to Financial Statements: Income Tax Expense, and removing disclosures that no longer are considered cost beneficial or relevant. For public business entities, the amendments in this ASU are effective for annual periods beginning after December 15, 2024. Early adoption is permitted for annual financial statements that have not yet been issued or made available for issuance. The amendments in this ASU should be applied on a prospective basis. Retrospective application is also permitted.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55" w:name="Tc_IaXnIaUnUUSogqukr64yFQ_17_14"/>
      <w:bookmarkStart w:id="656" w:name="Tc_np1PSCnIVEKHlpyT9ok7vw_17_11"/>
      <w:bookmarkStart w:id="657" w:name="Tc_u2le7_9VT06e6d2x2a6yxg_17_8"/>
      <w:bookmarkStart w:id="658" w:name="Tc_21AqBQU7jkSwzoRbvPsfhQ_17_5"/>
      <w:bookmarkStart w:id="659" w:name="Tc_C5y_KjjgsUiKMlKnDLlDTA_17_2"/>
      <w:bookmarkStart w:id="660" w:name="Tc_pbWjEJPfik2iCTpAISum1Q_17_0"/>
      <w:bookmarkStart w:id="661" w:name="Tc_L0NkCI8_cUiczm60yfzDvQ_16_6"/>
      <w:bookmarkStart w:id="662" w:name="Tc_hqCayCI3yEai2UKqPGOWIw_16_0"/>
      <w:bookmarkStart w:id="663" w:name="Tc_GO96B90sME6o7DSyibLUvA_15_6"/>
      <w:bookmarkStart w:id="664" w:name="Tc_IlvzYYcdiE-LziAkoBOHlg_15_0"/>
      <w:bookmarkStart w:id="665" w:name="Tc_PnvKtsr10ESLUNqZvjBsKw_14_0"/>
      <w:bookmarkStart w:id="666" w:name="Tc_7eFYKVne9Eyj-7eXR0Fw1g_13_6"/>
      <w:bookmarkStart w:id="667" w:name="Tc_V5ocmRzVz0WEbcv11thfig_13_0"/>
      <w:bookmarkStart w:id="668" w:name="Tc_QJI6zhg2iEC1QpB9TIhjZA_12_0"/>
      <w:bookmarkStart w:id="669" w:name="Tc_lPockSh1vkijYgzz395flQ_11_12"/>
      <w:bookmarkStart w:id="670" w:name="Tc_e9iMo3zshUej6uocg2GR-g_11_0"/>
      <w:bookmarkStart w:id="671" w:name="Tc_lPET1JWjPEyPMKpUrFUscQ_10_12"/>
      <w:bookmarkStart w:id="672" w:name="Tc_1MYgNFG69UOUQo1vOJD4sA_10_6"/>
      <w:bookmarkStart w:id="673" w:name="Tc_Bfy8Vr3CSk-3SSXr7-d4Hg_10_0"/>
      <w:bookmarkStart w:id="674" w:name="Tc_p-7D4ByKg0CnZMkEsWZXSw_9_12"/>
      <w:bookmarkStart w:id="675" w:name="Tc_zz_9mkVh2UKLZx2TCv2wow_9_6"/>
      <w:bookmarkStart w:id="676" w:name="Tc_RJcPSvYw7EmchksuFX7z5Q_9_0"/>
      <w:bookmarkStart w:id="677" w:name="Tc_rRafCtLWcEGMyLoCqgM70A_8_12"/>
      <w:bookmarkStart w:id="678" w:name="Tc_JcWFF67pq0yeJ7_oVcc0cA_8_6"/>
      <w:bookmarkStart w:id="679" w:name="Tc_Csg8qDduB0awt1uDIuQvQg_8_0"/>
      <w:bookmarkStart w:id="680" w:name="Tc_e9jos2XKsEWqCC9bLhxvBw_7_12"/>
      <w:bookmarkStart w:id="681" w:name="Tc_IP2Xt9wpT0u26mzRJNl8Rw_7_0"/>
      <w:bookmarkStart w:id="682" w:name="Tc_cfFdGZcH0E61C96K2ZD59w_6_0"/>
      <w:bookmarkStart w:id="683" w:name="Tc_LMX-FKrbRUWTD-HOv9c6Xw_5_14"/>
      <w:bookmarkStart w:id="684" w:name="Tc_9BT0TlAfpUmdzCO8SOMsig_5_12"/>
      <w:bookmarkStart w:id="685" w:name="Tc_n35PAk3smk2ly5VrCzvsoA_5_8"/>
      <w:bookmarkStart w:id="686" w:name="Tc_cKnY7VSYzUyayHrAps4AVA_5_5"/>
      <w:bookmarkStart w:id="687" w:name="Tc_8Kf2jO0HqUWMwmnZta-8iw_5_2"/>
      <w:bookmarkStart w:id="688" w:name="Tc_GNTZDnAe50qlRPEp2utSVw_5_0"/>
      <w:bookmarkStart w:id="689" w:name="Tc_or64PBCYXUiKWysgOMrSxQ_4_0"/>
      <w:bookmarkStart w:id="690" w:name="Tc_0SZPzmwPM0e50eXRYB3kjA_3_14"/>
      <w:bookmarkStart w:id="691" w:name="Tc_meQsSoz100a-A_JPB5NOGQ_3_11"/>
      <w:bookmarkStart w:id="692" w:name="Tc_RpXain468E25vdbgBu_Qew_3_8"/>
      <w:bookmarkStart w:id="693" w:name="Tc_sDJ7h4GqfEWHo_0L0gSI6A_3_5"/>
      <w:bookmarkStart w:id="694" w:name="Tc_MzDBYcH4Lk23RPlmrvq3GQ_3_2"/>
      <w:bookmarkStart w:id="695" w:name="Tc_IasyCSjgvEOR5IHhFTb9Gg_3_0"/>
      <w:bookmarkStart w:id="696" w:name="Tc_cMwcm6XlFUO-YsXV6KqBVw_2_14"/>
      <w:bookmarkStart w:id="697" w:name="Tc_qb0YLJqtDEazvouJ5aGlPw_2_11"/>
      <w:bookmarkStart w:id="698" w:name="Tc_1Ma_JjXKikC0mks-23WuPQ_2_8"/>
      <w:bookmarkStart w:id="699" w:name="Tc_uffIjO0V8EionLJg0wGR8Q_2_5"/>
      <w:bookmarkStart w:id="700" w:name="Tc_Q6v51k5yqEqD75CcEH0xrw_2_2"/>
      <w:bookmarkStart w:id="701" w:name="Tc_MZDA-2H1_k2p3-pDJWljYA_1_2"/>
      <w:bookmarkStart w:id="702" w:name="_803cad1d_0480_4a36_883e_804a1a46ce3b"/>
      <w:bookmarkStart w:id="703" w:name="Tc_sxC-5YsvMkm7y93fuG3ljw_17_14"/>
      <w:bookmarkStart w:id="704" w:name="Tc_S3xnqsNMbkqGIQ-Mj08yCw_17_11"/>
      <w:bookmarkStart w:id="705" w:name="Tc_w_0rZXyn5kCwIkZcQw5h-A_17_8"/>
      <w:bookmarkStart w:id="706" w:name="Tc_eNmpQyRS0EeZlETn63Sj8g_17_5"/>
      <w:bookmarkStart w:id="707" w:name="Tc_vKsGy7O4RkSysjJ8K52_Nw_17_2"/>
      <w:bookmarkStart w:id="708" w:name="Tc_TZnthau1EU-jIMt_jSatbw_17_0"/>
      <w:bookmarkStart w:id="709" w:name="Tc_l1BUjlvr8kaNridsHrdJ2A_16_6"/>
      <w:bookmarkStart w:id="710" w:name="Tc_F25GSYzcNEq7RpieDCES2w_16_0"/>
      <w:bookmarkStart w:id="711" w:name="Tc_laFj-UEvGUWUw3INxGxy5Q_15_6"/>
      <w:bookmarkStart w:id="712" w:name="Tc_dDEjLKSld0-AJXpnxW6ZPA_15_0"/>
      <w:bookmarkStart w:id="713" w:name="Tc_p1JUyxtzX0iyqjz_EQIB_g_14_0"/>
      <w:bookmarkStart w:id="714" w:name="Tc_KxSBxRVXwki-DfYGYnsjaA_13_6"/>
      <w:bookmarkStart w:id="715" w:name="Tc_LvYUMMKRlU-iGO1vpBapwA_13_0"/>
      <w:bookmarkStart w:id="716" w:name="Tc_wnrtrMlDkkGbwYQwvL6wtQ_12_0"/>
      <w:bookmarkStart w:id="717" w:name="Tc_z5JcG56B6U2muwXE4HtyIw_11_12"/>
      <w:bookmarkStart w:id="718" w:name="Tc_VVW3PumkhUOY3hvGm-5RGg_11_0"/>
      <w:bookmarkStart w:id="719" w:name="Tc_1uDtGR5DdEix8X_aRzbYQA_10_12"/>
      <w:bookmarkStart w:id="720" w:name="Tc_yI3XoLw9qE2siUCZwv-AUQ_10_6"/>
      <w:bookmarkStart w:id="721" w:name="Tc_WTFkfCPWtEWCFMeUrdFyqA_10_0"/>
      <w:bookmarkStart w:id="722" w:name="Tc_bUCyyv4kh0GnRkfqxCNU2Q_9_12"/>
      <w:bookmarkStart w:id="723" w:name="Tc_sA17GIrD7Uu_eaRVnq1MNw_9_6"/>
      <w:bookmarkStart w:id="724" w:name="Tc_C84UVlwC4UmUAVq0gALRgg_9_0"/>
      <w:bookmarkStart w:id="725" w:name="Tc_GHTVk8l0qUGPAnumZ_oOIQ_8_12"/>
      <w:bookmarkStart w:id="726" w:name="Tc_1F35jgqUtEeSr9uUCKYaeg_8_6"/>
      <w:bookmarkStart w:id="727" w:name="Tc_692HnS9ceEqiNFFuhNs00Q_8_0"/>
      <w:bookmarkStart w:id="728" w:name="Tc_sio-hTOGaE-RwwBF7vTJLQ_7_12"/>
      <w:bookmarkStart w:id="729" w:name="Tc_UZzSFcuAtEqDCStmEZEQXQ_7_6"/>
      <w:bookmarkStart w:id="730" w:name="Tc_H_1xex3azE6d21RFLSJlPA_7_0"/>
      <w:bookmarkStart w:id="731" w:name="Tc_ndxVbb6310uVpSBp3oYN4Q_6_0"/>
      <w:bookmarkStart w:id="732" w:name="Tc_G3viHKnL-0yUvYz2Hnbw2Q_5_14"/>
      <w:bookmarkStart w:id="733" w:name="Tc_zQIhAF9vOUKBKypfGFObfQ_5_12"/>
      <w:bookmarkStart w:id="734" w:name="Tc_vSsdjUgJRkKTsmuwTn5xPQ_5_11"/>
      <w:bookmarkStart w:id="735" w:name="Tc_erLfuH_ykkqcTSyGItE-Aw_5_8"/>
      <w:bookmarkStart w:id="736" w:name="Tc_Dyiki9OXrEurBRpvujm15Q_5_5"/>
      <w:bookmarkStart w:id="737" w:name="Tc_KoRbaYbJZ0yM0CMvFp_myQ_5_2"/>
      <w:bookmarkStart w:id="738" w:name="Tc_MG5sPpGFtk-IAloV2tVCkQ_5_0"/>
      <w:bookmarkStart w:id="739" w:name="Tc_nkBiYe7QOEK74N82ziilmA_4_0"/>
      <w:bookmarkStart w:id="740" w:name="Tc_mirBoCBmF0uWuhZ1AQTVQA_3_14"/>
      <w:bookmarkStart w:id="741" w:name="Tc_hqQqiYiLd0OSzblN5WgYmQ_3_11"/>
      <w:bookmarkStart w:id="742" w:name="Tc_VLfY5j6VGkmZoXnUpV25uQ_3_8"/>
      <w:bookmarkStart w:id="743" w:name="Tc_dF0nypwbfk6hC5rhA6JXkg_3_5"/>
      <w:bookmarkStart w:id="744" w:name="Tc_cKDIiM8j0UWP9JheJFEsmA_3_2"/>
      <w:bookmarkStart w:id="745" w:name="Tc_ZzhYhz36d0eREfF_GANLyg_3_0"/>
      <w:bookmarkStart w:id="746" w:name="Tc_xVoORsHtK0qxaeycdrHyLw_2_14"/>
      <w:bookmarkStart w:id="747" w:name="Tc_c8sIZnJjJ0-ZwNMGLXylIQ_2_11"/>
      <w:bookmarkStart w:id="748" w:name="Tc_9UagC72ezEqSgbkaLUQZ0g_2_8"/>
      <w:bookmarkStart w:id="749" w:name="Tc_9uES8GqPqkG7d5_wrhRfvA_2_5"/>
      <w:bookmarkStart w:id="750" w:name="Tc_iCdP1pr5a0CM-VbZpkAoCg_2_2"/>
      <w:bookmarkStart w:id="751" w:name="Tc_N2UoUk144EKQb-zX30xZxg_1_2"/>
      <w:bookmarkStart w:id="752" w:name="_d23aa246_10a5_4e7e_b976_d9aba9ea7485"/>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r>
        <w:rPr>
          <w:rFonts w:ascii="Times New Roman;Times;serif" w:hAnsi="Times New Roman;Times;serif"/>
          <w:b/>
          <w:sz w:val="20"/>
        </w:rPr>
        <w:t>NOTE 3 Investment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Trading securities are reported on the Company’s consolidated balance sheet at fair value. As of March 31, 2024, the fair value of the Company’s trading securities was $4.6 million. There were no trading securities as of December 31, 2023. Changes in fair value of trading securities are recorded in other noninterest income on the Company’s consolidated statements of income. These securities are held in a rabbi trust account and invested in mutual funds. The trading securities will be used for future payments associated with the Company’s deferred compensation plan for eligible employees, executives, and directors.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present amortized cost, gross unrealized gains and losses, allowance for credit losses, or ACL, and fair value of the available-for-sale, or AFS, investment securities and the amortized cost, gross unrealized gains and losses and fair value of held-to-maturity, or HTM, securities as of March 31, 2024 and December 31, 2023:</w:t>
      </w:r>
    </w:p>
    <w:p>
      <w:pPr>
        <w:pStyle w:val="TextBody"/>
        <w:bidi w:val="0"/>
        <w:spacing w:before="0" w:after="0"/>
        <w:ind w:left="0" w:right="0" w:hanging="0"/>
        <w:jc w:val="left"/>
        <w:rPr/>
      </w:pPr>
      <w:r>
        <w:rPr/>
        <w:t>​</w:t>
      </w:r>
    </w:p>
    <w:tbl>
      <w:tblPr>
        <w:tblW w:w="9132" w:type="dxa"/>
        <w:jc w:val="left"/>
        <w:tblInd w:w="0" w:type="dxa"/>
        <w:tblLayout w:type="fixed"/>
        <w:tblCellMar>
          <w:top w:w="0" w:type="dxa"/>
          <w:left w:w="0" w:type="dxa"/>
          <w:bottom w:w="0" w:type="dxa"/>
          <w:right w:w="0" w:type="dxa"/>
        </w:tblCellMar>
      </w:tblPr>
      <w:tblGrid>
        <w:gridCol w:w="3256"/>
        <w:gridCol w:w="326"/>
        <w:gridCol w:w="196"/>
        <w:gridCol w:w="691"/>
        <w:gridCol w:w="109"/>
        <w:gridCol w:w="320"/>
        <w:gridCol w:w="566"/>
        <w:gridCol w:w="109"/>
        <w:gridCol w:w="196"/>
        <w:gridCol w:w="811"/>
        <w:gridCol w:w="109"/>
        <w:gridCol w:w="385"/>
        <w:gridCol w:w="740"/>
        <w:gridCol w:w="326"/>
        <w:gridCol w:w="196"/>
        <w:gridCol w:w="796"/>
      </w:tblGrid>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47"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38785" cy="175260"/>
                      <wp:effectExtent l="0" t="0" r="0" b="0"/>
                      <wp:wrapNone/>
                      <wp:docPr id="48" name="Frame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3200" cy="175260"/>
                      <wp:effectExtent l="0" t="0" r="0" b="0"/>
                      <wp:wrapNone/>
                      <wp:docPr id="50" name="Frame50"/>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59410" cy="175260"/>
                      <wp:effectExtent l="0" t="0" r="0" b="0"/>
                      <wp:wrapNone/>
                      <wp:docPr id="51" name="Frame51"/>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53"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14985" cy="175260"/>
                      <wp:effectExtent l="0" t="0" r="0" b="0"/>
                      <wp:wrapNone/>
                      <wp:docPr id="54" name="Frame5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44475" cy="175260"/>
                      <wp:effectExtent l="0" t="0" r="0" b="0"/>
                      <wp:wrapNone/>
                      <wp:docPr id="56" name="Frame56"/>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69900" cy="175260"/>
                      <wp:effectExtent l="0" t="0" r="0" b="0"/>
                      <wp:wrapNone/>
                      <wp:docPr id="57" name="Frame57"/>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24460" cy="175260"/>
                      <wp:effectExtent l="0" t="0" r="0" b="0"/>
                      <wp:wrapNone/>
                      <wp:docPr id="59" name="Frame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05460" cy="175260"/>
                      <wp:effectExtent l="0" t="0" r="0" b="0"/>
                      <wp:wrapNone/>
                      <wp:docPr id="60" name="Frame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55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 for</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0"/>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 Losses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Available-for-sale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20" w:type="dxa"/>
            <w:tcBorders/>
            <w:shd w:fill="CCEEFF" w:val="clear"/>
            <w:vAlign w:val="center"/>
          </w:tcPr>
          <w:p>
            <w:pPr>
              <w:pStyle w:val="TableContents"/>
              <w:bidi w:val="0"/>
              <w:spacing w:before="0" w:after="0"/>
              <w:ind w:left="0" w:right="0" w:hanging="0"/>
              <w:jc w:val="center"/>
              <w:rPr/>
            </w:pPr>
            <w:r>
              <w:rPr/>
              <w:t>​</w:t>
            </w:r>
          </w:p>
        </w:tc>
        <w:tc>
          <w:tcPr>
            <w:tcW w:w="5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85" w:type="dxa"/>
            <w:tcBorders/>
            <w:shd w:fill="CCEEFF" w:val="clear"/>
            <w:vAlign w:val="center"/>
          </w:tcPr>
          <w:p>
            <w:pPr>
              <w:pStyle w:val="TableContents"/>
              <w:bidi w:val="0"/>
              <w:spacing w:before="0" w:after="0"/>
              <w:ind w:left="0" w:right="0" w:hanging="0"/>
              <w:jc w:val="center"/>
              <w:rPr/>
            </w:pPr>
            <w:r>
              <w:rPr/>
              <w:t>​</w:t>
            </w:r>
          </w:p>
        </w:tc>
        <w:tc>
          <w:tcPr>
            <w:tcW w:w="74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U.S. Treasury and agencies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839</w:t>
            </w:r>
          </w:p>
        </w:tc>
        <w:tc>
          <w:tcPr>
            <w:tcW w:w="109"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 backed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agency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513,409</w:t>
            </w:r>
          </w:p>
        </w:tc>
        <w:tc>
          <w:tcPr>
            <w:tcW w:w="109"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(92,516)</w:t>
            </w:r>
          </w:p>
        </w:tc>
        <w:tc>
          <w:tcPr>
            <w:tcW w:w="109"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420,893</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1,471</w:t>
            </w:r>
          </w:p>
        </w:tc>
        <w:tc>
          <w:tcPr>
            <w:tcW w:w="109"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109"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1,351</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 backed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109"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57,991</w:t>
            </w:r>
          </w:p>
        </w:tc>
        <w:tc>
          <w:tcPr>
            <w:tcW w:w="109" w:type="dxa"/>
            <w:tcBorders/>
            <w:shd w:fill="CCEEFF" w:val="clear"/>
            <w:vAlign w:val="center"/>
          </w:tcPr>
          <w:p>
            <w:pPr>
              <w:pStyle w:val="TableContents"/>
              <w:bidi w:val="0"/>
              <w:spacing w:before="0" w:after="0"/>
              <w:ind w:left="0" w:right="0" w:hanging="0"/>
              <w:jc w:val="righ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(8,823)</w:t>
            </w:r>
          </w:p>
        </w:tc>
        <w:tc>
          <w:tcPr>
            <w:tcW w:w="109" w:type="dxa"/>
            <w:tcBorders/>
            <w:shd w:fill="CCEEFF" w:val="clear"/>
            <w:vAlign w:val="center"/>
          </w:tcPr>
          <w:p>
            <w:pPr>
              <w:pStyle w:val="TableContents"/>
              <w:bidi w:val="0"/>
              <w:spacing w:before="0" w:after="0"/>
              <w:ind w:left="0" w:right="0" w:hanging="0"/>
              <w:jc w:val="righ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49,168</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available-for-sale investment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573,733</w:t>
            </w:r>
          </w:p>
        </w:tc>
        <w:tc>
          <w:tcPr>
            <w:tcW w:w="109"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(101,463)</w:t>
            </w:r>
          </w:p>
        </w:tc>
        <w:tc>
          <w:tcPr>
            <w:tcW w:w="109"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472,272</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Held-to-maturity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of state and political agencies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124,971</w:t>
            </w:r>
          </w:p>
        </w:tc>
        <w:tc>
          <w:tcPr>
            <w:tcW w:w="109"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(12,985)</w:t>
            </w:r>
          </w:p>
        </w:tc>
        <w:tc>
          <w:tcPr>
            <w:tcW w:w="109"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111,986</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 backed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agency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167,168</w:t>
            </w:r>
          </w:p>
        </w:tc>
        <w:tc>
          <w:tcPr>
            <w:tcW w:w="109" w:type="dxa"/>
            <w:tcBorders/>
            <w:vAlign w:val="center"/>
          </w:tcPr>
          <w:p>
            <w:pPr>
              <w:pStyle w:val="TableContents"/>
              <w:bidi w:val="0"/>
              <w:spacing w:before="0" w:after="0"/>
              <w:ind w:left="0" w:right="0" w:hanging="0"/>
              <w:jc w:val="righ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(29,347)</w:t>
            </w:r>
          </w:p>
        </w:tc>
        <w:tc>
          <w:tcPr>
            <w:tcW w:w="109" w:type="dxa"/>
            <w:tcBorders/>
            <w:vAlign w:val="center"/>
          </w:tcPr>
          <w:p>
            <w:pPr>
              <w:pStyle w:val="TableContents"/>
              <w:bidi w:val="0"/>
              <w:spacing w:before="0" w:after="0"/>
              <w:ind w:left="0" w:right="0" w:hanging="0"/>
              <w:jc w:val="right"/>
              <w:rPr/>
            </w:pPr>
            <w:r>
              <w:rPr/>
              <w:t>​</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137,821</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held-to-maturity investment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292,139</w:t>
            </w:r>
          </w:p>
        </w:tc>
        <w:tc>
          <w:tcPr>
            <w:tcW w:w="109" w:type="dxa"/>
            <w:tcBorders/>
            <w:shd w:fill="CCEEFF" w:val="clear"/>
            <w:vAlign w:val="center"/>
          </w:tcPr>
          <w:p>
            <w:pPr>
              <w:pStyle w:val="TableContents"/>
              <w:bidi w:val="0"/>
              <w:spacing w:before="0" w:after="0"/>
              <w:ind w:left="0" w:right="0" w:hanging="0"/>
              <w:jc w:val="righ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(42,332)</w:t>
            </w:r>
          </w:p>
        </w:tc>
        <w:tc>
          <w:tcPr>
            <w:tcW w:w="109" w:type="dxa"/>
            <w:tcBorders/>
            <w:shd w:fill="CCEEFF" w:val="clear"/>
            <w:vAlign w:val="center"/>
          </w:tcPr>
          <w:p>
            <w:pPr>
              <w:pStyle w:val="TableContents"/>
              <w:bidi w:val="0"/>
              <w:spacing w:before="0" w:after="0"/>
              <w:ind w:left="0" w:right="0" w:hanging="0"/>
              <w:jc w:val="righ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249,807</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investment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865,872</w:t>
            </w:r>
          </w:p>
        </w:tc>
        <w:tc>
          <w:tcPr>
            <w:tcW w:w="109" w:type="dxa"/>
            <w:tcBorders/>
            <w:vAlign w:val="center"/>
          </w:tcPr>
          <w:p>
            <w:pPr>
              <w:pStyle w:val="TableContents"/>
              <w:bidi w:val="0"/>
              <w:spacing w:before="0" w:after="0"/>
              <w:ind w:left="0" w:right="0" w:hanging="0"/>
              <w:jc w:val="righ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(143,795)</w:t>
            </w:r>
          </w:p>
        </w:tc>
        <w:tc>
          <w:tcPr>
            <w:tcW w:w="109" w:type="dxa"/>
            <w:tcBorders/>
            <w:vAlign w:val="center"/>
          </w:tcPr>
          <w:p>
            <w:pPr>
              <w:pStyle w:val="TableContents"/>
              <w:bidi w:val="0"/>
              <w:spacing w:before="0" w:after="0"/>
              <w:ind w:left="0" w:right="0" w:hanging="0"/>
              <w:jc w:val="right"/>
              <w:rPr/>
            </w:pPr>
            <w:r>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722,079</w:t>
            </w:r>
          </w:p>
        </w:tc>
      </w:tr>
    </w:tbl>
    <w:p>
      <w:pPr>
        <w:pStyle w:val="TextBody"/>
        <w:bidi w:val="0"/>
        <w:spacing w:before="0" w:after="0"/>
        <w:ind w:left="0" w:right="0" w:hanging="0"/>
        <w:jc w:val="left"/>
        <w:rPr/>
      </w:pPr>
      <w:r>
        <w:rPr/>
        <w:t>​</w:t>
      </w:r>
    </w:p>
    <w:tbl>
      <w:tblPr>
        <w:tblW w:w="9132" w:type="dxa"/>
        <w:jc w:val="left"/>
        <w:tblInd w:w="0" w:type="dxa"/>
        <w:tblLayout w:type="fixed"/>
        <w:tblCellMar>
          <w:top w:w="0" w:type="dxa"/>
          <w:left w:w="0" w:type="dxa"/>
          <w:bottom w:w="0" w:type="dxa"/>
          <w:right w:w="0" w:type="dxa"/>
        </w:tblCellMar>
      </w:tblPr>
      <w:tblGrid>
        <w:gridCol w:w="3256"/>
        <w:gridCol w:w="326"/>
        <w:gridCol w:w="196"/>
        <w:gridCol w:w="691"/>
        <w:gridCol w:w="109"/>
        <w:gridCol w:w="320"/>
        <w:gridCol w:w="566"/>
        <w:gridCol w:w="109"/>
        <w:gridCol w:w="196"/>
        <w:gridCol w:w="811"/>
        <w:gridCol w:w="109"/>
        <w:gridCol w:w="385"/>
        <w:gridCol w:w="740"/>
        <w:gridCol w:w="326"/>
        <w:gridCol w:w="196"/>
        <w:gridCol w:w="796"/>
      </w:tblGrid>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38785" cy="175260"/>
                      <wp:effectExtent l="0" t="0" r="0" b="0"/>
                      <wp:wrapNone/>
                      <wp:docPr id="63" name="Frame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3200" cy="175260"/>
                      <wp:effectExtent l="0" t="0" r="0" b="0"/>
                      <wp:wrapNone/>
                      <wp:docPr id="65" name="Frame65"/>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59410" cy="175260"/>
                      <wp:effectExtent l="0" t="0" r="0" b="0"/>
                      <wp:wrapNone/>
                      <wp:docPr id="66" name="Frame66"/>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14985" cy="175260"/>
                      <wp:effectExtent l="0" t="0" r="0" b="0"/>
                      <wp:wrapNone/>
                      <wp:docPr id="69" name="Frame6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44475" cy="175260"/>
                      <wp:effectExtent l="0" t="0" r="0" b="0"/>
                      <wp:wrapNone/>
                      <wp:docPr id="71" name="Frame71"/>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69900" cy="175260"/>
                      <wp:effectExtent l="0" t="0" r="0" b="0"/>
                      <wp:wrapNone/>
                      <wp:docPr id="72" name="Frame72"/>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4"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05460" cy="175260"/>
                      <wp:effectExtent l="0" t="0" r="0" b="0"/>
                      <wp:wrapNone/>
                      <wp:docPr id="75" name="Frame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55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 for</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0"/>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 Losses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Available-for-sale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20" w:type="dxa"/>
            <w:tcBorders/>
            <w:shd w:fill="CCEEFF" w:val="clear"/>
            <w:vAlign w:val="center"/>
          </w:tcPr>
          <w:p>
            <w:pPr>
              <w:pStyle w:val="TableContents"/>
              <w:bidi w:val="0"/>
              <w:spacing w:before="0" w:after="0"/>
              <w:ind w:left="0" w:right="0" w:hanging="0"/>
              <w:jc w:val="center"/>
              <w:rPr/>
            </w:pPr>
            <w:r>
              <w:rPr/>
              <w:t>​</w:t>
            </w:r>
          </w:p>
        </w:tc>
        <w:tc>
          <w:tcPr>
            <w:tcW w:w="5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85" w:type="dxa"/>
            <w:tcBorders/>
            <w:shd w:fill="CCEEFF" w:val="clear"/>
            <w:vAlign w:val="center"/>
          </w:tcPr>
          <w:p>
            <w:pPr>
              <w:pStyle w:val="TableContents"/>
              <w:bidi w:val="0"/>
              <w:spacing w:before="0" w:after="0"/>
              <w:ind w:left="0" w:right="0" w:hanging="0"/>
              <w:jc w:val="center"/>
              <w:rPr/>
            </w:pPr>
            <w:r>
              <w:rPr/>
              <w:t>​</w:t>
            </w:r>
          </w:p>
        </w:tc>
        <w:tc>
          <w:tcPr>
            <w:tcW w:w="74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U.S. Treasury and agencies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1,119</w:t>
            </w:r>
          </w:p>
        </w:tc>
        <w:tc>
          <w:tcPr>
            <w:tcW w:w="109"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right"/>
              <w:rPr/>
            </w:pPr>
            <w:r>
              <w:rPr/>
              <w:t>​</w:t>
            </w:r>
          </w:p>
        </w:tc>
        <w:tc>
          <w:tcPr>
            <w:tcW w:w="7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1,120</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 backed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7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agency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524,140</w:t>
            </w:r>
          </w:p>
        </w:tc>
        <w:tc>
          <w:tcPr>
            <w:tcW w:w="109"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(88,547)</w:t>
            </w:r>
          </w:p>
        </w:tc>
        <w:tc>
          <w:tcPr>
            <w:tcW w:w="109"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right"/>
              <w:rPr/>
            </w:pPr>
            <w:r>
              <w:rPr/>
              <w:t>​</w:t>
            </w:r>
          </w:p>
        </w:tc>
        <w:tc>
          <w:tcPr>
            <w:tcW w:w="7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435,594</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1,476</w:t>
            </w:r>
          </w:p>
        </w:tc>
        <w:tc>
          <w:tcPr>
            <w:tcW w:w="109"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109"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7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1,353</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 backed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109"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right"/>
              <w:rPr/>
            </w:pPr>
            <w:r>
              <w:rPr/>
              <w:t>​</w:t>
            </w:r>
          </w:p>
        </w:tc>
        <w:tc>
          <w:tcPr>
            <w:tcW w:w="7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57,993</w:t>
            </w:r>
          </w:p>
        </w:tc>
        <w:tc>
          <w:tcPr>
            <w:tcW w:w="109" w:type="dxa"/>
            <w:tcBorders/>
            <w:shd w:fill="CCEEFF" w:val="clear"/>
            <w:vAlign w:val="center"/>
          </w:tcPr>
          <w:p>
            <w:pPr>
              <w:pStyle w:val="TableContents"/>
              <w:bidi w:val="0"/>
              <w:spacing w:before="0" w:after="0"/>
              <w:ind w:left="0" w:right="0" w:hanging="0"/>
              <w:jc w:val="righ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(9,349)</w:t>
            </w:r>
          </w:p>
        </w:tc>
        <w:tc>
          <w:tcPr>
            <w:tcW w:w="109" w:type="dxa"/>
            <w:tcBorders/>
            <w:shd w:fill="CCEEFF" w:val="clear"/>
            <w:vAlign w:val="center"/>
          </w:tcPr>
          <w:p>
            <w:pPr>
              <w:pStyle w:val="TableContents"/>
              <w:bidi w:val="0"/>
              <w:spacing w:before="0" w:after="0"/>
              <w:ind w:left="0" w:right="0" w:hanging="0"/>
              <w:jc w:val="righ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48,644</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available-for-sale investment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584,754</w:t>
            </w:r>
          </w:p>
        </w:tc>
        <w:tc>
          <w:tcPr>
            <w:tcW w:w="109"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(98,023)</w:t>
            </w:r>
          </w:p>
        </w:tc>
        <w:tc>
          <w:tcPr>
            <w:tcW w:w="109"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right"/>
              <w:rPr/>
            </w:pPr>
            <w:r>
              <w:rPr/>
              <w:t>​</w:t>
            </w:r>
          </w:p>
        </w:tc>
        <w:tc>
          <w:tcPr>
            <w:tcW w:w="74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486,736</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Held-to-maturity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7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of state and political agencies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129,603</w:t>
            </w:r>
          </w:p>
        </w:tc>
        <w:tc>
          <w:tcPr>
            <w:tcW w:w="109"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(12,613)</w:t>
            </w:r>
          </w:p>
        </w:tc>
        <w:tc>
          <w:tcPr>
            <w:tcW w:w="109"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righ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116,990</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 backed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7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agency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170,125</w:t>
            </w:r>
          </w:p>
        </w:tc>
        <w:tc>
          <w:tcPr>
            <w:tcW w:w="109" w:type="dxa"/>
            <w:tcBorders/>
            <w:vAlign w:val="center"/>
          </w:tcPr>
          <w:p>
            <w:pPr>
              <w:pStyle w:val="TableContents"/>
              <w:bidi w:val="0"/>
              <w:spacing w:before="0" w:after="0"/>
              <w:ind w:left="0" w:right="0" w:hanging="0"/>
              <w:jc w:val="righ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(28,498)</w:t>
            </w:r>
          </w:p>
        </w:tc>
        <w:tc>
          <w:tcPr>
            <w:tcW w:w="109" w:type="dxa"/>
            <w:tcBorders/>
            <w:vAlign w:val="center"/>
          </w:tcPr>
          <w:p>
            <w:pPr>
              <w:pStyle w:val="TableContents"/>
              <w:bidi w:val="0"/>
              <w:spacing w:before="0" w:after="0"/>
              <w:ind w:left="0" w:right="0" w:hanging="0"/>
              <w:jc w:val="right"/>
              <w:rPr/>
            </w:pPr>
            <w:r>
              <w:rPr/>
              <w:t>​</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141,627</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held-to-maturity investment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299,728</w:t>
            </w:r>
          </w:p>
        </w:tc>
        <w:tc>
          <w:tcPr>
            <w:tcW w:w="109" w:type="dxa"/>
            <w:tcBorders/>
            <w:shd w:fill="CCEEFF" w:val="clear"/>
            <w:vAlign w:val="center"/>
          </w:tcPr>
          <w:p>
            <w:pPr>
              <w:pStyle w:val="TableContents"/>
              <w:bidi w:val="0"/>
              <w:spacing w:before="0" w:after="0"/>
              <w:ind w:left="0" w:right="0" w:hanging="0"/>
              <w:jc w:val="righ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(41,111)</w:t>
            </w:r>
          </w:p>
        </w:tc>
        <w:tc>
          <w:tcPr>
            <w:tcW w:w="109" w:type="dxa"/>
            <w:tcBorders/>
            <w:shd w:fill="CCEEFF" w:val="clear"/>
            <w:vAlign w:val="center"/>
          </w:tcPr>
          <w:p>
            <w:pPr>
              <w:pStyle w:val="TableContents"/>
              <w:bidi w:val="0"/>
              <w:spacing w:before="0" w:after="0"/>
              <w:ind w:left="0" w:right="0" w:hanging="0"/>
              <w:jc w:val="righ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258,617</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investment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884,482</w:t>
            </w:r>
          </w:p>
        </w:tc>
        <w:tc>
          <w:tcPr>
            <w:tcW w:w="109" w:type="dxa"/>
            <w:tcBorders/>
            <w:vAlign w:val="center"/>
          </w:tcPr>
          <w:p>
            <w:pPr>
              <w:pStyle w:val="TableContents"/>
              <w:bidi w:val="0"/>
              <w:spacing w:before="0" w:after="0"/>
              <w:ind w:left="0" w:right="0" w:hanging="0"/>
              <w:jc w:val="righ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(139,134)</w:t>
            </w:r>
          </w:p>
        </w:tc>
        <w:tc>
          <w:tcPr>
            <w:tcW w:w="109" w:type="dxa"/>
            <w:tcBorders/>
            <w:vAlign w:val="center"/>
          </w:tcPr>
          <w:p>
            <w:pPr>
              <w:pStyle w:val="TableContents"/>
              <w:bidi w:val="0"/>
              <w:spacing w:before="0" w:after="0"/>
              <w:ind w:left="0" w:right="0" w:hanging="0"/>
              <w:jc w:val="right"/>
              <w:rPr/>
            </w:pPr>
            <w:r>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745,353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753" w:name="Tc_P4MQQGH1J0yM4o5IzR86OQ_12_19"/>
      <w:bookmarkStart w:id="754" w:name="Tc_oIDiGpTALU2rHb--w_-yWw_12_16"/>
      <w:bookmarkStart w:id="755" w:name="Tc_RwpbldtAtEaIkMFYDqUV5A_12_13"/>
      <w:bookmarkStart w:id="756" w:name="Tc_DccFyWM26k6Oa46nkkJ94Q_12_10"/>
      <w:bookmarkStart w:id="757" w:name="Tc_KKZLKZXksUWJqobWxaFHBQ_12_7"/>
      <w:bookmarkStart w:id="758" w:name="Tc_JGOy8ig2uECrMQts0itN0Q_12_4"/>
      <w:bookmarkStart w:id="759" w:name="Tc_gRxSKHnvgEOClwpFwlZe7w_12_0"/>
      <w:bookmarkStart w:id="760" w:name="Tc_cIk3HUeW2Ua44y4-RQe9ag_11_8"/>
      <w:bookmarkStart w:id="761" w:name="Tc_6SEx-7kP_U-953vKaQl7zg_11_5"/>
      <w:bookmarkStart w:id="762" w:name="Tc_5gBCBoUDmku5QKm3mhfp_g_11_0"/>
      <w:bookmarkStart w:id="763" w:name="Tc_ANrRt5ELw0mv4o9Y-NLn2w_10_8"/>
      <w:bookmarkStart w:id="764" w:name="Tc_eTT1irpUc0GINkebKGWteQ_10_5"/>
      <w:bookmarkStart w:id="765" w:name="Tc_1E2fYcuZh0CuOh7llVWcoA_10_0"/>
      <w:bookmarkStart w:id="766" w:name="Tc_eE9i9mA4mEiE9_9Lf0kMFg_9_8"/>
      <w:bookmarkStart w:id="767" w:name="Tc_4i4TEayt8kirchA13FI_4w_9_5"/>
      <w:bookmarkStart w:id="768" w:name="Tc_NgjWSKdJfECHTyucKAB--g_9_0"/>
      <w:bookmarkStart w:id="769" w:name="Tc_K6C69uLm0UC3_pgrJ6iO2w_8_5"/>
      <w:bookmarkStart w:id="770" w:name="Tc_1cHbClhWKUKmh9mUCdgLeQ_8_0"/>
      <w:bookmarkStart w:id="771" w:name="Tc_R3UM7n5BfEyH8Kn_vBbe_g_7_0"/>
      <w:bookmarkStart w:id="772" w:name="Tc_oEs_39vKxEe1Vdr9Mqrd5w_6_19"/>
      <w:bookmarkStart w:id="773" w:name="Tc_QCE4MYSJw02X1-4989BKCQ_6_16"/>
      <w:bookmarkStart w:id="774" w:name="Tc_7ZM7JG3eIE6Rm4GEFbxADg_6_14"/>
      <w:bookmarkStart w:id="775" w:name="Tc_tF7a-JVv6kiP8vLPSTwehg_6_13"/>
      <w:bookmarkStart w:id="776" w:name="Tc_HGmL6Z3nqkuPQTJGjnz3bA_6_11"/>
      <w:bookmarkStart w:id="777" w:name="Tc_yAMRpwxV60itYeoQTHVEdg_6_10"/>
      <w:bookmarkStart w:id="778" w:name="Tc_F1qqy-a3Gkus9zNrUKt9-Q_6_7"/>
      <w:bookmarkStart w:id="779" w:name="Tc_UDxyWAexEECKaVe8qAuVTg_6_4"/>
      <w:bookmarkStart w:id="780" w:name="Tc_L53VVR5DD0S6mnw_GMduqA_6_0"/>
      <w:bookmarkStart w:id="781" w:name="Tc_pbOxJqhltEq6TmsaGigMaQ_5_0"/>
      <w:bookmarkStart w:id="782" w:name="Tc_z5PHIPAX8UORrLehxv6G8A_4_19"/>
      <w:bookmarkStart w:id="783" w:name="Tc_FBX8IIYYs0KTiovIZ1F3Aw_4_16"/>
      <w:bookmarkStart w:id="784" w:name="Tc_zmHUzjZHUUCyFc0wWR8_IA_4_13"/>
      <w:bookmarkStart w:id="785" w:name="Tc_vdYCc3pp80iE838qAkRVcA_4_10"/>
      <w:bookmarkStart w:id="786" w:name="Tc_sgfzwZfXhkKSOnnRzCgHlQ_4_7"/>
      <w:bookmarkStart w:id="787" w:name="Tc_LQDrjnWno0WmRfLej2dl-g_4_4"/>
      <w:bookmarkStart w:id="788" w:name="Tc_UykKwgP37kGbQh_ntyXFsQ_4_2"/>
      <w:bookmarkStart w:id="789" w:name="Tc_uhrB6aYbiUSHmZBjoTvntw_4_0"/>
      <w:bookmarkStart w:id="790" w:name="Tc_TxNoZF9A-UqYdbY7a8njIQ_3_19"/>
      <w:bookmarkStart w:id="791" w:name="Tc_DlJEPTjf_EKnozm50isAxw_3_16"/>
      <w:bookmarkStart w:id="792" w:name="Tc_z2qlYY-0q0qvh40osEt2yg_3_13"/>
      <w:bookmarkStart w:id="793" w:name="Tc_zybaV3oVdk2NwBkjR2EEcg_3_10"/>
      <w:bookmarkStart w:id="794" w:name="Tc_G6X9q7sPR0-1KW-_3GSCtQ_3_7"/>
      <w:bookmarkStart w:id="795" w:name="Tc_B_i0h9dPz069KLGfv7NVuQ_3_4"/>
      <w:bookmarkStart w:id="796" w:name="Tc_sD-Fa0QLd0GSrZvPcEtXIw_3_2"/>
      <w:bookmarkStart w:id="797" w:name="Tc_bI6piKwfQE64tOHhci7q8A_2_16"/>
      <w:bookmarkStart w:id="798" w:name="Tc_sNRbdDbnWUSsqYe7jAOvXA_2_10"/>
      <w:bookmarkStart w:id="799" w:name="Tc__OOvH-ok60ydfBYhUY-LkA_2_4"/>
      <w:bookmarkStart w:id="800" w:name="Tc_UbFh5VoEmEa6DJHSw1nN1Q_1_4"/>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r>
        <w:rPr>
          <w:rFonts w:ascii="Times New Roman;Times;serif" w:hAnsi="Times New Roman;Times;serif"/>
          <w:sz w:val="20"/>
        </w:rPr>
        <w:t>The adequacy of the ACL on investment securities is assessed at the end of each quarter. The Company does not believe that the AFS debt securities that were in an unrealized loss position as of March 31, 2024, represent a credit loss impairment. As of March 31, 2024 and December 31, 2023, the gross unrealized loss positions were primarily related to mortgage-backed securities issued by U.S. government agencies or U.S. government-sponsored enterprises. These securities carry the explicit and/or implicit guarantee of the U.S. government, are widely recognized as “risk free,” and have a long history of zero credit loss. Additionally, there were corporate bonds in gross unrealized loss positions; however, all bonds had an investment grade rating as of March 31, 2024 and December 31, 2023. Total gross unrealized losses were attributable to changes in interest rates, relative to when the investment securities were purchased, and not due to the credit quality of the investment securities.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ACL on HTM debt securities is estimated using relevant information, from internal and external sources, relating to past events, current conditions, and reasonable supportable forecasts. Using a probability of default and loss on given default analysis, the ACL on HTM debt securities was $207 thousand and $213 thousand as of March 31, 2024 and December 31, 2023, respectively.</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Accrued interest receivable on AFS investment securities and HTM investment securities is recorded in accrued interest receivable and is excluded from the estimate of credit losses. As of March 31, 2024, the accrued interest receivable on AFS investment securities and HTM investment securities totaled $1.6 million and $1.0 million, respectively. As of December 31, 2023, the accrued interest receivable on available-for-sale investment securities and held-to-maturity investment securities totaled $1.5 million and $1.4 million,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had no sales or calls of AFS investment securities for the three months ended March 31, 2024 and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had no sales of HTM investment securities for the three months ended March 31, 2024 and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investment securities with gross unrealized losses, for which an ACL has not been recorded at March 31, 2024 and December 31, 2023, aggregated by investment category and length of time that individual investment securities have been in a continuous loss position: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82"/>
        <w:gridCol w:w="326"/>
        <w:gridCol w:w="793"/>
        <w:gridCol w:w="109"/>
        <w:gridCol w:w="320"/>
        <w:gridCol w:w="566"/>
        <w:gridCol w:w="360"/>
        <w:gridCol w:w="216"/>
        <w:gridCol w:w="417"/>
        <w:gridCol w:w="326"/>
        <w:gridCol w:w="196"/>
        <w:gridCol w:w="769"/>
        <w:gridCol w:w="326"/>
        <w:gridCol w:w="196"/>
        <w:gridCol w:w="691"/>
        <w:gridCol w:w="326"/>
        <w:gridCol w:w="196"/>
        <w:gridCol w:w="769"/>
        <w:gridCol w:w="326"/>
        <w:gridCol w:w="196"/>
        <w:gridCol w:w="799"/>
      </w:tblGrid>
      <w:tr>
        <w:trPr/>
        <w:tc>
          <w:tcPr>
            <w:tcW w:w="19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03555" cy="175260"/>
                      <wp:effectExtent l="0" t="0" r="0" b="0"/>
                      <wp:wrapNone/>
                      <wp:docPr id="77" name="Frame77"/>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3200" cy="175260"/>
                      <wp:effectExtent l="0" t="0" r="0" b="0"/>
                      <wp:wrapNone/>
                      <wp:docPr id="79" name="Frame7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59410" cy="175260"/>
                      <wp:effectExtent l="0" t="0" r="0" b="0"/>
                      <wp:wrapNone/>
                      <wp:docPr id="80" name="Frame80"/>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28600" cy="175260"/>
                      <wp:effectExtent l="0" t="0" r="0" b="0"/>
                      <wp:wrapNone/>
                      <wp:docPr id="81" name="Frame8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7160" cy="175260"/>
                      <wp:effectExtent l="0" t="0" r="0" b="0"/>
                      <wp:wrapNone/>
                      <wp:docPr id="82" name="Frame8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64795" cy="175260"/>
                      <wp:effectExtent l="0" t="0" r="0" b="0"/>
                      <wp:wrapNone/>
                      <wp:docPr id="83" name="Frame83"/>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5" name="Frame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88315" cy="175260"/>
                      <wp:effectExtent l="0" t="0" r="0" b="0"/>
                      <wp:wrapNone/>
                      <wp:docPr id="86" name="Frame86"/>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88" name="Frame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38785" cy="175260"/>
                      <wp:effectExtent l="0" t="0" r="0" b="0"/>
                      <wp:wrapNone/>
                      <wp:docPr id="89" name="Frame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91" name="Frame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88315" cy="175260"/>
                      <wp:effectExtent l="0" t="0" r="0" b="0"/>
                      <wp:wrapNone/>
                      <wp:docPr id="92" name="Frame92"/>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4460" cy="175260"/>
                      <wp:effectExtent l="0" t="0" r="0" b="0"/>
                      <wp:wrapNone/>
                      <wp:docPr id="94" name="Frame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07365" cy="175260"/>
                      <wp:effectExtent l="0" t="0" r="0" b="0"/>
                      <wp:wrapNone/>
                      <wp:docPr id="95" name="Frame95"/>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995"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19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326" w:type="dxa"/>
            <w:tcBorders/>
            <w:vAlign w:val="center"/>
          </w:tcPr>
          <w:p>
            <w:pPr>
              <w:pStyle w:val="TableContents"/>
              <w:bidi w:val="0"/>
              <w:spacing w:before="0" w:after="1"/>
              <w:ind w:left="0" w:right="0" w:hanging="0"/>
              <w:jc w:val="left"/>
              <w:rPr/>
            </w:pPr>
            <w:r>
              <w:rPr/>
              <w:t>​</w:t>
            </w:r>
          </w:p>
        </w:tc>
        <w:tc>
          <w:tcPr>
            <w:tcW w:w="21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 12 Months</w:t>
            </w:r>
          </w:p>
        </w:tc>
        <w:tc>
          <w:tcPr>
            <w:tcW w:w="326" w:type="dxa"/>
            <w:tcBorders/>
            <w:vAlign w:val="center"/>
          </w:tcPr>
          <w:p>
            <w:pPr>
              <w:pStyle w:val="TableContents"/>
              <w:bidi w:val="0"/>
              <w:spacing w:before="0" w:after="1"/>
              <w:ind w:left="0" w:right="0" w:hanging="0"/>
              <w:jc w:val="left"/>
              <w:rPr/>
            </w:pPr>
            <w:r>
              <w:rPr/>
              <w:t>​</w:t>
            </w:r>
          </w:p>
        </w:tc>
        <w:tc>
          <w:tcPr>
            <w:tcW w:w="228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60" w:type="dxa"/>
            <w:tcBorders/>
            <w:vAlign w:val="center"/>
          </w:tcPr>
          <w:p>
            <w:pPr>
              <w:pStyle w:val="TableContents"/>
              <w:bidi w:val="0"/>
              <w:spacing w:before="0" w:after="1"/>
              <w:ind w:left="0" w:right="0" w:hanging="0"/>
              <w:jc w:val="left"/>
              <w:rPr/>
            </w:pPr>
            <w:r>
              <w:rPr/>
              <w:t>​</w:t>
            </w:r>
          </w:p>
        </w:tc>
        <w:tc>
          <w:tcPr>
            <w:tcW w:w="6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vAlign w:val="center"/>
          </w:tcPr>
          <w:p>
            <w:pPr>
              <w:pStyle w:val="TableContents"/>
              <w:bidi w:val="0"/>
              <w:spacing w:before="0" w:after="1"/>
              <w:ind w:left="0" w:right="0" w:hanging="0"/>
              <w:jc w:val="left"/>
              <w:rPr/>
            </w:pPr>
            <w:r>
              <w:rPr/>
              <w:t>​</w:t>
            </w:r>
          </w:p>
        </w:tc>
        <w:tc>
          <w:tcPr>
            <w:tcW w:w="9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vAlign w:val="center"/>
          </w:tcPr>
          <w:p>
            <w:pPr>
              <w:pStyle w:val="TableContents"/>
              <w:bidi w:val="0"/>
              <w:spacing w:before="0" w:after="1"/>
              <w:ind w:left="0" w:right="0" w:hanging="0"/>
              <w:jc w:val="left"/>
              <w:rPr/>
            </w:pPr>
            <w:r>
              <w:rPr/>
              <w:t>​</w:t>
            </w:r>
          </w:p>
        </w:tc>
        <w:tc>
          <w:tcPr>
            <w:tcW w:w="9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left"/>
              <w:rPr/>
            </w:pPr>
            <w:r>
              <w:rPr/>
              <w:t>​</w:t>
            </w:r>
          </w:p>
        </w:tc>
        <w:tc>
          <w:tcPr>
            <w:tcW w:w="9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1982"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Holdings</w:t>
            </w:r>
          </w:p>
        </w:tc>
        <w:tc>
          <w:tcPr>
            <w:tcW w:w="109" w:type="dxa"/>
            <w:tcBorders/>
            <w:vAlign w:val="center"/>
          </w:tcPr>
          <w:p>
            <w:pPr>
              <w:pStyle w:val="TableContents"/>
              <w:bidi w:val="0"/>
              <w:spacing w:before="0" w:after="1"/>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60" w:type="dxa"/>
            <w:tcBorders/>
            <w:vAlign w:val="center"/>
          </w:tcPr>
          <w:p>
            <w:pPr>
              <w:pStyle w:val="TableContents"/>
              <w:bidi w:val="0"/>
              <w:spacing w:before="0" w:after="1"/>
              <w:ind w:left="0" w:right="0" w:hanging="0"/>
              <w:jc w:val="left"/>
              <w:rPr/>
            </w:pPr>
            <w:r>
              <w:rPr/>
              <w:t>    </w:t>
            </w:r>
          </w:p>
        </w:tc>
        <w:tc>
          <w:tcPr>
            <w:tcW w:w="6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98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Available-for-sale </w:t>
            </w:r>
          </w:p>
        </w:tc>
        <w:tc>
          <w:tcPr>
            <w:tcW w:w="326"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center"/>
              <w:rPr/>
            </w:pPr>
            <w:r>
              <w:rPr/>
              <w:t>​</w:t>
            </w:r>
          </w:p>
        </w:tc>
        <w:tc>
          <w:tcPr>
            <w:tcW w:w="566" w:type="dxa"/>
            <w:tcBorders/>
            <w:shd w:fill="CCEEFF" w:val="clear"/>
            <w:vAlign w:val="center"/>
          </w:tcPr>
          <w:p>
            <w:pPr>
              <w:pStyle w:val="TableContents"/>
              <w:bidi w:val="0"/>
              <w:spacing w:before="0" w:after="1"/>
              <w:ind w:left="0" w:right="0" w:hanging="0"/>
              <w:jc w:val="center"/>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center"/>
              <w:rPr/>
            </w:pPr>
            <w:r>
              <w:rPr/>
              <w:t>​</w:t>
            </w:r>
          </w:p>
        </w:tc>
        <w:tc>
          <w:tcPr>
            <w:tcW w:w="41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76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76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799" w:type="dxa"/>
            <w:tcBorders/>
            <w:shd w:fill="CCEEFF" w:val="clear"/>
            <w:vAlign w:val="center"/>
          </w:tcPr>
          <w:p>
            <w:pPr>
              <w:pStyle w:val="TableContents"/>
              <w:bidi w:val="0"/>
              <w:spacing w:before="0" w:after="1"/>
              <w:ind w:left="0" w:right="0" w:hanging="0"/>
              <w:jc w:val="center"/>
              <w:rPr/>
            </w:pPr>
            <w:r>
              <w:rPr/>
              <w:t>​</w:t>
            </w:r>
          </w:p>
        </w:tc>
      </w:tr>
      <w:tr>
        <w:trPr/>
        <w:tc>
          <w:tcPr>
            <w:tcW w:w="198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and agencies</w:t>
            </w:r>
          </w:p>
        </w:tc>
        <w:tc>
          <w:tcPr>
            <w:tcW w:w="326"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60"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w:t>
            </w:r>
          </w:p>
        </w:tc>
      </w:tr>
      <w:tr>
        <w:trPr/>
        <w:tc>
          <w:tcPr>
            <w:tcW w:w="198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Mortgage backed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566" w:type="dxa"/>
            <w:tcBorders/>
            <w:shd w:fill="CCEEFF" w:val="clear"/>
            <w:vAlign w:val="center"/>
          </w:tcPr>
          <w:p>
            <w:pPr>
              <w:pStyle w:val="TableContents"/>
              <w:bidi w:val="0"/>
              <w:spacing w:before="0" w:after="1"/>
              <w:ind w:left="0" w:right="0" w:hanging="0"/>
              <w:jc w:val="right"/>
              <w:rPr/>
            </w:pPr>
            <w:r>
              <w:rPr/>
              <w:t>  </w:t>
            </w:r>
          </w:p>
        </w:tc>
        <w:tc>
          <w:tcPr>
            <w:tcW w:w="360"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9" w:type="dxa"/>
            <w:tcBorders/>
            <w:shd w:fill="CCEEFF" w:val="clear"/>
            <w:vAlign w:val="center"/>
          </w:tcPr>
          <w:p>
            <w:pPr>
              <w:pStyle w:val="TableContents"/>
              <w:bidi w:val="0"/>
              <w:spacing w:before="0" w:after="1"/>
              <w:ind w:left="0" w:right="0" w:hanging="0"/>
              <w:jc w:val="right"/>
              <w:rPr/>
            </w:pPr>
            <w:r>
              <w:rPr/>
              <w:t>  </w:t>
            </w:r>
          </w:p>
        </w:tc>
      </w:tr>
      <w:tr>
        <w:trPr/>
        <w:tc>
          <w:tcPr>
            <w:tcW w:w="198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agency</w:t>
            </w:r>
          </w:p>
        </w:tc>
        <w:tc>
          <w:tcPr>
            <w:tcW w:w="326"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566" w:type="dxa"/>
            <w:tcBorders/>
            <w:vAlign w:val="center"/>
          </w:tcPr>
          <w:p>
            <w:pPr>
              <w:pStyle w:val="TableContents"/>
              <w:bidi w:val="0"/>
              <w:spacing w:before="0" w:after="1"/>
              <w:ind w:left="0" w:right="0" w:hanging="0"/>
              <w:jc w:val="right"/>
              <w:rPr/>
            </w:pPr>
            <w:r>
              <w:rPr/>
              <w:t>—</w:t>
            </w:r>
          </w:p>
        </w:tc>
        <w:tc>
          <w:tcPr>
            <w:tcW w:w="360"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(92,516)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420,815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(92,516)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420,850</w:t>
            </w:r>
          </w:p>
        </w:tc>
      </w:tr>
      <w:tr>
        <w:trPr/>
        <w:tc>
          <w:tcPr>
            <w:tcW w:w="198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566" w:type="dxa"/>
            <w:tcBorders/>
            <w:shd w:fill="CCEEFF" w:val="clear"/>
            <w:vAlign w:val="center"/>
          </w:tcPr>
          <w:p>
            <w:pPr>
              <w:pStyle w:val="TableContents"/>
              <w:bidi w:val="0"/>
              <w:spacing w:before="0" w:after="1"/>
              <w:ind w:left="0" w:right="0" w:hanging="0"/>
              <w:jc w:val="righ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1,351</w:t>
            </w:r>
          </w:p>
        </w:tc>
      </w:tr>
      <w:tr>
        <w:trPr/>
        <w:tc>
          <w:tcPr>
            <w:tcW w:w="198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backed securities</w:t>
            </w:r>
          </w:p>
        </w:tc>
        <w:tc>
          <w:tcPr>
            <w:tcW w:w="326"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566" w:type="dxa"/>
            <w:tcBorders/>
            <w:vAlign w:val="center"/>
          </w:tcPr>
          <w:p>
            <w:pPr>
              <w:pStyle w:val="TableContents"/>
              <w:bidi w:val="0"/>
              <w:spacing w:before="0" w:after="1"/>
              <w:ind w:left="0" w:right="0" w:hanging="0"/>
              <w:jc w:val="right"/>
              <w:rPr/>
            </w:pPr>
            <w:r>
              <w:rPr/>
              <w:t>—</w:t>
            </w:r>
          </w:p>
        </w:tc>
        <w:tc>
          <w:tcPr>
            <w:tcW w:w="360"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198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bonds</w:t>
            </w:r>
          </w:p>
        </w:tc>
        <w:tc>
          <w:tcPr>
            <w:tcW w:w="326" w:type="dxa"/>
            <w:tcBorders/>
            <w:shd w:fill="CCEEFF" w:val="clear"/>
            <w:vAlign w:val="center"/>
          </w:tcPr>
          <w:p>
            <w:pPr>
              <w:pStyle w:val="TableContents"/>
              <w:bidi w:val="0"/>
              <w:spacing w:before="0" w:after="1"/>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49,168</w:t>
            </w:r>
          </w:p>
        </w:tc>
      </w:tr>
      <w:tr>
        <w:trPr/>
        <w:tc>
          <w:tcPr>
            <w:tcW w:w="198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available-for-sale investment securities</w:t>
            </w:r>
          </w:p>
        </w:tc>
        <w:tc>
          <w:tcPr>
            <w:tcW w:w="326" w:type="dxa"/>
            <w:tcBorders/>
            <w:vAlign w:val="center"/>
          </w:tcPr>
          <w:p>
            <w:pPr>
              <w:pStyle w:val="TableContents"/>
              <w:bidi w:val="0"/>
              <w:spacing w:before="0" w:after="1"/>
              <w:ind w:left="0" w:right="0" w:hanging="0"/>
              <w:jc w:val="left"/>
              <w:rPr/>
            </w:pPr>
            <w:r>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w:t>
            </w:r>
          </w:p>
        </w:tc>
        <w:tc>
          <w:tcPr>
            <w:tcW w:w="109"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60"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(101,460)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471,356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(101,463)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471,845</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01" w:name="Tc_YNiQICqHHUecuiXCPK7qkw_4_0"/>
      <w:bookmarkStart w:id="802" w:name="Tc_UZpqqvPK80GLfeM5-WPI_g_3_5"/>
      <w:bookmarkStart w:id="803" w:name="Tc_VH7HKCbW9kS7UR0z9jRqiw_3_2"/>
      <w:bookmarkStart w:id="804" w:name="Tc_Y8mSrhB67kG9Z-z7akRxew_3_0"/>
      <w:bookmarkStart w:id="805" w:name="Tc_9u-QADl3XkuhtXbJEkNeNg_2_5"/>
      <w:bookmarkStart w:id="806" w:name="Tc_jluaQPZIQk2Al1N2YMF4sw_2_2"/>
      <w:bookmarkStart w:id="807" w:name="Tc_T4rto1VLNUSpmvLPVn2Y5w_2_0"/>
      <w:bookmarkStart w:id="808" w:name="Tc_TvkV-o11_ESrs5u4fbP_Ig_1_5"/>
      <w:bookmarkStart w:id="809" w:name="Tc_jxrpq13DE0COKpptFtK6mg_1_2"/>
      <w:bookmarkStart w:id="810" w:name="Tc_sjG9-9RsG0qTZDZCm8jdIw_11_11"/>
      <w:bookmarkStart w:id="811" w:name="Tc_wdjYHzXf9Uyum95XoWZcCg_11_8"/>
      <w:bookmarkStart w:id="812" w:name="Tc_EeHg0VOQ7Ue4jLBCOwRA5A_11_5"/>
      <w:bookmarkStart w:id="813" w:name="Tc_b5GBlVPC0U2ktA15wG8l6Q_11_2"/>
      <w:bookmarkStart w:id="814" w:name="Tc_Yn7ek_i16UqX4qhff_eT0Q_11_0"/>
      <w:bookmarkStart w:id="815" w:name="Tc_CsFESycFVEiKx-FsxeVd_Q_10_0"/>
      <w:bookmarkStart w:id="816" w:name="Tc_AE1TpbLKskOxItnviZwGUw_9_0"/>
      <w:bookmarkStart w:id="817" w:name="Tc_LB-aT_9WvEep3Jhd2Hx_wg_7_0"/>
      <w:bookmarkStart w:id="818" w:name="Tc_Paa6dYMCZ0OfnYP1tyv_wQ_6_0"/>
      <w:bookmarkStart w:id="819" w:name="Tc_5oZpUmr6gEOAXdlt0DSdwg_5_0"/>
      <w:bookmarkStart w:id="820" w:name="Tc_trySnYo4k0WETzW2tZdKLQ_4_12"/>
      <w:bookmarkStart w:id="821" w:name="Tc_c5AHcUPof0edVF_rHcXRLA_4_11"/>
      <w:bookmarkStart w:id="822" w:name="Tc_4_1LbFUKMkS2U4VVd8IYXg_4_9"/>
      <w:bookmarkStart w:id="823" w:name="Tc_1oOfuKBZYku6KMPZ0URgYA_4_8"/>
      <w:bookmarkStart w:id="824" w:name="Tc_wnhSC5A8BUGaib71wmbh7A_4_5"/>
      <w:bookmarkStart w:id="825" w:name="Tc_ZCVefoQbE0mqee9gN3gasw_4_2"/>
      <w:bookmarkStart w:id="826" w:name="Tc_-rgCzwbQxke20LLWuWM-Iw_4_0"/>
      <w:bookmarkStart w:id="827" w:name="Tc_Wvwrm3fUvU67lvm2Fnlz9Q_3_11"/>
      <w:bookmarkStart w:id="828" w:name="Tc_qcXbM7y4nkKmdyW_Dn7anA_3_8"/>
      <w:bookmarkStart w:id="829" w:name="Tc_9xP7U_dR_0aZFwxRoG5Zxg_3_5"/>
      <w:bookmarkStart w:id="830" w:name="Tc_JLec1_-Xj0SZxw2EE8I4qg_3_2"/>
      <w:bookmarkStart w:id="831" w:name="Tc_JH80UiTgakyq-E3OC_8oHA_3_0"/>
      <w:bookmarkStart w:id="832" w:name="Tc_KXX9Yv99Tki49arkUAI9dw_2_11"/>
      <w:bookmarkStart w:id="833" w:name="Tc_shtTpJhWk0uRDGlAcGabVA_2_8"/>
      <w:bookmarkStart w:id="834" w:name="Tc_-60S8ZUZAEW4VDDv7y6SfA_2_5"/>
      <w:bookmarkStart w:id="835" w:name="Tc_AVvNyefOk0ae8m-XlYJsTQ_2_2"/>
      <w:bookmarkStart w:id="836" w:name="Tc_N-nxJ7YcJkqNOskJc0JIYQ_1_8"/>
      <w:bookmarkStart w:id="837" w:name="Tc_664erwf3PkOlEko8WR_kMg_1_2"/>
      <w:bookmarkStart w:id="838" w:name="Tc_8fADH_q8jkqADQXqYnHiig_12_19"/>
      <w:bookmarkStart w:id="839" w:name="Tc_XcamYrFJaE-AEFIC7cxG9w_12_16"/>
      <w:bookmarkStart w:id="840" w:name="Tc_HBwwB-xyj0OoHarFY0HRdQ_12_13"/>
      <w:bookmarkStart w:id="841" w:name="Tc_HHSm3HYqtkGABJBBbDu5QQ_12_10"/>
      <w:bookmarkStart w:id="842" w:name="Tc_MHenOfmax0ulMuBkXmnpKw_12_7"/>
      <w:bookmarkStart w:id="843" w:name="Tc_bDmWnXFQaUe0AsJW_h-pag_12_4"/>
      <w:bookmarkStart w:id="844" w:name="Tc_G7BuBoxFzUiwVkNUJ2KbXQ_12_0"/>
      <w:bookmarkStart w:id="845" w:name="Tc_e8eurMOn8USyYQqVx9WoVg_11_8"/>
      <w:bookmarkStart w:id="846" w:name="Tc_StgHyTOZlUuf9WcyQ85VqA_11_5"/>
      <w:bookmarkStart w:id="847" w:name="Tc_7bP8rZ3zIESIzhz2aK6SFA_11_0"/>
      <w:bookmarkStart w:id="848" w:name="Tc_Tpg6M8LxHEGdUGBMRJPxHQ_10_8"/>
      <w:bookmarkStart w:id="849" w:name="Tc_F6alDC9T4k-urqYZvQqGhQ_10_5"/>
      <w:bookmarkStart w:id="850" w:name="Tc_0kmJwDC23E2-jzi_jHgUTA_10_0"/>
      <w:bookmarkStart w:id="851" w:name="Tc_O7ASRvSZokKRasTF1AGlJQ_9_8"/>
      <w:bookmarkStart w:id="852" w:name="Tc_VCO3YHUy_Eu0RNjGWT76BQ_9_5"/>
      <w:bookmarkStart w:id="853" w:name="Tc_15PegG71z0Cqa38k0qHZMA_9_0"/>
      <w:bookmarkStart w:id="854" w:name="Tc_8MAqYhqeyEG29gpi8_Vfbg_8_5"/>
      <w:bookmarkStart w:id="855" w:name="Tc_2Ia9MhkW7kKtpLhHTcWTfQ_8_0"/>
      <w:bookmarkStart w:id="856" w:name="Tc_oBqddO2-yEKmdLOLN0e47A_7_0"/>
      <w:bookmarkStart w:id="857" w:name="Tc_84p1iH8H7UaT46XxEARP8g_6_19"/>
      <w:bookmarkStart w:id="858" w:name="Tc_9YlFZ4dXR0G1oL7lPw6QdA_6_16"/>
      <w:bookmarkStart w:id="859" w:name="Tc_vPtJND03ZEKIsQrQ79ar5Q_6_14"/>
      <w:bookmarkStart w:id="860" w:name="Tc_wAmcWNtEhk-T1JuZtj3LUg_6_13"/>
      <w:bookmarkStart w:id="861" w:name="Tc_6yOafeCt50Sgd1Ic0ze3rw_6_11"/>
      <w:bookmarkStart w:id="862" w:name="Tc_B0WfDA85TkSG-hd1xrPBmw_6_10"/>
      <w:bookmarkStart w:id="863" w:name="Tc_0FM3NvbRJEGvtL8ifzSz2w_6_7"/>
      <w:bookmarkStart w:id="864" w:name="Tc_dWowXMttbEyy58SW4st4eg_6_4"/>
      <w:bookmarkStart w:id="865" w:name="Tc_YcwXkVhgNkKAavI_RuDMFw_6_0"/>
      <w:bookmarkStart w:id="866" w:name="Tc_S9Fl5_EAkEqZHoGcWJRwjw_5_0"/>
      <w:bookmarkStart w:id="867" w:name="Tc_Yt0OKgF6bkut_iLpfrjmcg_4_19"/>
      <w:bookmarkStart w:id="868" w:name="Tc_Rcmtzo3fWk2t7q_-uEhVHw_4_16"/>
      <w:bookmarkStart w:id="869" w:name="Tc_CIN98ICmF0Gx6rtVBUeM9w_4_13"/>
      <w:bookmarkStart w:id="870" w:name="Tc_qRF9U1_QSE6IxhNCJZTbLQ_4_10"/>
      <w:bookmarkStart w:id="871" w:name="Tc_Vk1JPury8E6rP5uS3-dF5A_4_7"/>
      <w:bookmarkStart w:id="872" w:name="Tc_qe3CGNALy0Gb4d6O62pAjg_4_4"/>
      <w:bookmarkStart w:id="873" w:name="Tc_28Vha2OfyU6s1WQtC2RyYQ_4_2"/>
      <w:bookmarkStart w:id="874" w:name="Tc_MDulJbC5Y0m8DASjPd7NOA_4_0"/>
      <w:bookmarkStart w:id="875" w:name="Tc_F7h2FnLe-EyZu3EknbY-7Q_3_19"/>
      <w:bookmarkStart w:id="876" w:name="Tc_W4vB_QQhZkaAIodIgk24kQ_3_16"/>
      <w:bookmarkStart w:id="877" w:name="Tc_Hj8gEQlnOEGxlOiBR0LAWA_3_13"/>
      <w:bookmarkStart w:id="878" w:name="Tc_xF0kz7mQ1E2v1uXpNFKlsw_3_10"/>
      <w:bookmarkStart w:id="879" w:name="Tc_dB9Z18JbCEW_p9d8U8_FdA_3_7"/>
      <w:bookmarkStart w:id="880" w:name="Tc_fV0uFuS8i0aWuV08sRPMGw_3_4"/>
      <w:bookmarkStart w:id="881" w:name="Tc_QL5EdNW89EW8ZXCEaFj4aA_3_2"/>
      <w:bookmarkStart w:id="882" w:name="Tc_Ar88hSCjhUCj3sRQjZajHg_2_16"/>
      <w:bookmarkStart w:id="883" w:name="Tc_IQbKjIhFC0a3ckN0dRhBsQ_2_10"/>
      <w:bookmarkStart w:id="884" w:name="Tc_aFg91QkzO0eixFCnkKmP7A_2_4"/>
      <w:bookmarkStart w:id="885" w:name="Tc_poPRYS4HKEyg4HlTzGCfow_1_4"/>
      <w:bookmarkStart w:id="886" w:name="Tc_YNiQICqHHUecuiXCPK7qkw_4_0"/>
      <w:bookmarkStart w:id="887" w:name="Tc_UZpqqvPK80GLfeM5-WPI_g_3_5"/>
      <w:bookmarkStart w:id="888" w:name="Tc_VH7HKCbW9kS7UR0z9jRqiw_3_2"/>
      <w:bookmarkStart w:id="889" w:name="Tc_Y8mSrhB67kG9Z-z7akRxew_3_0"/>
      <w:bookmarkStart w:id="890" w:name="Tc_9u-QADl3XkuhtXbJEkNeNg_2_5"/>
      <w:bookmarkStart w:id="891" w:name="Tc_jluaQPZIQk2Al1N2YMF4sw_2_2"/>
      <w:bookmarkStart w:id="892" w:name="Tc_T4rto1VLNUSpmvLPVn2Y5w_2_0"/>
      <w:bookmarkStart w:id="893" w:name="Tc_TvkV-o11_ESrs5u4fbP_Ig_1_5"/>
      <w:bookmarkStart w:id="894" w:name="Tc_jxrpq13DE0COKpptFtK6mg_1_2"/>
      <w:bookmarkStart w:id="895" w:name="Tc_sjG9-9RsG0qTZDZCm8jdIw_11_11"/>
      <w:bookmarkStart w:id="896" w:name="Tc_wdjYHzXf9Uyum95XoWZcCg_11_8"/>
      <w:bookmarkStart w:id="897" w:name="Tc_EeHg0VOQ7Ue4jLBCOwRA5A_11_5"/>
      <w:bookmarkStart w:id="898" w:name="Tc_b5GBlVPC0U2ktA15wG8l6Q_11_2"/>
      <w:bookmarkStart w:id="899" w:name="Tc_Yn7ek_i16UqX4qhff_eT0Q_11_0"/>
      <w:bookmarkStart w:id="900" w:name="Tc_CsFESycFVEiKx-FsxeVd_Q_10_0"/>
      <w:bookmarkStart w:id="901" w:name="Tc_AE1TpbLKskOxItnviZwGUw_9_0"/>
      <w:bookmarkStart w:id="902" w:name="Tc_LB-aT_9WvEep3Jhd2Hx_wg_7_0"/>
      <w:bookmarkStart w:id="903" w:name="Tc_Paa6dYMCZ0OfnYP1tyv_wQ_6_0"/>
      <w:bookmarkStart w:id="904" w:name="Tc_5oZpUmr6gEOAXdlt0DSdwg_5_0"/>
      <w:bookmarkStart w:id="905" w:name="Tc_trySnYo4k0WETzW2tZdKLQ_4_12"/>
      <w:bookmarkStart w:id="906" w:name="Tc_c5AHcUPof0edVF_rHcXRLA_4_11"/>
      <w:bookmarkStart w:id="907" w:name="Tc_4_1LbFUKMkS2U4VVd8IYXg_4_9"/>
      <w:bookmarkStart w:id="908" w:name="Tc_1oOfuKBZYku6KMPZ0URgYA_4_8"/>
      <w:bookmarkStart w:id="909" w:name="Tc_wnhSC5A8BUGaib71wmbh7A_4_5"/>
      <w:bookmarkStart w:id="910" w:name="Tc_ZCVefoQbE0mqee9gN3gasw_4_2"/>
      <w:bookmarkStart w:id="911" w:name="Tc_-rgCzwbQxke20LLWuWM-Iw_4_0"/>
      <w:bookmarkStart w:id="912" w:name="Tc_Wvwrm3fUvU67lvm2Fnlz9Q_3_11"/>
      <w:bookmarkStart w:id="913" w:name="Tc_qcXbM7y4nkKmdyW_Dn7anA_3_8"/>
      <w:bookmarkStart w:id="914" w:name="Tc_9xP7U_dR_0aZFwxRoG5Zxg_3_5"/>
      <w:bookmarkStart w:id="915" w:name="Tc_JLec1_-Xj0SZxw2EE8I4qg_3_2"/>
      <w:bookmarkStart w:id="916" w:name="Tc_JH80UiTgakyq-E3OC_8oHA_3_0"/>
      <w:bookmarkStart w:id="917" w:name="Tc_KXX9Yv99Tki49arkUAI9dw_2_11"/>
      <w:bookmarkStart w:id="918" w:name="Tc_shtTpJhWk0uRDGlAcGabVA_2_8"/>
      <w:bookmarkStart w:id="919" w:name="Tc_-60S8ZUZAEW4VDDv7y6SfA_2_5"/>
      <w:bookmarkStart w:id="920" w:name="Tc_AVvNyefOk0ae8m-XlYJsTQ_2_2"/>
      <w:bookmarkStart w:id="921" w:name="Tc_N-nxJ7YcJkqNOskJc0JIYQ_1_8"/>
      <w:bookmarkStart w:id="922" w:name="Tc_664erwf3PkOlEko8WR_kMg_1_2"/>
      <w:bookmarkStart w:id="923" w:name="Tc_8fADH_q8jkqADQXqYnHiig_12_19"/>
      <w:bookmarkStart w:id="924" w:name="Tc_XcamYrFJaE-AEFIC7cxG9w_12_16"/>
      <w:bookmarkStart w:id="925" w:name="Tc_HBwwB-xyj0OoHarFY0HRdQ_12_13"/>
      <w:bookmarkStart w:id="926" w:name="Tc_HHSm3HYqtkGABJBBbDu5QQ_12_10"/>
      <w:bookmarkStart w:id="927" w:name="Tc_MHenOfmax0ulMuBkXmnpKw_12_7"/>
      <w:bookmarkStart w:id="928" w:name="Tc_bDmWnXFQaUe0AsJW_h-pag_12_4"/>
      <w:bookmarkStart w:id="929" w:name="Tc_G7BuBoxFzUiwVkNUJ2KbXQ_12_0"/>
      <w:bookmarkStart w:id="930" w:name="Tc_e8eurMOn8USyYQqVx9WoVg_11_8"/>
      <w:bookmarkStart w:id="931" w:name="Tc_StgHyTOZlUuf9WcyQ85VqA_11_5"/>
      <w:bookmarkStart w:id="932" w:name="Tc_7bP8rZ3zIESIzhz2aK6SFA_11_0"/>
      <w:bookmarkStart w:id="933" w:name="Tc_Tpg6M8LxHEGdUGBMRJPxHQ_10_8"/>
      <w:bookmarkStart w:id="934" w:name="Tc_F6alDC9T4k-urqYZvQqGhQ_10_5"/>
      <w:bookmarkStart w:id="935" w:name="Tc_0kmJwDC23E2-jzi_jHgUTA_10_0"/>
      <w:bookmarkStart w:id="936" w:name="Tc_O7ASRvSZokKRasTF1AGlJQ_9_8"/>
      <w:bookmarkStart w:id="937" w:name="Tc_VCO3YHUy_Eu0RNjGWT76BQ_9_5"/>
      <w:bookmarkStart w:id="938" w:name="Tc_15PegG71z0Cqa38k0qHZMA_9_0"/>
      <w:bookmarkStart w:id="939" w:name="Tc_8MAqYhqeyEG29gpi8_Vfbg_8_5"/>
      <w:bookmarkStart w:id="940" w:name="Tc_2Ia9MhkW7kKtpLhHTcWTfQ_8_0"/>
      <w:bookmarkStart w:id="941" w:name="Tc_oBqddO2-yEKmdLOLN0e47A_7_0"/>
      <w:bookmarkStart w:id="942" w:name="Tc_84p1iH8H7UaT46XxEARP8g_6_19"/>
      <w:bookmarkStart w:id="943" w:name="Tc_9YlFZ4dXR0G1oL7lPw6QdA_6_16"/>
      <w:bookmarkStart w:id="944" w:name="Tc_vPtJND03ZEKIsQrQ79ar5Q_6_14"/>
      <w:bookmarkStart w:id="945" w:name="Tc_wAmcWNtEhk-T1JuZtj3LUg_6_13"/>
      <w:bookmarkStart w:id="946" w:name="Tc_6yOafeCt50Sgd1Ic0ze3rw_6_11"/>
      <w:bookmarkStart w:id="947" w:name="Tc_B0WfDA85TkSG-hd1xrPBmw_6_10"/>
      <w:bookmarkStart w:id="948" w:name="Tc_0FM3NvbRJEGvtL8ifzSz2w_6_7"/>
      <w:bookmarkStart w:id="949" w:name="Tc_dWowXMttbEyy58SW4st4eg_6_4"/>
      <w:bookmarkStart w:id="950" w:name="Tc_YcwXkVhgNkKAavI_RuDMFw_6_0"/>
      <w:bookmarkStart w:id="951" w:name="Tc_S9Fl5_EAkEqZHoGcWJRwjw_5_0"/>
      <w:bookmarkStart w:id="952" w:name="Tc_Yt0OKgF6bkut_iLpfrjmcg_4_19"/>
      <w:bookmarkStart w:id="953" w:name="Tc_Rcmtzo3fWk2t7q_-uEhVHw_4_16"/>
      <w:bookmarkStart w:id="954" w:name="Tc_CIN98ICmF0Gx6rtVBUeM9w_4_13"/>
      <w:bookmarkStart w:id="955" w:name="Tc_qRF9U1_QSE6IxhNCJZTbLQ_4_10"/>
      <w:bookmarkStart w:id="956" w:name="Tc_Vk1JPury8E6rP5uS3-dF5A_4_7"/>
      <w:bookmarkStart w:id="957" w:name="Tc_qe3CGNALy0Gb4d6O62pAjg_4_4"/>
      <w:bookmarkStart w:id="958" w:name="Tc_28Vha2OfyU6s1WQtC2RyYQ_4_2"/>
      <w:bookmarkStart w:id="959" w:name="Tc_MDulJbC5Y0m8DASjPd7NOA_4_0"/>
      <w:bookmarkStart w:id="960" w:name="Tc_F7h2FnLe-EyZu3EknbY-7Q_3_19"/>
      <w:bookmarkStart w:id="961" w:name="Tc_W4vB_QQhZkaAIodIgk24kQ_3_16"/>
      <w:bookmarkStart w:id="962" w:name="Tc_Hj8gEQlnOEGxlOiBR0LAWA_3_13"/>
      <w:bookmarkStart w:id="963" w:name="Tc_xF0kz7mQ1E2v1uXpNFKlsw_3_10"/>
      <w:bookmarkStart w:id="964" w:name="Tc_dB9Z18JbCEW_p9d8U8_FdA_3_7"/>
      <w:bookmarkStart w:id="965" w:name="Tc_fV0uFuS8i0aWuV08sRPMGw_3_4"/>
      <w:bookmarkStart w:id="966" w:name="Tc_QL5EdNW89EW8ZXCEaFj4aA_3_2"/>
      <w:bookmarkStart w:id="967" w:name="Tc_Ar88hSCjhUCj3sRQjZajHg_2_16"/>
      <w:bookmarkStart w:id="968" w:name="Tc_IQbKjIhFC0a3ckN0dRhBsQ_2_10"/>
      <w:bookmarkStart w:id="969" w:name="Tc_aFg91QkzO0eixFCnkKmP7A_2_4"/>
      <w:bookmarkStart w:id="970" w:name="Tc_poPRYS4HKEyg4HlTzGCfow_1_4"/>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p>
    <w:tbl>
      <w:tblPr>
        <w:tblW w:w="10205" w:type="dxa"/>
        <w:jc w:val="left"/>
        <w:tblInd w:w="0" w:type="dxa"/>
        <w:tblLayout w:type="fixed"/>
        <w:tblCellMar>
          <w:top w:w="0" w:type="dxa"/>
          <w:left w:w="0" w:type="dxa"/>
          <w:bottom w:w="0" w:type="dxa"/>
          <w:right w:w="0" w:type="dxa"/>
        </w:tblCellMar>
      </w:tblPr>
      <w:tblGrid>
        <w:gridCol w:w="2163"/>
        <w:gridCol w:w="326"/>
        <w:gridCol w:w="806"/>
        <w:gridCol w:w="109"/>
        <w:gridCol w:w="320"/>
        <w:gridCol w:w="566"/>
        <w:gridCol w:w="360"/>
        <w:gridCol w:w="216"/>
        <w:gridCol w:w="417"/>
        <w:gridCol w:w="326"/>
        <w:gridCol w:w="196"/>
        <w:gridCol w:w="702"/>
        <w:gridCol w:w="326"/>
        <w:gridCol w:w="196"/>
        <w:gridCol w:w="691"/>
        <w:gridCol w:w="326"/>
        <w:gridCol w:w="196"/>
        <w:gridCol w:w="702"/>
        <w:gridCol w:w="326"/>
        <w:gridCol w:w="196"/>
        <w:gridCol w:w="739"/>
      </w:tblGrid>
      <w:tr>
        <w:trPr/>
        <w:tc>
          <w:tcPr>
            <w:tcW w:w="21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11810" cy="175260"/>
                      <wp:effectExtent l="0" t="0" r="0" b="0"/>
                      <wp:wrapNone/>
                      <wp:docPr id="97" name="Frame97"/>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3200" cy="175260"/>
                      <wp:effectExtent l="0" t="0" r="0" b="0"/>
                      <wp:wrapNone/>
                      <wp:docPr id="99" name="Frame9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59410" cy="175260"/>
                      <wp:effectExtent l="0" t="0" r="0" b="0"/>
                      <wp:wrapNone/>
                      <wp:docPr id="100" name="Frame100"/>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28600" cy="175260"/>
                      <wp:effectExtent l="0" t="0" r="0" b="0"/>
                      <wp:wrapNone/>
                      <wp:docPr id="101" name="Frame10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7160" cy="175260"/>
                      <wp:effectExtent l="0" t="0" r="0" b="0"/>
                      <wp:wrapNone/>
                      <wp:docPr id="102" name="Frame10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64795" cy="175260"/>
                      <wp:effectExtent l="0" t="0" r="0" b="0"/>
                      <wp:wrapNone/>
                      <wp:docPr id="103" name="Frame103"/>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4460" cy="175260"/>
                      <wp:effectExtent l="0" t="0" r="0" b="0"/>
                      <wp:wrapNone/>
                      <wp:docPr id="105"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45770" cy="175260"/>
                      <wp:effectExtent l="0" t="0" r="0" b="0"/>
                      <wp:wrapNone/>
                      <wp:docPr id="106" name="Frame106"/>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24460" cy="175260"/>
                      <wp:effectExtent l="0" t="0" r="0" b="0"/>
                      <wp:wrapNone/>
                      <wp:docPr id="108" name="Frame1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38785" cy="175260"/>
                      <wp:effectExtent l="0" t="0" r="0" b="0"/>
                      <wp:wrapNone/>
                      <wp:docPr id="109" name="Frame1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4460" cy="175260"/>
                      <wp:effectExtent l="0" t="0" r="0" b="0"/>
                      <wp:wrapNone/>
                      <wp:docPr id="111" name="Frame1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45770" cy="175260"/>
                      <wp:effectExtent l="0" t="0" r="0" b="0"/>
                      <wp:wrapNone/>
                      <wp:docPr id="112" name="Frame112"/>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24460" cy="175260"/>
                      <wp:effectExtent l="0" t="0" r="0" b="0"/>
                      <wp:wrapNone/>
                      <wp:docPr id="114" name="Frame1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69265" cy="175260"/>
                      <wp:effectExtent l="0" t="0" r="0" b="0"/>
                      <wp:wrapNone/>
                      <wp:docPr id="115" name="Frame115"/>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801"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1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326" w:type="dxa"/>
            <w:tcBorders/>
            <w:vAlign w:val="center"/>
          </w:tcPr>
          <w:p>
            <w:pPr>
              <w:pStyle w:val="TableContents"/>
              <w:bidi w:val="0"/>
              <w:spacing w:before="0" w:after="1"/>
              <w:ind w:left="0" w:right="0" w:hanging="0"/>
              <w:jc w:val="left"/>
              <w:rPr/>
            </w:pPr>
            <w:r>
              <w:rPr/>
              <w:t>​</w:t>
            </w:r>
          </w:p>
        </w:tc>
        <w:tc>
          <w:tcPr>
            <w:tcW w:w="211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 12 Months</w:t>
            </w:r>
          </w:p>
        </w:tc>
        <w:tc>
          <w:tcPr>
            <w:tcW w:w="326" w:type="dxa"/>
            <w:tcBorders/>
            <w:vAlign w:val="center"/>
          </w:tcPr>
          <w:p>
            <w:pPr>
              <w:pStyle w:val="TableContents"/>
              <w:bidi w:val="0"/>
              <w:spacing w:before="0" w:after="1"/>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60" w:type="dxa"/>
            <w:tcBorders/>
            <w:vAlign w:val="center"/>
          </w:tcPr>
          <w:p>
            <w:pPr>
              <w:pStyle w:val="TableContents"/>
              <w:bidi w:val="0"/>
              <w:spacing w:before="0" w:after="1"/>
              <w:ind w:left="0" w:right="0" w:hanging="0"/>
              <w:jc w:val="left"/>
              <w:rPr/>
            </w:pPr>
            <w:r>
              <w:rPr/>
              <w:t>​</w:t>
            </w:r>
          </w:p>
        </w:tc>
        <w:tc>
          <w:tcPr>
            <w:tcW w:w="6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vAlign w:val="center"/>
          </w:tcPr>
          <w:p>
            <w:pPr>
              <w:pStyle w:val="TableContents"/>
              <w:bidi w:val="0"/>
              <w:spacing w:before="0" w:after="1"/>
              <w:ind w:left="0" w:right="0" w:hanging="0"/>
              <w:jc w:val="left"/>
              <w:rPr/>
            </w:pPr>
            <w:r>
              <w:rPr/>
              <w:t>​</w:t>
            </w:r>
          </w:p>
        </w:tc>
        <w:tc>
          <w:tcPr>
            <w:tcW w:w="89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vAlign w:val="center"/>
          </w:tcPr>
          <w:p>
            <w:pPr>
              <w:pStyle w:val="TableContents"/>
              <w:bidi w:val="0"/>
              <w:spacing w:before="0" w:after="1"/>
              <w:ind w:left="0" w:right="0" w:hanging="0"/>
              <w:jc w:val="left"/>
              <w:rPr/>
            </w:pPr>
            <w:r>
              <w:rPr/>
              <w:t>​</w:t>
            </w:r>
          </w:p>
        </w:tc>
        <w:tc>
          <w:tcPr>
            <w:tcW w:w="89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left"/>
              <w:rPr/>
            </w:pPr>
            <w:r>
              <w:rPr/>
              <w:t>​</w:t>
            </w:r>
          </w:p>
        </w:tc>
        <w:tc>
          <w:tcPr>
            <w:tcW w:w="9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163"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Holdings</w:t>
            </w:r>
          </w:p>
        </w:tc>
        <w:tc>
          <w:tcPr>
            <w:tcW w:w="109" w:type="dxa"/>
            <w:tcBorders/>
            <w:vAlign w:val="center"/>
          </w:tcPr>
          <w:p>
            <w:pPr>
              <w:pStyle w:val="TableContents"/>
              <w:bidi w:val="0"/>
              <w:spacing w:before="0" w:after="1"/>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60" w:type="dxa"/>
            <w:tcBorders/>
            <w:vAlign w:val="center"/>
          </w:tcPr>
          <w:p>
            <w:pPr>
              <w:pStyle w:val="TableContents"/>
              <w:bidi w:val="0"/>
              <w:spacing w:before="0" w:after="1"/>
              <w:ind w:left="0" w:right="0" w:hanging="0"/>
              <w:jc w:val="left"/>
              <w:rPr/>
            </w:pPr>
            <w:r>
              <w:rPr/>
              <w:t>    </w:t>
            </w:r>
          </w:p>
        </w:tc>
        <w:tc>
          <w:tcPr>
            <w:tcW w:w="6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    </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    </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16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Available-for-sale </w:t>
            </w:r>
          </w:p>
        </w:tc>
        <w:tc>
          <w:tcPr>
            <w:tcW w:w="326"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center"/>
              <w:rPr/>
            </w:pPr>
            <w:r>
              <w:rPr/>
              <w:t>​</w:t>
            </w:r>
          </w:p>
        </w:tc>
        <w:tc>
          <w:tcPr>
            <w:tcW w:w="566" w:type="dxa"/>
            <w:tcBorders/>
            <w:shd w:fill="CCEEFF" w:val="clear"/>
            <w:vAlign w:val="center"/>
          </w:tcPr>
          <w:p>
            <w:pPr>
              <w:pStyle w:val="TableContents"/>
              <w:bidi w:val="0"/>
              <w:spacing w:before="0" w:after="1"/>
              <w:ind w:left="0" w:right="0" w:hanging="0"/>
              <w:jc w:val="center"/>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center"/>
              <w:rPr/>
            </w:pPr>
            <w:r>
              <w:rPr/>
              <w:t>​</w:t>
            </w:r>
          </w:p>
        </w:tc>
        <w:tc>
          <w:tcPr>
            <w:tcW w:w="41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70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70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739" w:type="dxa"/>
            <w:tcBorders/>
            <w:shd w:fill="CCEEFF" w:val="clear"/>
            <w:vAlign w:val="center"/>
          </w:tcPr>
          <w:p>
            <w:pPr>
              <w:pStyle w:val="TableContents"/>
              <w:bidi w:val="0"/>
              <w:spacing w:before="0" w:after="1"/>
              <w:ind w:left="0" w:right="0" w:hanging="0"/>
              <w:jc w:val="center"/>
              <w:rPr/>
            </w:pPr>
            <w:r>
              <w:rPr/>
              <w:t>​</w:t>
            </w:r>
          </w:p>
        </w:tc>
      </w:tr>
      <w:tr>
        <w:trPr/>
        <w:tc>
          <w:tcPr>
            <w:tcW w:w="21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and agencies</w:t>
            </w:r>
          </w:p>
        </w:tc>
        <w:tc>
          <w:tcPr>
            <w:tcW w:w="326"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60"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489</w:t>
            </w:r>
          </w:p>
        </w:tc>
      </w:tr>
      <w:tr>
        <w:trPr/>
        <w:tc>
          <w:tcPr>
            <w:tcW w:w="216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Mortgage backed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566" w:type="dxa"/>
            <w:tcBorders/>
            <w:shd w:fill="CCEEFF" w:val="clear"/>
            <w:vAlign w:val="center"/>
          </w:tcPr>
          <w:p>
            <w:pPr>
              <w:pStyle w:val="TableContents"/>
              <w:bidi w:val="0"/>
              <w:spacing w:before="0" w:after="1"/>
              <w:ind w:left="0" w:right="0" w:hanging="0"/>
              <w:jc w:val="right"/>
              <w:rPr/>
            </w:pPr>
            <w:r>
              <w:rPr/>
              <w:t>  </w:t>
            </w:r>
          </w:p>
        </w:tc>
        <w:tc>
          <w:tcPr>
            <w:tcW w:w="360"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9" w:type="dxa"/>
            <w:tcBorders/>
            <w:shd w:fill="CCEEFF" w:val="clear"/>
            <w:vAlign w:val="center"/>
          </w:tcPr>
          <w:p>
            <w:pPr>
              <w:pStyle w:val="TableContents"/>
              <w:bidi w:val="0"/>
              <w:spacing w:before="0" w:after="1"/>
              <w:ind w:left="0" w:right="0" w:hanging="0"/>
              <w:jc w:val="right"/>
              <w:rPr/>
            </w:pPr>
            <w:r>
              <w:rPr/>
              <w:t>  </w:t>
            </w:r>
          </w:p>
        </w:tc>
      </w:tr>
      <w:tr>
        <w:trPr/>
        <w:tc>
          <w:tcPr>
            <w:tcW w:w="21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agency</w:t>
            </w:r>
          </w:p>
        </w:tc>
        <w:tc>
          <w:tcPr>
            <w:tcW w:w="326"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566" w:type="dxa"/>
            <w:tcBorders/>
            <w:vAlign w:val="center"/>
          </w:tcPr>
          <w:p>
            <w:pPr>
              <w:pStyle w:val="TableContents"/>
              <w:bidi w:val="0"/>
              <w:spacing w:before="0" w:after="1"/>
              <w:ind w:left="0" w:right="0" w:hanging="0"/>
              <w:jc w:val="right"/>
              <w:rPr/>
            </w:pPr>
            <w:r>
              <w:rPr/>
              <w:t>—</w:t>
            </w:r>
          </w:p>
        </w:tc>
        <w:tc>
          <w:tcPr>
            <w:tcW w:w="360"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(88,547)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435,505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(88,547)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435,548</w:t>
            </w:r>
          </w:p>
        </w:tc>
      </w:tr>
      <w:tr>
        <w:trPr/>
        <w:tc>
          <w:tcPr>
            <w:tcW w:w="216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566" w:type="dxa"/>
            <w:tcBorders/>
            <w:shd w:fill="CCEEFF" w:val="clear"/>
            <w:vAlign w:val="center"/>
          </w:tcPr>
          <w:p>
            <w:pPr>
              <w:pStyle w:val="TableContents"/>
              <w:bidi w:val="0"/>
              <w:spacing w:before="0" w:after="1"/>
              <w:ind w:left="0" w:right="0" w:hanging="0"/>
              <w:jc w:val="righ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1,353</w:t>
            </w:r>
          </w:p>
        </w:tc>
      </w:tr>
      <w:tr>
        <w:trPr/>
        <w:tc>
          <w:tcPr>
            <w:tcW w:w="21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backed securities</w:t>
            </w:r>
          </w:p>
        </w:tc>
        <w:tc>
          <w:tcPr>
            <w:tcW w:w="326"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566" w:type="dxa"/>
            <w:tcBorders/>
            <w:vAlign w:val="center"/>
          </w:tcPr>
          <w:p>
            <w:pPr>
              <w:pStyle w:val="TableContents"/>
              <w:bidi w:val="0"/>
              <w:spacing w:before="0" w:after="1"/>
              <w:ind w:left="0" w:right="0" w:hanging="0"/>
              <w:jc w:val="right"/>
              <w:rPr/>
            </w:pPr>
            <w:r>
              <w:rPr/>
              <w:t>—</w:t>
            </w:r>
          </w:p>
        </w:tc>
        <w:tc>
          <w:tcPr>
            <w:tcW w:w="360"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r>
      <w:tr>
        <w:trPr/>
        <w:tc>
          <w:tcPr>
            <w:tcW w:w="216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bonds</w:t>
            </w:r>
          </w:p>
        </w:tc>
        <w:tc>
          <w:tcPr>
            <w:tcW w:w="326" w:type="dxa"/>
            <w:tcBorders/>
            <w:shd w:fill="CCEEFF" w:val="clear"/>
            <w:vAlign w:val="center"/>
          </w:tcPr>
          <w:p>
            <w:pPr>
              <w:pStyle w:val="TableContents"/>
              <w:bidi w:val="0"/>
              <w:spacing w:before="0" w:after="1"/>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48,644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48,644</w:t>
            </w:r>
          </w:p>
        </w:tc>
      </w:tr>
      <w:tr>
        <w:trPr/>
        <w:tc>
          <w:tcPr>
            <w:tcW w:w="21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available-for-sale investment securities</w:t>
            </w:r>
          </w:p>
        </w:tc>
        <w:tc>
          <w:tcPr>
            <w:tcW w:w="326" w:type="dxa"/>
            <w:tcBorders/>
            <w:vAlign w:val="center"/>
          </w:tcPr>
          <w:p>
            <w:pPr>
              <w:pStyle w:val="TableContents"/>
              <w:bidi w:val="0"/>
              <w:spacing w:before="0" w:after="1"/>
              <w:ind w:left="0" w:right="0" w:hanging="0"/>
              <w:jc w:val="left"/>
              <w:rPr/>
            </w:pPr>
            <w:r>
              <w:rPr/>
              <w:t>​</w:t>
            </w:r>
          </w:p>
        </w:tc>
        <w:tc>
          <w:tcPr>
            <w:tcW w:w="8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w:t>
            </w:r>
          </w:p>
        </w:tc>
        <w:tc>
          <w:tcPr>
            <w:tcW w:w="109"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60"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(98,020)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485,527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(98,023)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486,059</w:t>
            </w:r>
          </w:p>
        </w:tc>
      </w:tr>
      <w:tr>
        <w:trPr/>
        <w:tc>
          <w:tcPr>
            <w:tcW w:w="21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56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determined that the expected credit loss on its HTM portfolio was $207 thousand and $213 thousand as of March 31, 2024, and December 31, 2023, respectively. The change in the ACL on HTM debt securities was due to a change in the provision for credit losses, with no charge-offs or recoveries for the </w:t>
      </w:r>
      <w:r>
        <w:rPr>
          <w:rFonts w:ascii="Times New Roman;Times;serif" w:hAnsi="Times New Roman;Times;serif"/>
          <w:b w:val="false"/>
          <w:i w:val="false"/>
          <w:caps w:val="false"/>
          <w:smallCaps w:val="false"/>
          <w:sz w:val="20"/>
        </w:rPr>
        <w:t>three months</w:t>
      </w:r>
      <w:r>
        <w:rPr>
          <w:rFonts w:ascii="Times New Roman;Times;serif" w:hAnsi="Times New Roman;Times;serif"/>
          <w:sz w:val="20"/>
        </w:rPr>
        <w:t xml:space="preserve"> ended March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2024 and December 31, 2023, none of the Company’s HTM debt securities were past due or on nonaccrual status. The Company did not recognize any interest income on nonaccrual HTM debt securities during the three months ended March 31, 2024 and 2023.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amortized cost and fair value of AFS investment securities and the carrying value and fair value of HTM investment securities as of March 31, 2024, by contractual maturity:</w:t>
      </w:r>
    </w:p>
    <w:p>
      <w:pPr>
        <w:pStyle w:val="TextBody"/>
        <w:bidi w:val="0"/>
        <w:spacing w:before="0" w:after="0"/>
        <w:ind w:left="0" w:right="0" w:hanging="0"/>
        <w:jc w:val="left"/>
        <w:rPr/>
      </w:pPr>
      <w:r>
        <w:rPr/>
        <w:t>​</w:t>
      </w:r>
    </w:p>
    <w:tbl>
      <w:tblPr>
        <w:tblW w:w="7314" w:type="dxa"/>
        <w:jc w:val="left"/>
        <w:tblInd w:w="0" w:type="dxa"/>
        <w:tblLayout w:type="fixed"/>
        <w:tblCellMar>
          <w:top w:w="0" w:type="dxa"/>
          <w:left w:w="0" w:type="dxa"/>
          <w:bottom w:w="0" w:type="dxa"/>
          <w:right w:w="0" w:type="dxa"/>
        </w:tblCellMar>
      </w:tblPr>
      <w:tblGrid>
        <w:gridCol w:w="2791"/>
        <w:gridCol w:w="326"/>
        <w:gridCol w:w="196"/>
        <w:gridCol w:w="691"/>
        <w:gridCol w:w="109"/>
        <w:gridCol w:w="196"/>
        <w:gridCol w:w="691"/>
        <w:gridCol w:w="109"/>
        <w:gridCol w:w="196"/>
        <w:gridCol w:w="691"/>
        <w:gridCol w:w="326"/>
        <w:gridCol w:w="196"/>
        <w:gridCol w:w="796"/>
      </w:tblGrid>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4460" cy="175260"/>
                      <wp:effectExtent l="0" t="0" r="0" b="0"/>
                      <wp:wrapNone/>
                      <wp:docPr id="117" name="Frame1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38785" cy="175260"/>
                      <wp:effectExtent l="0" t="0" r="0" b="0"/>
                      <wp:wrapNone/>
                      <wp:docPr id="118" name="Frame1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4460" cy="175260"/>
                      <wp:effectExtent l="0" t="0" r="0" b="0"/>
                      <wp:wrapNone/>
                      <wp:docPr id="120" name="Frame1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38785" cy="175260"/>
                      <wp:effectExtent l="0" t="0" r="0" b="0"/>
                      <wp:wrapNone/>
                      <wp:docPr id="121" name="Frame1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24460" cy="175260"/>
                      <wp:effectExtent l="0" t="0" r="0" b="0"/>
                      <wp:wrapNone/>
                      <wp:docPr id="123" name="Frame1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38785" cy="175260"/>
                      <wp:effectExtent l="0" t="0" r="0" b="0"/>
                      <wp:wrapNone/>
                      <wp:docPr id="124" name="Frame1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24460" cy="175260"/>
                      <wp:effectExtent l="0" t="0" r="0" b="0"/>
                      <wp:wrapNone/>
                      <wp:docPr id="126" name="Frame1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05460" cy="175260"/>
                      <wp:effectExtent l="0" t="0" r="0" b="0"/>
                      <wp:wrapNone/>
                      <wp:docPr id="127" name="Frame1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Held-to-maturity</w:t>
            </w:r>
          </w:p>
        </w:tc>
        <w:tc>
          <w:tcPr>
            <w:tcW w:w="109"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Available-for-sale</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within one year or less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8,161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after one year through five years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47,376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43,614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after five years through ten years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57,248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49,662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59,467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50,524</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after 10 years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12,186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10,736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w:t>
            </w:r>
          </w:p>
        </w:tc>
      </w:tr>
      <w:tr>
        <w:trPr/>
        <w:tc>
          <w:tcPr>
            <w:tcW w:w="27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124,971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111,986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51,379</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Mortgage-backed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agency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167,168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137,821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513,409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420,893</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investment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292,139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249,807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573,733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472,272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Expected maturities will differ from contractual maturities because issuers may have the right to call or prepay obligations with or without call or prepayment penalties.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Investment securities with a total carrying value of $559.1 million and $250.0 million were pledged as of March 31, 2024 and December 31, 2023, respectively, to secure public deposits and for other purposes required or permitted by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2024 and December 31, 2023, the carrying value of the Company’s Federal Reserve stock and Federal Home Loan Bank of Des Moines, or FHLB, stock was as follows:</w:t>
      </w:r>
    </w:p>
    <w:p>
      <w:pPr>
        <w:pStyle w:val="TextBody"/>
        <w:bidi w:val="0"/>
        <w:spacing w:before="0" w:after="0"/>
        <w:ind w:left="0" w:right="0" w:hanging="0"/>
        <w:jc w:val="left"/>
        <w:rPr/>
      </w:pPr>
      <w:r>
        <w:rPr/>
        <w:t>​</w:t>
      </w:r>
    </w:p>
    <w:tbl>
      <w:tblPr>
        <w:tblW w:w="4388" w:type="dxa"/>
        <w:jc w:val="left"/>
        <w:tblInd w:w="0" w:type="dxa"/>
        <w:tblLayout w:type="fixed"/>
        <w:tblCellMar>
          <w:top w:w="0" w:type="dxa"/>
          <w:left w:w="0" w:type="dxa"/>
          <w:bottom w:w="0" w:type="dxa"/>
          <w:right w:w="0" w:type="dxa"/>
        </w:tblCellMar>
      </w:tblPr>
      <w:tblGrid>
        <w:gridCol w:w="1651"/>
        <w:gridCol w:w="326"/>
        <w:gridCol w:w="221"/>
        <w:gridCol w:w="679"/>
        <w:gridCol w:w="326"/>
        <w:gridCol w:w="257"/>
        <w:gridCol w:w="928"/>
      </w:tblGrid>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40335" cy="175260"/>
                      <wp:effectExtent l="0" t="0" r="0" b="0"/>
                      <wp:wrapNone/>
                      <wp:docPr id="129" name="Frame12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31165" cy="175260"/>
                      <wp:effectExtent l="0" t="0" r="0" b="0"/>
                      <wp:wrapNone/>
                      <wp:docPr id="130" name="Frame130"/>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63195" cy="175260"/>
                      <wp:effectExtent l="0" t="0" r="0" b="0"/>
                      <wp:wrapNone/>
                      <wp:docPr id="132" name="Frame132"/>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89280" cy="175260"/>
                      <wp:effectExtent l="0" t="0" r="0" b="0"/>
                      <wp:wrapNone/>
                      <wp:docPr id="133" name="Frame133"/>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Federal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4,623</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4,623</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FHLB</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11,491</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928"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16,566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securities can only be redeemed or sold at their par value and only to the respective issuing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 xml:space="preserve">Visa Class B Restricted Shares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will be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March 31, 2024, the conversion ratio was 1.5875. Based on the existing transfer restriction and the uncertainty of the outcome of the Visa litigation mentioned above, the 6,924 Class B shares (10,992 Class A equivalents) that the Company owned as of March 31, 2024 and December 31, 2023, were carried at a zero cost basis.</w:t>
      </w:r>
    </w:p>
    <w:p>
      <w:pPr>
        <w:pStyle w:val="TextBody"/>
        <w:bidi w:val="0"/>
        <w:spacing w:before="0" w:after="240"/>
        <w:ind w:left="0" w:right="0" w:hanging="0"/>
        <w:jc w:val="left"/>
        <w:rPr>
          <w:rFonts w:ascii="Times New Roman;Times;serif" w:hAnsi="Times New Roman;Times;serif"/>
          <w:b/>
          <w:sz w:val="20"/>
        </w:rPr>
      </w:pPr>
      <w:bookmarkStart w:id="971" w:name="_8f30e8a9_d02e_4c23_9a81_658be2bbe101_3"/>
      <w:bookmarkStart w:id="972" w:name="_8f30e8a9_d02e_4c23_9a81_658be2bbe101_2"/>
      <w:bookmarkStart w:id="973" w:name="_8f30e8a9_d02e_4c23_9a81_658be2bbe101"/>
      <w:bookmarkStart w:id="974" w:name="Tc_CEYM0vW63kywcnQxATbmTw_13_5"/>
      <w:bookmarkStart w:id="975" w:name="Tc_4pa95_wFzk6znODzzNexjQ_13_2"/>
      <w:bookmarkStart w:id="976" w:name="Tc_LvuytpnQCEKJ_IfuB4jW1A_13_0"/>
      <w:bookmarkStart w:id="977" w:name="Tc_chYaRxD2_0mPzUtopuRDIA_12_0"/>
      <w:bookmarkStart w:id="978" w:name="Tc_g-m88m2WU02dE5xzm7KL8Q_11_0"/>
      <w:bookmarkStart w:id="979" w:name="Tc_OqZ4SdfFBE2a14ZrgHjwow_10_0"/>
      <w:bookmarkStart w:id="980" w:name="Tc_lNAt0DpTMkOH6sHW9c6wlg_9_0"/>
      <w:bookmarkStart w:id="981" w:name="Tc__Y4ZQrjXxEa2Jlk3WqSWIQ_8_0"/>
      <w:bookmarkStart w:id="982" w:name="Tc_ubW1IIgjM06L4mrvPd7q9g_7_0"/>
      <w:bookmarkStart w:id="983" w:name="Tc_q8XNj-t0aUeT1Jc0eDqmgw_6_0"/>
      <w:bookmarkStart w:id="984" w:name="Tc_UM44iEtNcEWvjbFbrfXofw_5_0"/>
      <w:bookmarkStart w:id="985" w:name="Tc_MuwmPaJu6EOAxKFn1Lqhpg_4_5"/>
      <w:bookmarkStart w:id="986" w:name="Tc_F1_aObSIUkOHDAfGVJecxQ_4_2"/>
      <w:bookmarkStart w:id="987" w:name="Tc_6vkx7fqcpk-97ghuyisg_w_4_0"/>
      <w:bookmarkStart w:id="988" w:name="Tc_AlK4eDdtnUCLIX1puPfNmA_3_0"/>
      <w:bookmarkStart w:id="989" w:name="Tc_FnyKkMJ0RkeHZdaJ7ivItQ_2_5"/>
      <w:bookmarkStart w:id="990" w:name="Tc_r8IaR2C7uEaTJi3YDyLmzg_2_2"/>
      <w:bookmarkStart w:id="991" w:name="Tc_u1Gf848aeEqYkBHdVKM6gQ_2_0"/>
      <w:bookmarkStart w:id="992" w:name="Tc_BY6O-izWDEyemjjW7qIU7w_1_5"/>
      <w:bookmarkStart w:id="993" w:name="Tc_cv41yqIYUkeAqNlgXQ3AKg_1_2"/>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r>
        <w:rPr>
          <w:rFonts w:ascii="Times New Roman;Times;serif" w:hAnsi="Times New Roman;Times;serif"/>
          <w:b/>
          <w:sz w:val="20"/>
        </w:rPr>
        <w:t>NOTE 4 Loans and Allowance for Credit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total loans outstanding, by portfolio segment, as of March 31, 2024 and December 31, 2023:</w:t>
      </w:r>
    </w:p>
    <w:p>
      <w:pPr>
        <w:pStyle w:val="TextBody"/>
        <w:bidi w:val="0"/>
        <w:spacing w:before="0" w:after="0"/>
        <w:ind w:left="0" w:right="0" w:hanging="0"/>
        <w:jc w:val="left"/>
        <w:rPr/>
      </w:pPr>
      <w:r>
        <w:rPr/>
        <w:t>​</w:t>
      </w:r>
    </w:p>
    <w:tbl>
      <w:tblPr>
        <w:tblW w:w="5530" w:type="dxa"/>
        <w:jc w:val="left"/>
        <w:tblInd w:w="0" w:type="dxa"/>
        <w:tblLayout w:type="fixed"/>
        <w:tblCellMar>
          <w:top w:w="0" w:type="dxa"/>
          <w:left w:w="0" w:type="dxa"/>
          <w:bottom w:w="0" w:type="dxa"/>
          <w:right w:w="0" w:type="dxa"/>
        </w:tblCellMar>
      </w:tblPr>
      <w:tblGrid>
        <w:gridCol w:w="2671"/>
        <w:gridCol w:w="326"/>
        <w:gridCol w:w="196"/>
        <w:gridCol w:w="826"/>
        <w:gridCol w:w="326"/>
        <w:gridCol w:w="206"/>
        <w:gridCol w:w="979"/>
      </w:tblGrid>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24460" cy="175260"/>
                      <wp:effectExtent l="0" t="0" r="0" b="0"/>
                      <wp:wrapNone/>
                      <wp:docPr id="135" name="Frame1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24510" cy="175260"/>
                      <wp:effectExtent l="0" t="0" r="0" b="0"/>
                      <wp:wrapNone/>
                      <wp:docPr id="136" name="Frame13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0810" cy="175260"/>
                      <wp:effectExtent l="0" t="0" r="0" b="0"/>
                      <wp:wrapNone/>
                      <wp:docPr id="138" name="Frame13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21665" cy="175260"/>
                      <wp:effectExtent l="0" t="0" r="0" b="0"/>
                      <wp:wrapNone/>
                      <wp:docPr id="139" name="Frame139"/>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lef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611,695</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598,321</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125,966</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124,034</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1,152,948</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1,126,912</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1,890,609</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1,849,267</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pPr>
            <w:r>
              <w:rPr/>
              <w:t>  </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722,151</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726,879</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156,882</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154,134</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29,833</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29,303</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consumer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908,866</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910,316</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2,799,475</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2,759,583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loans included net deferred loan fees and costs of $46 thousand and $248 thousand at March 31, 2024 and December 31, 2023, respectively. Unearned discounts associated with the acquisition of Metro Phoenix Bank totaled $4.7 million and $5.1 million as of March 31, 2024 and December 31,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Accrued interest receivable on loans is recorded within accrued interest receivable, and totaled $12.3 million at March 31, 2024 and $12.2 million at December 31,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manages its loan portfolio proactively to effectively identify problem credits and assess trends early, implement effective work-out strategies, and take charge-offs as promptly as practical. In addition, the Company continuously reassesses its underwriting standards in response to credit risk posed by changes in economic conditions. The Company monitors and manages credit risk through the following governance structure:</w:t>
      </w:r>
    </w:p>
    <w:p>
      <w:pPr>
        <w:pStyle w:val="TextBody"/>
        <w:bidi w:val="0"/>
        <w:spacing w:before="0" w:after="0"/>
        <w:ind w:left="0" w:right="0" w:firstLine="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Risk team, Collection and Special Assets team and the Credit Governance Committee, which is an internal management committee comprised of various executives and senior managers across business lines, including Accounting and Finance, Credit Underwriting, Collections and Special Assets, Risk, and Commercial and Retail Banking, oversee the Company's systems and procedures to monitor the credit quality of its loan portfolio, conduct a loan review program, and maintain the integrity of the loan rating system.</w:t>
            </w:r>
          </w:p>
        </w:tc>
      </w:tr>
    </w:tbl>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94" w:name="Tc_twVH68P9ykqra1h_dg-GtA_14_14"/>
      <w:bookmarkStart w:id="995" w:name="Tc_N7orWFk66UGLTPb9MLscoQ_14_11"/>
      <w:bookmarkStart w:id="996" w:name="Tc_2ytYTjY_mk2wpPp5iFEmrw_14_8"/>
      <w:bookmarkStart w:id="997" w:name="Tc_C-qDqjiRJkG7YvfepXaKaA_14_5"/>
      <w:bookmarkStart w:id="998" w:name="Tc_uW96XZCht0G3V8DR7ysEFg_14_2"/>
      <w:bookmarkStart w:id="999" w:name="Tc_NPMkI_McgkmeLBKTUJPGWw_14_0"/>
      <w:bookmarkStart w:id="1000" w:name="Tc_dOVrXk7NIkSy6FlR9fpSHw_13_0"/>
      <w:bookmarkStart w:id="1001" w:name="Tc_1dobbb-vCkqy5o3WcT1mvA_12_0"/>
      <w:bookmarkStart w:id="1002" w:name="Tc_VKL91fZ7rUqsdr9t5CG0Rw_11_12"/>
      <w:bookmarkStart w:id="1003" w:name="Tc_SU5Dp8l3wkCtVFmstqqiJA_11_9"/>
      <w:bookmarkStart w:id="1004" w:name="Tc__rlPS35MjkqBcl3Oo-HfNg_11_0"/>
      <w:bookmarkStart w:id="1005" w:name="Tc_JNdsDwiMHEGyACAMt10xtw_10_12"/>
      <w:bookmarkStart w:id="1006" w:name="Tc_It3sRHHD8ESvFx4v2rj2rA_10_9"/>
      <w:bookmarkStart w:id="1007" w:name="Tc_T9v0lAz0lECVWIVlqx8qRw_10_0"/>
      <w:bookmarkStart w:id="1008" w:name="Tc_Y-SDIr6ztE-Drs9h9Kj7Zw_9_0"/>
      <w:bookmarkStart w:id="1009" w:name="Tc__2ou3sbkc0iWnyZFpDsT_A_8_0"/>
      <w:bookmarkStart w:id="1010" w:name="Tc_0o0OF6tgHk2WcXg_6vJpjA_7_0"/>
      <w:bookmarkStart w:id="1011" w:name="Tc_PrpXlWhikUiAMeLgHsTLqw_6_12"/>
      <w:bookmarkStart w:id="1012" w:name="Tc_HgeVsjfWSUyDEJPnwqxvNA_6_9"/>
      <w:bookmarkStart w:id="1013" w:name="Tc__dyg65p91Uy3AuGViWkcRw_6_0"/>
      <w:bookmarkStart w:id="1014" w:name="Tc_3X4FrzK0bk6DJFPFRHGF9A_5_14"/>
      <w:bookmarkStart w:id="1015" w:name="Tc_HXQLnny8fEq3xcwU2Vnsmg_5_11"/>
      <w:bookmarkStart w:id="1016" w:name="Tc_O_SNnJuegUmrzOFA-yqJNQ_5_8"/>
      <w:bookmarkStart w:id="1017" w:name="Tc_aYKjcPY0DkWIlGQ4NzfwcQ_5_5"/>
      <w:bookmarkStart w:id="1018" w:name="Tc_nQCWbJSKh0mxeCvEEWuASw_5_2"/>
      <w:bookmarkStart w:id="1019" w:name="Tc_rj__0yTz20GYB379G1-asw_5_0"/>
      <w:bookmarkStart w:id="1020" w:name="Tc_J24vdwmW3UeDUPR9VUXkNA_4_0"/>
      <w:bookmarkStart w:id="1021" w:name="Tc_1qT6TFYF1kOLQClwTn5nfg_3_14"/>
      <w:bookmarkStart w:id="1022" w:name="Tc_Dy_MmQKdMkibANyHC3moBQ_3_11"/>
      <w:bookmarkStart w:id="1023" w:name="Tc_LdFuzldq6EKD1i5-ikk6VQ_3_8"/>
      <w:bookmarkStart w:id="1024" w:name="Tc_hT-_6RdWrkiVJtrGDSJ9-g_3_5"/>
      <w:bookmarkStart w:id="1025" w:name="Tc_O2ILfvMV0E2gjWFkPGvurw_3_2"/>
      <w:bookmarkStart w:id="1026" w:name="Tc_vOAC4HXpckaMOfTMbzpdAA_3_0"/>
      <w:bookmarkStart w:id="1027" w:name="Tc_oxU5Q-Mr1k2Gn438PvXfUg_2_14"/>
      <w:bookmarkStart w:id="1028" w:name="Tc_E7OLXGrs-kCzSSMqGOlGLw_2_11"/>
      <w:bookmarkStart w:id="1029" w:name="Tc_-jxxZLz-bUqK1wGdN8Vcqw_2_8"/>
      <w:bookmarkStart w:id="1030" w:name="Tc_9zE1udtH-0e9EqAoz6Ammg_2_5"/>
      <w:bookmarkStart w:id="1031" w:name="Tc_8l4l5NLihU-M1tCWbW36nw_2_2"/>
      <w:bookmarkStart w:id="1032" w:name="Tc_hR0fpDIBaUuR4bhlfqggbQ_1_2"/>
      <w:bookmarkStart w:id="1033" w:name="_c4bc86e1_b1ff_490c_9852_3e099b280abc"/>
      <w:bookmarkStart w:id="1034" w:name="Tc_twVH68P9ykqra1h_dg-GtA_14_14"/>
      <w:bookmarkStart w:id="1035" w:name="Tc_N7orWFk66UGLTPb9MLscoQ_14_11"/>
      <w:bookmarkStart w:id="1036" w:name="Tc_2ytYTjY_mk2wpPp5iFEmrw_14_8"/>
      <w:bookmarkStart w:id="1037" w:name="Tc_C-qDqjiRJkG7YvfepXaKaA_14_5"/>
      <w:bookmarkStart w:id="1038" w:name="Tc_uW96XZCht0G3V8DR7ysEFg_14_2"/>
      <w:bookmarkStart w:id="1039" w:name="Tc_NPMkI_McgkmeLBKTUJPGWw_14_0"/>
      <w:bookmarkStart w:id="1040" w:name="Tc_dOVrXk7NIkSy6FlR9fpSHw_13_0"/>
      <w:bookmarkStart w:id="1041" w:name="Tc_1dobbb-vCkqy5o3WcT1mvA_12_0"/>
      <w:bookmarkStart w:id="1042" w:name="Tc_VKL91fZ7rUqsdr9t5CG0Rw_11_12"/>
      <w:bookmarkStart w:id="1043" w:name="Tc_SU5Dp8l3wkCtVFmstqqiJA_11_9"/>
      <w:bookmarkStart w:id="1044" w:name="Tc__rlPS35MjkqBcl3Oo-HfNg_11_0"/>
      <w:bookmarkStart w:id="1045" w:name="Tc_JNdsDwiMHEGyACAMt10xtw_10_12"/>
      <w:bookmarkStart w:id="1046" w:name="Tc_It3sRHHD8ESvFx4v2rj2rA_10_9"/>
      <w:bookmarkStart w:id="1047" w:name="Tc_T9v0lAz0lECVWIVlqx8qRw_10_0"/>
      <w:bookmarkStart w:id="1048" w:name="Tc_Y-SDIr6ztE-Drs9h9Kj7Zw_9_0"/>
      <w:bookmarkStart w:id="1049" w:name="Tc__2ou3sbkc0iWnyZFpDsT_A_8_0"/>
      <w:bookmarkStart w:id="1050" w:name="Tc_0o0OF6tgHk2WcXg_6vJpjA_7_0"/>
      <w:bookmarkStart w:id="1051" w:name="Tc_PrpXlWhikUiAMeLgHsTLqw_6_12"/>
      <w:bookmarkStart w:id="1052" w:name="Tc_HgeVsjfWSUyDEJPnwqxvNA_6_9"/>
      <w:bookmarkStart w:id="1053" w:name="Tc__dyg65p91Uy3AuGViWkcRw_6_0"/>
      <w:bookmarkStart w:id="1054" w:name="Tc_3X4FrzK0bk6DJFPFRHGF9A_5_14"/>
      <w:bookmarkStart w:id="1055" w:name="Tc_HXQLnny8fEq3xcwU2Vnsmg_5_11"/>
      <w:bookmarkStart w:id="1056" w:name="Tc_O_SNnJuegUmrzOFA-yqJNQ_5_8"/>
      <w:bookmarkStart w:id="1057" w:name="Tc_aYKjcPY0DkWIlGQ4NzfwcQ_5_5"/>
      <w:bookmarkStart w:id="1058" w:name="Tc_nQCWbJSKh0mxeCvEEWuASw_5_2"/>
      <w:bookmarkStart w:id="1059" w:name="Tc_rj__0yTz20GYB379G1-asw_5_0"/>
      <w:bookmarkStart w:id="1060" w:name="Tc_J24vdwmW3UeDUPR9VUXkNA_4_0"/>
      <w:bookmarkStart w:id="1061" w:name="Tc_1qT6TFYF1kOLQClwTn5nfg_3_14"/>
      <w:bookmarkStart w:id="1062" w:name="Tc_Dy_MmQKdMkibANyHC3moBQ_3_11"/>
      <w:bookmarkStart w:id="1063" w:name="Tc_LdFuzldq6EKD1i5-ikk6VQ_3_8"/>
      <w:bookmarkStart w:id="1064" w:name="Tc_hT-_6RdWrkiVJtrGDSJ9-g_3_5"/>
      <w:bookmarkStart w:id="1065" w:name="Tc_O2ILfvMV0E2gjWFkPGvurw_3_2"/>
      <w:bookmarkStart w:id="1066" w:name="Tc_vOAC4HXpckaMOfTMbzpdAA_3_0"/>
      <w:bookmarkStart w:id="1067" w:name="Tc_oxU5Q-Mr1k2Gn438PvXfUg_2_14"/>
      <w:bookmarkStart w:id="1068" w:name="Tc_E7OLXGrs-kCzSSMqGOlGLw_2_11"/>
      <w:bookmarkStart w:id="1069" w:name="Tc_-jxxZLz-bUqK1wGdN8Vcqw_2_8"/>
      <w:bookmarkStart w:id="1070" w:name="Tc_9zE1udtH-0e9EqAoz6Ammg_2_5"/>
      <w:bookmarkStart w:id="1071" w:name="Tc_8l4l5NLihU-M1tCWbW36nw_2_2"/>
      <w:bookmarkStart w:id="1072" w:name="Tc_hR0fpDIBaUuR4bhlfqggbQ_1_2"/>
      <w:bookmarkStart w:id="1073" w:name="_c4bc86e1_b1ff_490c_9852_3e099b280abc"/>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Committee is responsible for reviewing and approving all credit requests that exceed individual limits that have not been countersigned by an individual with sufficient assigned authority. This committee has full authority to commit the Bank to any request that fits within its assigned approval authority.</w:t>
            </w:r>
          </w:p>
        </w:tc>
      </w:tr>
    </w:tbl>
    <w:p>
      <w:pPr>
        <w:pStyle w:val="TextBody"/>
        <w:bidi w:val="0"/>
        <w:spacing w:before="0" w:after="0"/>
        <w:ind w:left="0" w:right="0" w:firstLine="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adequacy of the ACL is overseen by the ACL Governance Committee, which is an internal management committee comprised of various Company executives and senior managers across business lines, including Accounting and Finance, Credit Underwriting, Collections and Special Assets, Risk, and Commercial and Retail Banking. The ACL Governance Committee supports the oversight efforts of the Board of Directors.</w:t>
            </w:r>
          </w:p>
        </w:tc>
      </w:tr>
    </w:tbl>
    <w:p>
      <w:pPr>
        <w:pStyle w:val="TextBody"/>
        <w:bidi w:val="0"/>
        <w:spacing w:before="0" w:after="0"/>
        <w:ind w:left="0" w:right="0" w:firstLine="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approval authority and responsibility for all matters regarding loan policy, reviews all loans approved or declined by the Loan Committee, approves lending authority and monitors asset quality and concentration levels.</w:t>
            </w:r>
          </w:p>
        </w:tc>
      </w:tr>
    </w:tbl>
    <w:p>
      <w:pPr>
        <w:pStyle w:val="TextBody"/>
        <w:bidi w:val="0"/>
        <w:spacing w:before="0" w:after="0"/>
        <w:ind w:left="0" w:right="0" w:firstLine="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ACL Governance Committee and Bank Board of Directors has approval authority and oversight responsibility for the ACL adequacy and methodology.</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Loans with a carrying value of $1.6 billion as of March 31, 2024 and December 31, 2023, were pledged to secure public deposits, and for other purposes required or permitted by law.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ACL on Loans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present, by loan portfolio segment, a summary of the changes in the allowance for credit losses on loans for the three months ended March 31, 2024 and 2023:</w:t>
      </w:r>
    </w:p>
    <w:p>
      <w:pPr>
        <w:pStyle w:val="TextBody"/>
        <w:bidi w:val="0"/>
        <w:spacing w:before="0" w:after="0"/>
        <w:ind w:left="0" w:right="0" w:firstLine="720"/>
        <w:jc w:val="left"/>
        <w:rPr/>
      </w:pPr>
      <w:r>
        <w:rPr/>
        <w:t>​</w:t>
      </w:r>
    </w:p>
    <w:tbl>
      <w:tblPr>
        <w:tblW w:w="9106" w:type="dxa"/>
        <w:jc w:val="left"/>
        <w:tblInd w:w="0" w:type="dxa"/>
        <w:tblLayout w:type="fixed"/>
        <w:tblCellMar>
          <w:top w:w="0" w:type="dxa"/>
          <w:left w:w="0" w:type="dxa"/>
          <w:bottom w:w="0" w:type="dxa"/>
          <w:right w:w="0" w:type="dxa"/>
        </w:tblCellMar>
      </w:tblPr>
      <w:tblGrid>
        <w:gridCol w:w="2671"/>
        <w:gridCol w:w="326"/>
        <w:gridCol w:w="203"/>
        <w:gridCol w:w="623"/>
        <w:gridCol w:w="326"/>
        <w:gridCol w:w="375"/>
        <w:gridCol w:w="840"/>
        <w:gridCol w:w="326"/>
        <w:gridCol w:w="302"/>
        <w:gridCol w:w="674"/>
        <w:gridCol w:w="326"/>
        <w:gridCol w:w="303"/>
        <w:gridCol w:w="583"/>
        <w:gridCol w:w="326"/>
        <w:gridCol w:w="196"/>
        <w:gridCol w:w="706"/>
      </w:tblGrid>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28905" cy="175260"/>
                      <wp:effectExtent l="0" t="0" r="0" b="0"/>
                      <wp:wrapNone/>
                      <wp:docPr id="141" name="Frame141"/>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95605" cy="175260"/>
                      <wp:effectExtent l="0" t="0" r="0" b="0"/>
                      <wp:wrapNone/>
                      <wp:docPr id="142" name="Frame142"/>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38125" cy="175260"/>
                      <wp:effectExtent l="0" t="0" r="0" b="0"/>
                      <wp:wrapNone/>
                      <wp:docPr id="144" name="Frame14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33400" cy="175260"/>
                      <wp:effectExtent l="0" t="0" r="0" b="0"/>
                      <wp:wrapNone/>
                      <wp:docPr id="145" name="Frame14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91770" cy="175260"/>
                      <wp:effectExtent l="0" t="0" r="0" b="0"/>
                      <wp:wrapNone/>
                      <wp:docPr id="147" name="Frame147"/>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27990" cy="175260"/>
                      <wp:effectExtent l="0" t="0" r="0" b="0"/>
                      <wp:wrapNone/>
                      <wp:docPr id="148" name="Frame148"/>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92405" cy="175260"/>
                      <wp:effectExtent l="0" t="0" r="0" b="0"/>
                      <wp:wrapNone/>
                      <wp:docPr id="150" name="Frame150"/>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70205" cy="175260"/>
                      <wp:effectExtent l="0" t="0" r="0" b="0"/>
                      <wp:wrapNone/>
                      <wp:docPr id="151" name="Frame151"/>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24460" cy="175260"/>
                      <wp:effectExtent l="0" t="0" r="0" b="0"/>
                      <wp:wrapNone/>
                      <wp:docPr id="153" name="Frame1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48310" cy="175260"/>
                      <wp:effectExtent l="0" t="0" r="0" b="0"/>
                      <wp:wrapNone/>
                      <wp:docPr id="154" name="Frame15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0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2024</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Beginning</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Provision for</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Ending</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Credit Losses</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Charge-offs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Recoveries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2"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  </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9,894</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2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9,975</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6,111</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5,922</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11,897</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834</w:t>
            </w:r>
          </w:p>
        </w:tc>
        <w:tc>
          <w:tcPr>
            <w:tcW w:w="326"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2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12,713</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27,902</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767</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28,610</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 </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6,578</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6,641</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1,151</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1,148</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consumer</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7,941</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26"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2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7,974</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35,843</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799</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36,584</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difference in the credit loss expense reported herein compared to the consolidated statements of income is associated with the credit loss expense of ($793)</w:t>
            </w:r>
            <w:r>
              <w:rPr>
                <w:caps w:val="false"/>
                <w:smallCaps w:val="false"/>
              </w:rPr>
              <w:t xml:space="preserve"> </w:t>
            </w:r>
            <w:r>
              <w:rPr>
                <w:rFonts w:ascii="Times New Roman;Times;serif" w:hAnsi="Times New Roman;Times;serif"/>
                <w:b w:val="false"/>
                <w:i w:val="false"/>
                <w:caps w:val="false"/>
                <w:smallCaps w:val="false"/>
                <w:sz w:val="16"/>
              </w:rPr>
              <w:t>thousand related to off-balance sheet credit exposure and $(6)</w:t>
            </w:r>
            <w:r>
              <w:rPr>
                <w:caps w:val="false"/>
                <w:smallCaps w:val="false"/>
              </w:rPr>
              <w:t xml:space="preserve"> </w:t>
            </w:r>
            <w:r>
              <w:rPr>
                <w:rFonts w:ascii="Times New Roman;Times;serif" w:hAnsi="Times New Roman;Times;serif"/>
                <w:b w:val="false"/>
                <w:i w:val="false"/>
                <w:caps w:val="false"/>
                <w:smallCaps w:val="false"/>
                <w:sz w:val="16"/>
              </w:rPr>
              <w:t>thousand related to investment securities held-to-maturity.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74" w:name="Tc_ZMKiTB9CbUygMr3QpNPodA_15_17"/>
      <w:bookmarkStart w:id="1075" w:name="Tc_xh8mnKtr206Hj4kcCseGEQ_15_14"/>
      <w:bookmarkStart w:id="1076" w:name="Tc_YxMU6YC3eEe9uyHBL_c_jA_15_11"/>
      <w:bookmarkStart w:id="1077" w:name="Tc_K_IsR-qA-ke8xtXYBy_7wg_15_8"/>
      <w:bookmarkStart w:id="1078" w:name="Tc_HJ-k8yMbQkygsVyGxJ--CQ_15_5"/>
      <w:bookmarkStart w:id="1079" w:name="Tc_eFGihKgRmEWXYHRN7ysymg_15_2"/>
      <w:bookmarkStart w:id="1080" w:name="Tc_f0_Gs2wOb0a1L8WxsT4Srg_15_0"/>
      <w:bookmarkStart w:id="1081" w:name="Tc_BlPv9BzPGU-0G4TXLh7AWQ_14_18"/>
      <w:bookmarkStart w:id="1082" w:name="Tc_TcVJBiUDa0O-l4TLed4rHQ_14_15"/>
      <w:bookmarkStart w:id="1083" w:name="Tc_B3d0PAdw70mu3iVahz60sQ_14_12"/>
      <w:bookmarkStart w:id="1084" w:name="Tc_4W3GGUSEOkyo7AtKlfB9tg_14_9"/>
      <w:bookmarkStart w:id="1085" w:name="Tc_7d9nAwfFyU-svfcyy5tppg_14_6"/>
      <w:bookmarkStart w:id="1086" w:name="Tc_DQzlSuNtiEyr0oN2lA_KrA_14_3"/>
      <w:bookmarkStart w:id="1087" w:name="Tc_dOhVv6APJ06MdfDMFb3czg_14_0"/>
      <w:bookmarkStart w:id="1088" w:name="Tc_pZSYnG8JoUimT8V1lZA7Sw_13_0"/>
      <w:bookmarkStart w:id="1089" w:name="Tc_0-IJEftwiUquys6RZgehKA_12_0"/>
      <w:bookmarkStart w:id="1090" w:name="Tc_1hsnfWFjWES_UGeVLDTAkQ_11_0"/>
      <w:bookmarkStart w:id="1091" w:name="Tc_PJtzYm3mHEStzk0XdY6Z8g_10_12"/>
      <w:bookmarkStart w:id="1092" w:name="Tc_1dC-V9D-d06dat4ESFVfGw_10_0"/>
      <w:bookmarkStart w:id="1093" w:name="Tc_REmunf6_rUmLTiI2y0hm8A_9_0"/>
      <w:bookmarkStart w:id="1094" w:name="Tc_LuAsND87R0WLF_FhCtNgeA_8_0"/>
      <w:bookmarkStart w:id="1095" w:name="Tc__bO_Jir-okqYaS3UK83_2g_7_12"/>
      <w:bookmarkStart w:id="1096" w:name="Tc_lBM7QouTSEakkTaLwHnwTw_7_0"/>
      <w:bookmarkStart w:id="1097" w:name="Tc_4aBXHFuWy0i5Zuo_rYX2wQ_6_15"/>
      <w:bookmarkStart w:id="1098" w:name="Tc_RmawP2yg10qkCgUGGR-WkA_6_12"/>
      <w:bookmarkStart w:id="1099" w:name="Tc_NHw-NfO4XUOKKtZsQ3T8Og_6_0"/>
      <w:bookmarkStart w:id="1100" w:name="Tc_GTiDFVDQJEe6Rzr2C7wZNA_5_17"/>
      <w:bookmarkStart w:id="1101" w:name="Tc_c3gQVdoNNEy0m0GfeDGBFA_5_14"/>
      <w:bookmarkStart w:id="1102" w:name="Tc_QzCjrScosE23DhpauNckOg_5_11"/>
      <w:bookmarkStart w:id="1103" w:name="Tc_lday8LVLEES161d5rXXr9Q_5_8"/>
      <w:bookmarkStart w:id="1104" w:name="Tc_IuCWUMOdskORBvas0sodWA_5_5"/>
      <w:bookmarkStart w:id="1105" w:name="Tc_xRd6zBXDM06YFdp-0NNKLA_5_2"/>
      <w:bookmarkStart w:id="1106" w:name="Tc_3vFyr03Bc0WMh-AF6X-9bQ_5_0"/>
      <w:bookmarkStart w:id="1107" w:name="Tc_yXImTJanYke5fPABV9sW8A_4_0"/>
      <w:bookmarkStart w:id="1108" w:name="Tc_ZuZXoAmLyUqdOsWgX5If8A_3_17"/>
      <w:bookmarkStart w:id="1109" w:name="Tc_hw-LIomcFkCBuyZsXUpdqw_3_14"/>
      <w:bookmarkStart w:id="1110" w:name="Tc_CJ8Om6uTV0ektRboSSgDPw_3_11"/>
      <w:bookmarkStart w:id="1111" w:name="Tc_gyrVAU6nfEqQApDtJV6OyQ_3_8"/>
      <w:bookmarkStart w:id="1112" w:name="Tc_R5T_gYu0ikKVW71mAl7eOA_3_5"/>
      <w:bookmarkStart w:id="1113" w:name="Tc_U2Zml4skMUCo_ULYGovMxQ_3_2"/>
      <w:bookmarkStart w:id="1114" w:name="Tc_XetJfVeD50WhTBd_BMuL7g_3_0"/>
      <w:bookmarkStart w:id="1115" w:name="Tc_Kd6AtY0FlUam_11dWoEe2w_2_17"/>
      <w:bookmarkStart w:id="1116" w:name="Tc_v9Rnpc5bfkSvMBOV_wSC9g_2_14"/>
      <w:bookmarkStart w:id="1117" w:name="Tc_5WA12td18ESUFp0CYexIxg_2_11"/>
      <w:bookmarkStart w:id="1118" w:name="Tc_me4YwlkCMEmtzPZW3VcvaQ_2_8"/>
      <w:bookmarkStart w:id="1119" w:name="Tc_Q_NziBB73ES33S10qEsBRg_2_5"/>
      <w:bookmarkStart w:id="1120" w:name="Tc_ExDDcPPAyEKnBGZRpYd3DA_2_2"/>
      <w:bookmarkStart w:id="1121" w:name="Tc_QvZaXXErvUWkpC939TwHMg_1_2"/>
      <w:bookmarkStart w:id="1122" w:name="_8f9d7af4_a4e1_4740_b44b_9005406adf2b"/>
      <w:bookmarkStart w:id="1123" w:name="Tc_ZMKiTB9CbUygMr3QpNPodA_15_17"/>
      <w:bookmarkStart w:id="1124" w:name="Tc_xh8mnKtr206Hj4kcCseGEQ_15_14"/>
      <w:bookmarkStart w:id="1125" w:name="Tc_YxMU6YC3eEe9uyHBL_c_jA_15_11"/>
      <w:bookmarkStart w:id="1126" w:name="Tc_K_IsR-qA-ke8xtXYBy_7wg_15_8"/>
      <w:bookmarkStart w:id="1127" w:name="Tc_HJ-k8yMbQkygsVyGxJ--CQ_15_5"/>
      <w:bookmarkStart w:id="1128" w:name="Tc_eFGihKgRmEWXYHRN7ysymg_15_2"/>
      <w:bookmarkStart w:id="1129" w:name="Tc_f0_Gs2wOb0a1L8WxsT4Srg_15_0"/>
      <w:bookmarkStart w:id="1130" w:name="Tc_BlPv9BzPGU-0G4TXLh7AWQ_14_18"/>
      <w:bookmarkStart w:id="1131" w:name="Tc_TcVJBiUDa0O-l4TLed4rHQ_14_15"/>
      <w:bookmarkStart w:id="1132" w:name="Tc_B3d0PAdw70mu3iVahz60sQ_14_12"/>
      <w:bookmarkStart w:id="1133" w:name="Tc_4W3GGUSEOkyo7AtKlfB9tg_14_9"/>
      <w:bookmarkStart w:id="1134" w:name="Tc_7d9nAwfFyU-svfcyy5tppg_14_6"/>
      <w:bookmarkStart w:id="1135" w:name="Tc_DQzlSuNtiEyr0oN2lA_KrA_14_3"/>
      <w:bookmarkStart w:id="1136" w:name="Tc_dOhVv6APJ06MdfDMFb3czg_14_0"/>
      <w:bookmarkStart w:id="1137" w:name="Tc_pZSYnG8JoUimT8V1lZA7Sw_13_0"/>
      <w:bookmarkStart w:id="1138" w:name="Tc_0-IJEftwiUquys6RZgehKA_12_0"/>
      <w:bookmarkStart w:id="1139" w:name="Tc_1hsnfWFjWES_UGeVLDTAkQ_11_0"/>
      <w:bookmarkStart w:id="1140" w:name="Tc_PJtzYm3mHEStzk0XdY6Z8g_10_12"/>
      <w:bookmarkStart w:id="1141" w:name="Tc_1dC-V9D-d06dat4ESFVfGw_10_0"/>
      <w:bookmarkStart w:id="1142" w:name="Tc_REmunf6_rUmLTiI2y0hm8A_9_0"/>
      <w:bookmarkStart w:id="1143" w:name="Tc_LuAsND87R0WLF_FhCtNgeA_8_0"/>
      <w:bookmarkStart w:id="1144" w:name="Tc__bO_Jir-okqYaS3UK83_2g_7_12"/>
      <w:bookmarkStart w:id="1145" w:name="Tc_lBM7QouTSEakkTaLwHnwTw_7_0"/>
      <w:bookmarkStart w:id="1146" w:name="Tc_4aBXHFuWy0i5Zuo_rYX2wQ_6_15"/>
      <w:bookmarkStart w:id="1147" w:name="Tc_RmawP2yg10qkCgUGGR-WkA_6_12"/>
      <w:bookmarkStart w:id="1148" w:name="Tc_NHw-NfO4XUOKKtZsQ3T8Og_6_0"/>
      <w:bookmarkStart w:id="1149" w:name="Tc_GTiDFVDQJEe6Rzr2C7wZNA_5_17"/>
      <w:bookmarkStart w:id="1150" w:name="Tc_c3gQVdoNNEy0m0GfeDGBFA_5_14"/>
      <w:bookmarkStart w:id="1151" w:name="Tc_QzCjrScosE23DhpauNckOg_5_11"/>
      <w:bookmarkStart w:id="1152" w:name="Tc_lday8LVLEES161d5rXXr9Q_5_8"/>
      <w:bookmarkStart w:id="1153" w:name="Tc_IuCWUMOdskORBvas0sodWA_5_5"/>
      <w:bookmarkStart w:id="1154" w:name="Tc_xRd6zBXDM06YFdp-0NNKLA_5_2"/>
      <w:bookmarkStart w:id="1155" w:name="Tc_3vFyr03Bc0WMh-AF6X-9bQ_5_0"/>
      <w:bookmarkStart w:id="1156" w:name="Tc_yXImTJanYke5fPABV9sW8A_4_0"/>
      <w:bookmarkStart w:id="1157" w:name="Tc_ZuZXoAmLyUqdOsWgX5If8A_3_17"/>
      <w:bookmarkStart w:id="1158" w:name="Tc_hw-LIomcFkCBuyZsXUpdqw_3_14"/>
      <w:bookmarkStart w:id="1159" w:name="Tc_CJ8Om6uTV0ektRboSSgDPw_3_11"/>
      <w:bookmarkStart w:id="1160" w:name="Tc_gyrVAU6nfEqQApDtJV6OyQ_3_8"/>
      <w:bookmarkStart w:id="1161" w:name="Tc_R5T_gYu0ikKVW71mAl7eOA_3_5"/>
      <w:bookmarkStart w:id="1162" w:name="Tc_U2Zml4skMUCo_ULYGovMxQ_3_2"/>
      <w:bookmarkStart w:id="1163" w:name="Tc_XetJfVeD50WhTBd_BMuL7g_3_0"/>
      <w:bookmarkStart w:id="1164" w:name="Tc_Kd6AtY0FlUam_11dWoEe2w_2_17"/>
      <w:bookmarkStart w:id="1165" w:name="Tc_v9Rnpc5bfkSvMBOV_wSC9g_2_14"/>
      <w:bookmarkStart w:id="1166" w:name="Tc_5WA12td18ESUFp0CYexIxg_2_11"/>
      <w:bookmarkStart w:id="1167" w:name="Tc_me4YwlkCMEmtzPZW3VcvaQ_2_8"/>
      <w:bookmarkStart w:id="1168" w:name="Tc_Q_NziBB73ES33S10qEsBRg_2_5"/>
      <w:bookmarkStart w:id="1169" w:name="Tc_ExDDcPPAyEKnBGZRpYd3DA_2_2"/>
      <w:bookmarkStart w:id="1170" w:name="Tc_QvZaXXErvUWkpC939TwHMg_1_2"/>
      <w:bookmarkStart w:id="1171" w:name="_8f9d7af4_a4e1_4740_b44b_9005406adf2b"/>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p>
    <w:tbl>
      <w:tblPr>
        <w:tblW w:w="10160" w:type="dxa"/>
        <w:jc w:val="left"/>
        <w:tblInd w:w="0" w:type="dxa"/>
        <w:tblLayout w:type="fixed"/>
        <w:tblCellMar>
          <w:top w:w="0" w:type="dxa"/>
          <w:left w:w="0" w:type="dxa"/>
          <w:bottom w:w="0" w:type="dxa"/>
          <w:right w:w="0" w:type="dxa"/>
        </w:tblCellMar>
      </w:tblPr>
      <w:tblGrid>
        <w:gridCol w:w="2671"/>
        <w:gridCol w:w="326"/>
        <w:gridCol w:w="203"/>
        <w:gridCol w:w="623"/>
        <w:gridCol w:w="326"/>
        <w:gridCol w:w="261"/>
        <w:gridCol w:w="684"/>
        <w:gridCol w:w="326"/>
        <w:gridCol w:w="375"/>
        <w:gridCol w:w="840"/>
        <w:gridCol w:w="326"/>
        <w:gridCol w:w="302"/>
        <w:gridCol w:w="674"/>
        <w:gridCol w:w="326"/>
        <w:gridCol w:w="320"/>
        <w:gridCol w:w="566"/>
        <w:gridCol w:w="109"/>
        <w:gridCol w:w="196"/>
        <w:gridCol w:w="706"/>
      </w:tblGrid>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8905" cy="175260"/>
                      <wp:effectExtent l="0" t="0" r="0" b="0"/>
                      <wp:wrapNone/>
                      <wp:docPr id="156" name="Frame156"/>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95605" cy="175260"/>
                      <wp:effectExtent l="0" t="0" r="0" b="0"/>
                      <wp:wrapNone/>
                      <wp:docPr id="157" name="Frame157"/>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65735" cy="175260"/>
                      <wp:effectExtent l="0" t="0" r="0" b="0"/>
                      <wp:wrapNone/>
                      <wp:docPr id="159" name="Frame159"/>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34340" cy="175260"/>
                      <wp:effectExtent l="0" t="0" r="0" b="0"/>
                      <wp:wrapNone/>
                      <wp:docPr id="160" name="Frame160"/>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38125" cy="175260"/>
                      <wp:effectExtent l="0" t="0" r="0" b="0"/>
                      <wp:wrapNone/>
                      <wp:docPr id="162" name="Frame16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33400" cy="175260"/>
                      <wp:effectExtent l="0" t="0" r="0" b="0"/>
                      <wp:wrapNone/>
                      <wp:docPr id="163" name="Frame16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91770" cy="175260"/>
                      <wp:effectExtent l="0" t="0" r="0" b="0"/>
                      <wp:wrapNone/>
                      <wp:docPr id="165" name="Frame165"/>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27990" cy="175260"/>
                      <wp:effectExtent l="0" t="0" r="0" b="0"/>
                      <wp:wrapNone/>
                      <wp:docPr id="166" name="Frame166"/>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3200" cy="175260"/>
                      <wp:effectExtent l="0" t="0" r="0" b="0"/>
                      <wp:wrapNone/>
                      <wp:docPr id="168" name="Frame168"/>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59410" cy="175260"/>
                      <wp:effectExtent l="0" t="0" r="0" b="0"/>
                      <wp:wrapNone/>
                      <wp:docPr id="169" name="Frame169"/>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4460" cy="175260"/>
                      <wp:effectExtent l="0" t="0" r="0" b="0"/>
                      <wp:wrapNone/>
                      <wp:docPr id="171" name="Frame1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48310" cy="175260"/>
                      <wp:effectExtent l="0" t="0" r="0" b="0"/>
                      <wp:wrapNone/>
                      <wp:docPr id="172" name="Frame17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63"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2023</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Beginning</w:t>
            </w:r>
          </w:p>
        </w:tc>
        <w:tc>
          <w:tcPr>
            <w:tcW w:w="32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Adoption</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Provision for</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Ending</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left"/>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ASC 326</w:t>
            </w:r>
          </w:p>
        </w:tc>
        <w:tc>
          <w:tcPr>
            <w:tcW w:w="326" w:type="dxa"/>
            <w:tcBorders/>
            <w:vAlign w:val="center"/>
          </w:tcPr>
          <w:p>
            <w:pPr>
              <w:pStyle w:val="TableContents"/>
              <w:bidi w:val="0"/>
              <w:spacing w:before="0" w:after="0"/>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Credit Losses</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Charge-offs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Recoveries</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9,233</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(707)</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w:t>
            </w:r>
          </w:p>
        </w:tc>
        <w:tc>
          <w:tcPr>
            <w:tcW w:w="32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8,012</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1,437</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2,549</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4,425</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12,761</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26"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12,676</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23,431</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1,711</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25,113</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5,858</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2,269</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8,316</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1,317</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c>
          <w:tcPr>
            <w:tcW w:w="32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1,340</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consumer</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7,715</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2,146</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326"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9,989</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Unallocated</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31,146</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3,857</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w:t>
            </w:r>
          </w:p>
        </w:tc>
        <w:tc>
          <w:tcPr>
            <w:tcW w:w="326" w:type="dxa"/>
            <w:tcBorders/>
            <w:vAlign w:val="center"/>
          </w:tcPr>
          <w:p>
            <w:pPr>
              <w:pStyle w:val="TableContents"/>
              <w:bidi w:val="0"/>
              <w:spacing w:before="0" w:after="0"/>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35,102</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difference in the credit loss expense reported herein compared to the consolidated statements of income is associated with the credit loss expense of $230</w:t>
            </w:r>
            <w:r>
              <w:rPr>
                <w:caps w:val="false"/>
                <w:smallCaps w:val="false"/>
              </w:rPr>
              <w:t xml:space="preserve"> </w:t>
            </w:r>
            <w:r>
              <w:rPr>
                <w:rFonts w:ascii="Times New Roman;Times;serif" w:hAnsi="Times New Roman;Times;serif"/>
                <w:b w:val="false"/>
                <w:i w:val="false"/>
                <w:caps w:val="false"/>
                <w:smallCaps w:val="false"/>
                <w:sz w:val="16"/>
              </w:rPr>
              <w:t>thousand related to off-balance sheet credit exposure and $51</w:t>
            </w:r>
            <w:r>
              <w:rPr>
                <w:caps w:val="false"/>
                <w:smallCaps w:val="false"/>
              </w:rPr>
              <w:t xml:space="preserve"> </w:t>
            </w:r>
            <w:r>
              <w:rPr>
                <w:rFonts w:ascii="Times New Roman;Times;serif" w:hAnsi="Times New Roman;Times;serif"/>
                <w:b w:val="false"/>
                <w:i w:val="false"/>
                <w:caps w:val="false"/>
                <w:smallCaps w:val="false"/>
                <w:sz w:val="16"/>
              </w:rPr>
              <w:t>thousand related to investment securities held-to-maturity.</w:t>
            </w:r>
          </w:p>
        </w:tc>
      </w:tr>
    </w:tbl>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ACL on loans at March 31, 2024, was $36.6 million, an increase of $0.7 million, or 2.1%, since December 31, 2023. The increase was primarily due to a combined ACL increase of $1.0 million provision for credit losses in commercial and industrial and commercial real estate loans. This increase was primarily due to recent downgrades in the related loan pools.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Credit Concentrations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focuses on maintaining a well-balanced and diversified loan portfolio. Despite such efforts, it is recognized that credit concentrations may occasionally emerge as a result of economic conditions, changes in local demand, natural loan growth and runoff. To identify credit concentrations effectively, all commercial and industrial and owner occupied real estate loans are assigned Standard Industrial Classification codes, North American Industry Classification System codes and state and county codes. Property type coding is used for investment real estate. As of March 31, 2024, the Company’s total exposure to the general business industry and owner occupied real estate was 11.3% and 10.2%, respectively, of total loans. There were no other industry concentrations exceeding 10% of the Company's total loan portfolio as of March 31, 2024.</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Credit Quality Indicators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consumer loan portfolio is primarily comprised of secured loans that are evaluated at origination on a centralized basis against standardized underwriting criteria. The Company generally does not risk rate consumer loans unless a default event such as bankruptcy or extended nonperformance takes place. Credit quality for the consumer loan portfolio is measured by delinquency rates, nonaccrual amounts and actual losses incurred. These loans are rated as either performing or nonperforming.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assigns a risk rating to all commercial loans, except pools of homogeneous loans, and performs detailed internal and external reviews of risk rated loans over a certain threshold to identify credit risks and to assess the overall collectability of the portfolio. These risk ratings are also subject to examination by the Company’s regulators. During the internal reviews, management monitors and analyzes the financial condition of borrowers and guarantors, trends in the industries in which the borrowers operate and the estimated fair values of collateral securing the loans. These credit quality indicators are used to assign a risk rating to each individual loan.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ratings are aligned to pass and criticized categories. The criticized category includes special mention, substandard, and doubtful risk ratings. The risk ratings are defined as follows: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Pass:</w:t>
            </w:r>
            <w:r>
              <w:rPr>
                <w:caps w:val="false"/>
                <w:smallCaps w:val="false"/>
              </w:rPr>
              <w:t xml:space="preserve"> </w:t>
            </w:r>
            <w:r>
              <w:rPr>
                <w:rFonts w:ascii="Times New Roman;Times;serif" w:hAnsi="Times New Roman;Times;serif"/>
                <w:b w:val="false"/>
                <w:i w:val="false"/>
                <w:caps w:val="false"/>
                <w:smallCaps w:val="false"/>
                <w:sz w:val="20"/>
              </w:rPr>
              <w:t>A pass loan is a credit with no existing or known potential weaknesses deserving of management’s close attention.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Special Mention:</w:t>
            </w:r>
            <w:r>
              <w:rPr>
                <w:caps w:val="false"/>
                <w:smallCaps w:val="false"/>
              </w:rPr>
              <w:t xml:space="preserve"> </w:t>
            </w:r>
            <w:r>
              <w:rPr>
                <w:rFonts w:ascii="Times New Roman;Times;serif" w:hAnsi="Times New Roman;Times;serif"/>
                <w:b w:val="false"/>
                <w:i w:val="false"/>
                <w:caps w:val="false"/>
                <w:smallCaps w:val="false"/>
                <w:sz w:val="20"/>
              </w:rPr>
              <w:t>Loans classified as special mention have a potential weakness that deserves management’s close attention. If left uncorrected, this potential weakness may result in deterioration of the repayment prospects for the loan or of the Company’s credit position at some future date. Special mention loans are not adversely classified and do not expose the Company to sufficient risk to warrant adverse classification.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Substandard:</w:t>
            </w:r>
            <w:r>
              <w:rPr>
                <w:caps w:val="false"/>
                <w:smallCaps w:val="false"/>
              </w:rPr>
              <w:t xml:space="preserve"> </w:t>
            </w:r>
            <w:r>
              <w:rPr>
                <w:rFonts w:ascii="Times New Roman;Times;serif" w:hAnsi="Times New Roman;Times;serif"/>
                <w:b w:val="false"/>
                <w:i w:val="false"/>
                <w:caps w:val="false"/>
                <w:smallCaps w:val="false"/>
                <w:sz w:val="20"/>
              </w:rPr>
              <w:t>Loans classified as substandard are not adequately protected by the current net worth and paying capacity of the borrower or of the collateral pledged, if any. Loans classified as substandard have a well-defined weakness or weaknesses that jeopardize the repayment of the debt. Well-defined weaknesses include a borrower’s lack of marketability, inadequate cash flow or collateral support, failure to complete construction on time, or the failure to fulfill economic expectations. They are characterized by the distinct possibility that the Company will sustain some loss if the deficiencies are not corrected.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Doubtful:</w:t>
            </w:r>
            <w:r>
              <w:rPr>
                <w:caps w:val="false"/>
                <w:smallCaps w:val="false"/>
              </w:rPr>
              <w:t xml:space="preserve"> </w:t>
            </w:r>
            <w:r>
              <w:rPr>
                <w:rFonts w:ascii="Times New Roman;Times;serif" w:hAnsi="Times New Roman;Times;serif"/>
                <w:b w:val="false"/>
                <w:i w:val="false"/>
                <w:caps w:val="false"/>
                <w:smallCaps w:val="false"/>
                <w:sz w:val="20"/>
              </w:rPr>
              <w:t>Loans classified as doubtful have all the weaknesses inherent in those classified as substandard, with the added characteristic that the weaknesses make collection or repayment in full, on the basis of currently existing facts, conditions, and values, highly questionable and improbable.</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Loss:</w:t>
            </w:r>
            <w:r>
              <w:rPr>
                <w:caps w:val="false"/>
                <w:smallCaps w:val="false"/>
              </w:rPr>
              <w:t xml:space="preserve"> </w:t>
            </w:r>
            <w:r>
              <w:rPr>
                <w:rFonts w:ascii="Times New Roman;Times;serif" w:hAnsi="Times New Roman;Times;serif"/>
                <w:b w:val="false"/>
                <w:i w:val="false"/>
                <w:caps w:val="false"/>
                <w:smallCaps w:val="false"/>
                <w:sz w:val="20"/>
              </w:rPr>
              <w:t>Loans classified as loss are considered uncollectible and charged off immediately.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1172" w:name="Tc_jJATfd5ZtUeR6zsmj_ngmA_41_23"/>
      <w:bookmarkStart w:id="1173" w:name="Tc_Gec9n0Hgv0uogvXGrC5jlg_41_21"/>
      <w:bookmarkStart w:id="1174" w:name="Tc_ORXnv7jB40WgINOsgBNTrQ_41_20"/>
      <w:bookmarkStart w:id="1175" w:name="Tc_ggaLpXe9uUappU-UPKx-4w_41_17"/>
      <w:bookmarkStart w:id="1176" w:name="Tc_atV98-lFv0qVGuFDjmZumA_41_15"/>
      <w:bookmarkStart w:id="1177" w:name="Tc_DhVIu3od5kG0Khd-imJ75A_41_14"/>
      <w:bookmarkStart w:id="1178" w:name="Tc_HyUAyLL_TEWOKEV30abVfQ_41_12"/>
      <w:bookmarkStart w:id="1179" w:name="Tc_MPz7nOTYWUifE8s9VO2LSw_41_11"/>
      <w:bookmarkStart w:id="1180" w:name="Tc_Fsfrc8h6nkWVlm90dARc5w_41_8"/>
      <w:bookmarkStart w:id="1181" w:name="Tc_2_KG-HNrBkyMS-l_1QHbhw_41_6"/>
      <w:bookmarkStart w:id="1182" w:name="Tc_vpw7gOglREKYAOdT1wYd8g_41_5"/>
      <w:bookmarkStart w:id="1183" w:name="Tc_i2aG06mja0C6qC0pnHrkig_41_3"/>
      <w:bookmarkStart w:id="1184" w:name="Tc_xs_FkaAV5E-d7kbKz_YIVQ_41_2"/>
      <w:bookmarkStart w:id="1185" w:name="Tc_vd0mvNh2VUaSffYDeyp5qg_41_0"/>
      <w:bookmarkStart w:id="1186" w:name="Tc_D6L6OKFOcEq-Yg88VkuX0w_40_23"/>
      <w:bookmarkStart w:id="1187" w:name="Tc_wOp1iTY4zUWnTbKfMGZIMQ_40_20"/>
      <w:bookmarkStart w:id="1188" w:name="Tc_pUhYcsccfEy-A16ZA6F1-w_40_17"/>
      <w:bookmarkStart w:id="1189" w:name="Tc_gP7HCSSVf0yXkx75Zhn8LA_40_14"/>
      <w:bookmarkStart w:id="1190" w:name="Tc_BswUXYDY8EC55cHhS4osRg_40_11"/>
      <w:bookmarkStart w:id="1191" w:name="Tc_m2QkfB7pjku14y_VJNmdbw_40_8"/>
      <w:bookmarkStart w:id="1192" w:name="Tc_d34wouHCTkysa98GIuSsGA_40_5"/>
      <w:bookmarkStart w:id="1193" w:name="Tc_S6z9GsyiPU-2Qkg7gdeXSg_40_2"/>
      <w:bookmarkStart w:id="1194" w:name="Tc_4tNuvlbt3EKb9eL4D0ijyg_40_0"/>
      <w:bookmarkStart w:id="1195" w:name="Tc_N5GGh94ZuUq74doHQGbYBQ_39_23"/>
      <w:bookmarkStart w:id="1196" w:name="Tc_d_ifG35YTUadEeJ72serag_39_21"/>
      <w:bookmarkStart w:id="1197" w:name="Tc_WTYVaikEg0abk-yJENsY7g_39_20"/>
      <w:bookmarkStart w:id="1198" w:name="Tc_mKOoI4l5w0ie_WUb2-T2sA_39_17"/>
      <w:bookmarkStart w:id="1199" w:name="Tc_EjJRIQqMi0KbetzizmAP1g_39_15"/>
      <w:bookmarkStart w:id="1200" w:name="Tc_SBMK-XHe_keKSVjoWvfGdw_39_14"/>
      <w:bookmarkStart w:id="1201" w:name="Tc_6N-x1vVtH0isvt1fy0EdcQ_39_12"/>
      <w:bookmarkStart w:id="1202" w:name="Tc_0Fm-sXoAhUSAklGVnRBkHA_39_11"/>
      <w:bookmarkStart w:id="1203" w:name="Tc_RUMuWUtUfEqM8XuME7FdPg_39_8"/>
      <w:bookmarkStart w:id="1204" w:name="Tc_8mE9QvnBXE2AyjruVLdp7w_39_6"/>
      <w:bookmarkStart w:id="1205" w:name="Tc_9_5zbrxl30SCy-jkVghO2Q_39_5"/>
      <w:bookmarkStart w:id="1206" w:name="Tc_S1B0BdH0GEGP44uzV7jEbw_39_3"/>
      <w:bookmarkStart w:id="1207" w:name="Tc_mikuWVJN40q6Yw6iph9Bhg_39_2"/>
      <w:bookmarkStart w:id="1208" w:name="Tc_GiSznKLiCU2C09FFFcnDgA_39_0"/>
      <w:bookmarkStart w:id="1209" w:name="Tc_LsXlva3IdU2Yk4tOhLVgUQ_38_23"/>
      <w:bookmarkStart w:id="1210" w:name="Tc_jLAZyBMTV0awecz0Up2X-g_38_20"/>
      <w:bookmarkStart w:id="1211" w:name="Tc_BkMHAgHeQEWq5Yi51L9MJw_38_17"/>
      <w:bookmarkStart w:id="1212" w:name="Tc_WhNvDqTfR0O4Pe36JrZPqA_38_14"/>
      <w:bookmarkStart w:id="1213" w:name="Tc_Tr7IJYPm70a59WYjp3bYAw_38_11"/>
      <w:bookmarkStart w:id="1214" w:name="Tc_tag4z-TAW0yEnLYelXuEVA_38_8"/>
      <w:bookmarkStart w:id="1215" w:name="Tc_vqg6Xd5YEU-GVIntqk8v2w_38_5"/>
      <w:bookmarkStart w:id="1216" w:name="Tc_LUZVzveAo0SJ9RYZDJnaRQ_38_2"/>
      <w:bookmarkStart w:id="1217" w:name="Tc_ORfyGbDpY0WyBLvnuauaaQ_38_0"/>
      <w:bookmarkStart w:id="1218" w:name="Tc_wtf13IiTrECBROPn4otJ1A_37_21"/>
      <w:bookmarkStart w:id="1219" w:name="Tc_13AEef_FgkmwdmLcoblbGg_37_15"/>
      <w:bookmarkStart w:id="1220" w:name="Tc_LWcqqVbLEE-5I36Bx8Gs1A_37_12"/>
      <w:bookmarkStart w:id="1221" w:name="Tc_vYNjbMVNOEGSyxH8mzE0aQ_37_9"/>
      <w:bookmarkStart w:id="1222" w:name="Tc_BJhLDlLXUkeE-k1vjTeOqA_37_6"/>
      <w:bookmarkStart w:id="1223" w:name="Tc_trYWGufs7k6DPpFYDKsM_g_37_3"/>
      <w:bookmarkStart w:id="1224" w:name="Tc_iONRh36jmUedTHhZiq19Xg_37_0"/>
      <w:bookmarkStart w:id="1225" w:name="Tc_GUrR7aVARUyF8w6rVhNK_A_36_23"/>
      <w:bookmarkStart w:id="1226" w:name="Tc_1MStRILuo0SKknY7u8f9mg_36_20"/>
      <w:bookmarkStart w:id="1227" w:name="Tc_3iDxqkCe0UCYnpiXGixb2w_36_17"/>
      <w:bookmarkStart w:id="1228" w:name="Tc_LB8ccK_EFUyRvRd6qZ2Eww_36_14"/>
      <w:bookmarkStart w:id="1229" w:name="Tc_sCQifvJrJECh0sZh7UAwvg_36_11"/>
      <w:bookmarkStart w:id="1230" w:name="Tc_Q1rSuO_efEyMZwSB2gudnA_36_8"/>
      <w:bookmarkStart w:id="1231" w:name="Tc_UQwnnjhohk6xUih8N5lAlA_36_5"/>
      <w:bookmarkStart w:id="1232" w:name="Tc_SS5l2EJba0GAK-0j72fgBw_36_2"/>
      <w:bookmarkStart w:id="1233" w:name="Tc_kkHJremK40SrcgAl5EF2tA_36_0"/>
      <w:bookmarkStart w:id="1234" w:name="Tc_eBpOo56McUyYdC3A4X2A2g_35_0"/>
      <w:bookmarkStart w:id="1235" w:name="Tc_AbKuT0FsW0Sgo3lJQGqSKw_34_24"/>
      <w:bookmarkStart w:id="1236" w:name="Tc_GijpM6YEXkShgya8G61RZQ_34_23"/>
      <w:bookmarkStart w:id="1237" w:name="Tc_NWPV3ecybECweF8YfRsgZQ_34_21"/>
      <w:bookmarkStart w:id="1238" w:name="Tc_21IS2RgBLkm60Xt9gfpPvw_34_20"/>
      <w:bookmarkStart w:id="1239" w:name="Tc_D-TiUioE5k2zgdFxipkkdQ_34_18"/>
      <w:bookmarkStart w:id="1240" w:name="Tc_ek3_4Ezw1Ua0_aFi9a1ISw_34_17"/>
      <w:bookmarkStart w:id="1241" w:name="Tc_pUPC1mHPI0OXwFqF6eNWHg_34_15"/>
      <w:bookmarkStart w:id="1242" w:name="Tc_3PEID91d-Emp8bdlVMUHTQ_34_14"/>
      <w:bookmarkStart w:id="1243" w:name="Tc_kKzC2WoEf0iT9O6EZ3DGJQ_34_12"/>
      <w:bookmarkStart w:id="1244" w:name="Tc_r8_Zbh8CvE-geXYppfD7Fg_34_11"/>
      <w:bookmarkStart w:id="1245" w:name="Tc_PBhdhHo0xkOo3SAl4DFCPg_34_9"/>
      <w:bookmarkStart w:id="1246" w:name="Tc_d5YJ1tyVZ0GjzhGVx_el4A_34_8"/>
      <w:bookmarkStart w:id="1247" w:name="Tc_SbBSL4pJskmeZAZPBHZxwA_34_6"/>
      <w:bookmarkStart w:id="1248" w:name="Tc_z09Eo86WzUm90xvquoVeYQ_34_5"/>
      <w:bookmarkStart w:id="1249" w:name="Tc_IG2nGz_8bk6jbHMsPnu3jA_34_3"/>
      <w:bookmarkStart w:id="1250" w:name="Tc_uLdR9m_sxEG9jo8h1o_29w_34_2"/>
      <w:bookmarkStart w:id="1251" w:name="Tc_YMFnf-YT7UqAJzS5mk5eWA_34_0"/>
      <w:bookmarkStart w:id="1252" w:name="Tc_cpMvfm8j8U2lD38PuNv8LA_33_23"/>
      <w:bookmarkStart w:id="1253" w:name="Tc_4NIFDuOwhE22r0oFp_Ey5g_33_20"/>
      <w:bookmarkStart w:id="1254" w:name="Tc_CNbX7XRU8Uy3_4VXQklQGg_33_17"/>
      <w:bookmarkStart w:id="1255" w:name="Tc_gJdH4gRbwECsd1WhTBPfJg_33_14"/>
      <w:bookmarkStart w:id="1256" w:name="Tc_OlnhjdblhEaSUUQq6sna5w_33_11"/>
      <w:bookmarkStart w:id="1257" w:name="Tc_FM92jLzfJEe6fl8aYWCGgQ_33_8"/>
      <w:bookmarkStart w:id="1258" w:name="Tc_ztskJNPhSEervtOLg7MnYg_33_5"/>
      <w:bookmarkStart w:id="1259" w:name="Tc_l6CLAMc0z06GEsTEKcm5SA_33_2"/>
      <w:bookmarkStart w:id="1260" w:name="Tc_0lWUMQkeg0moCSJUHdDUlw_33_0"/>
      <w:bookmarkStart w:id="1261" w:name="Tc_ltbNKYp3OkqcO2WaBVjzmA_32_15"/>
      <w:bookmarkStart w:id="1262" w:name="Tc_0Fy3Tjvf6kaMBKYHgIKR4Q_32_9"/>
      <w:bookmarkStart w:id="1263" w:name="Tc_flCF0z69D0KrCVFI3OcPsw_32_6"/>
      <w:bookmarkStart w:id="1264" w:name="Tc_HuHFPW9UFUuZ2G5-8KKnIg_32_0"/>
      <w:bookmarkStart w:id="1265" w:name="Tc_kgQO9ehtFUWj4zyC2mNVww_31_23"/>
      <w:bookmarkStart w:id="1266" w:name="Tc_G5XQZsQFREq4RMnV-98WzQ_31_20"/>
      <w:bookmarkStart w:id="1267" w:name="Tc_rC07VGSIHEiZssLMF9HHFA_31_17"/>
      <w:bookmarkStart w:id="1268" w:name="Tc_mfFKGtu4PE6cf0QioBgi7Q_31_14"/>
      <w:bookmarkStart w:id="1269" w:name="Tc_5mPqZbjsDkyuWkiNajTRXw_31_11"/>
      <w:bookmarkStart w:id="1270" w:name="Tc_UqgqmXf--k65-fRWHZN6BQ_31_8"/>
      <w:bookmarkStart w:id="1271" w:name="Tc_gxQcHh4XLUCl_pGWIANngA_31_5"/>
      <w:bookmarkStart w:id="1272" w:name="Tc_fzA1jRXULEWSdnX-_B9uxA_31_2"/>
      <w:bookmarkStart w:id="1273" w:name="Tc_qLwMihix6EeYrWpTrIWKvw_31_0"/>
      <w:bookmarkStart w:id="1274" w:name="Tc_-qwpq49R10aX3WFpnGRbpQ_30_0"/>
      <w:bookmarkStart w:id="1275" w:name="Tc_IXuyVnIjT0-lxSg9qJLuFA_29_24"/>
      <w:bookmarkStart w:id="1276" w:name="Tc_VzCoaLkIpUO-wSDIxjNxSw_29_23"/>
      <w:bookmarkStart w:id="1277" w:name="Tc_bJMdHoONdUCML52GZN1aDQ_29_21"/>
      <w:bookmarkStart w:id="1278" w:name="Tc_HIxtnaWk0EaLtLAVtewxdw_29_20"/>
      <w:bookmarkStart w:id="1279" w:name="Tc_5NFsqPU6F0SyQ3dZE0fIpA_29_18"/>
      <w:bookmarkStart w:id="1280" w:name="Tc_zHf-twJvdkukkzGsmiT48g_29_17"/>
      <w:bookmarkStart w:id="1281" w:name="Tc_qGRzc5WL8Ei22YrjomqHxA_29_15"/>
      <w:bookmarkStart w:id="1282" w:name="Tc_80Jv-JxKWkinnDIfN3qdyA_29_14"/>
      <w:bookmarkStart w:id="1283" w:name="Tc_pmnKkTiNfUGNv3balwgU0g_29_12"/>
      <w:bookmarkStart w:id="1284" w:name="Tc_rX4bDlA88kGo6ULVLlivsw_29_11"/>
      <w:bookmarkStart w:id="1285" w:name="Tc_wU9GGgKf_k62GylTIbW96A_29_9"/>
      <w:bookmarkStart w:id="1286" w:name="Tc_7ZeLTEsrbEuqe0L-1IpUHw_29_8"/>
      <w:bookmarkStart w:id="1287" w:name="Tc_TJArxOvWQk6wy2xhSUAipQ_29_6"/>
      <w:bookmarkStart w:id="1288" w:name="Tc_TWNLyyJMKUKL7dFJr5en0A_29_5"/>
      <w:bookmarkStart w:id="1289" w:name="Tc_IcVDJFbHrUuUKyK8vg-2sw_29_3"/>
      <w:bookmarkStart w:id="1290" w:name="Tc_fM4sSi0kHkWBPYGGmC2CIg_29_2"/>
      <w:bookmarkStart w:id="1291" w:name="Tc_3YLgN3zNNk6LOWhI2mkOXQ_29_0"/>
      <w:bookmarkStart w:id="1292" w:name="Tc_wZOVOoNwFEC2bfvTcDP4hQ_28_23"/>
      <w:bookmarkStart w:id="1293" w:name="Tc_XZRmslcWkEysXDVX6a0SaA_28_20"/>
      <w:bookmarkStart w:id="1294" w:name="Tc_xwrKSTo4BEOqUIRhKYXM_g_28_17"/>
      <w:bookmarkStart w:id="1295" w:name="Tc_j792WsJXZ0WpOcmcwIakLw_28_14"/>
      <w:bookmarkStart w:id="1296" w:name="Tc_gkJIYu_9B0yK2Ff6OKYEXA_28_11"/>
      <w:bookmarkStart w:id="1297" w:name="Tc_TPwriuMyp0mTucsyTilrnw_28_8"/>
      <w:bookmarkStart w:id="1298" w:name="Tc_xcUwKu84-Ey7ZkSWniehBQ_28_5"/>
      <w:bookmarkStart w:id="1299" w:name="Tc_YY2LTRGGvE6RPOYn-J_n0g_28_2"/>
      <w:bookmarkStart w:id="1300" w:name="Tc_IS74cT_B6Uyj-QXc45WU3w_28_0"/>
      <w:bookmarkStart w:id="1301" w:name="Tc_LCZm3dSXXUqcYSHBjx7P9Q_27_21"/>
      <w:bookmarkStart w:id="1302" w:name="Tc_jK8GdNBdu0yRfgJNlPj_bQ_27_6"/>
      <w:bookmarkStart w:id="1303" w:name="Tc_uil4Mfvc6UShORVrUcFSiw_27_3"/>
      <w:bookmarkStart w:id="1304" w:name="Tc_DggMfyS8sEqgb1jUStq9YQ_27_0"/>
      <w:bookmarkStart w:id="1305" w:name="Tc_xYSvjGVJ4UW11GlkGVIpow_26_23"/>
      <w:bookmarkStart w:id="1306" w:name="Tc_WeATD3LC3kK7mSeHFOU6hw_26_20"/>
      <w:bookmarkStart w:id="1307" w:name="Tc_wSMLddMpKUmlg2U6s3Pn2g_26_17"/>
      <w:bookmarkStart w:id="1308" w:name="Tc_gAVQqnKVVEa7fsa9Mt6yjQ_26_14"/>
      <w:bookmarkStart w:id="1309" w:name="Tc_dRBNAv2XlEGa4gRTzfNTEg_26_11"/>
      <w:bookmarkStart w:id="1310" w:name="Tc_tyg8pchFe0a78lmOEjWiWg_26_8"/>
      <w:bookmarkStart w:id="1311" w:name="Tc_oPTfEjD2UEOK6goq3q9iNw_26_5"/>
      <w:bookmarkStart w:id="1312" w:name="Tc_eaCuDxRO5UKRr6aa5Y1OgQ_26_2"/>
      <w:bookmarkStart w:id="1313" w:name="Tc_su5AflQPEESlZXZ-PWviaA_26_0"/>
      <w:bookmarkStart w:id="1314" w:name="Tc_zK92giPPpECJmP5taUE14Q_25_0"/>
      <w:bookmarkStart w:id="1315" w:name="Tc_2HZBu8JdX0SFwjX1_nyUfg_24_23"/>
      <w:bookmarkStart w:id="1316" w:name="Tc_jgZsKBxzK02pEyd_2zdA3g_24_21"/>
      <w:bookmarkStart w:id="1317" w:name="Tc_iAbTdWXatEuTv5PoZ_scXw_24_20"/>
      <w:bookmarkStart w:id="1318" w:name="Tc_eWIjAhdo6E25scdhOVG9GQ_24_17"/>
      <w:bookmarkStart w:id="1319" w:name="Tc_-5zZ89bAekScS2q1qBhruw_24_15"/>
      <w:bookmarkStart w:id="1320" w:name="Tc_Qg1WmzGBKkutiCYTxrcWmg_24_14"/>
      <w:bookmarkStart w:id="1321" w:name="Tc_5UbyCAxpNES-r4zHz_AUWg_24_12"/>
      <w:bookmarkStart w:id="1322" w:name="Tc_nWJxLqbu2UuVzybq2N-oqg_24_11"/>
      <w:bookmarkStart w:id="1323" w:name="Tc_rUbXp-woEEaVbxtcCNTmrA_24_9"/>
      <w:bookmarkStart w:id="1324" w:name="Tc_n8wNsfQrU0usClqRT-iqwg_24_8"/>
      <w:bookmarkStart w:id="1325" w:name="Tc_as7MI8ch7UW4__FLLHD1OQ_24_6"/>
      <w:bookmarkStart w:id="1326" w:name="Tc_PBr-ocgm7EqnOWQcslIyIw_24_5"/>
      <w:bookmarkStart w:id="1327" w:name="Tc_P04fE7eBJki4-QXIhTwgMg_24_3"/>
      <w:bookmarkStart w:id="1328" w:name="Tc_besSjD987kemrmifA_axGA_24_2"/>
      <w:bookmarkStart w:id="1329" w:name="Tc_xLHeHw1THUW3Zh6vKR2Jbg_24_0"/>
      <w:bookmarkStart w:id="1330" w:name="Tc_hSvZInbMDkymORZ5wGmyzQ_23_23"/>
      <w:bookmarkStart w:id="1331" w:name="Tc_maIQqjxh-0enzDbVBvdzwQ_23_20"/>
      <w:bookmarkStart w:id="1332" w:name="Tc_xFrtVi6v1USEHEEh17Sn3g_23_17"/>
      <w:bookmarkStart w:id="1333" w:name="Tc_q6u5P4h8g06oTYpBQh0Gug_23_14"/>
      <w:bookmarkStart w:id="1334" w:name="Tc_mBHRngxiAUCrvLtLJNfwkQ_23_11"/>
      <w:bookmarkStart w:id="1335" w:name="Tc_-XxR4mQDe028D0zP0q5y4g_23_8"/>
      <w:bookmarkStart w:id="1336" w:name="Tc_x0qNUFu9YkOItd4I4bsSuA_23_5"/>
      <w:bookmarkStart w:id="1337" w:name="Tc_GwogonqugEm0POmYu2OSDQ_23_2"/>
      <w:bookmarkStart w:id="1338" w:name="Tc_3UIfSGDKek6iRM6flm7i4A_23_0"/>
      <w:bookmarkStart w:id="1339" w:name="Tc_7pAvCTd_S0G7tc-xCeMaFg_22_24"/>
      <w:bookmarkStart w:id="1340" w:name="Tc_I_5egcDNYEO1hjMrqtESLA_22_21"/>
      <w:bookmarkStart w:id="1341" w:name="Tc_9XEioQVDCEO4fyi1_3qIdQ_22_18"/>
      <w:bookmarkStart w:id="1342" w:name="Tc_ReaDfm7dEU601CLiARxQhw_22_15"/>
      <w:bookmarkStart w:id="1343" w:name="Tc_OLYbVH6220K6C9BMJdcLXA_22_12"/>
      <w:bookmarkStart w:id="1344" w:name="Tc_65GRRo3iwEe5SuBATH8zAQ_22_9"/>
      <w:bookmarkStart w:id="1345" w:name="Tc_ApYYp0Pa_0-S4H9mnGbDWg_22_6"/>
      <w:bookmarkStart w:id="1346" w:name="Tc_RUUwRTOuW0SWIAqN-eitLw_22_3"/>
      <w:bookmarkStart w:id="1347" w:name="Tc_INCKLzoxN0uvRMqJJbTceA_22_0"/>
      <w:bookmarkStart w:id="1348" w:name="Tc_G8I6cypPdUCz6ID-g_l6Iw_21_15"/>
      <w:bookmarkStart w:id="1349" w:name="Tc_SouMiE6NLUioA9ZcpQl2aQ_21_3"/>
      <w:bookmarkStart w:id="1350" w:name="Tc_WsSUX--UUU6rNm5A3DlHJw_21_0"/>
      <w:bookmarkStart w:id="1351" w:name="Tc_NaZcX__1CE6T1IACOsXQog_20_21"/>
      <w:bookmarkStart w:id="1352" w:name="Tc_j3QR4SWzmkqFkrmuDHQPyg_20_12"/>
      <w:bookmarkStart w:id="1353" w:name="Tc_XC-eq_h6ZUGjnzXzMB3Vzg_20_9"/>
      <w:bookmarkStart w:id="1354" w:name="Tc_0ATzC1wW1EubgUFiuCxOHg_20_6"/>
      <w:bookmarkStart w:id="1355" w:name="Tc_yvhpbJU-J0ChSmRtru5EPw_20_3"/>
      <w:bookmarkStart w:id="1356" w:name="Tc_qrFOeZ0SLU6FuiktJ_H4OQ_20_0"/>
      <w:bookmarkStart w:id="1357" w:name="Tc_z1FjwxqyFkun5N2MnkLjyg_19_23"/>
      <w:bookmarkStart w:id="1358" w:name="Tc_4N6cQ2RiR0y8diW3i_gNQA_19_20"/>
      <w:bookmarkStart w:id="1359" w:name="Tc_V6HQ8BM0I0el97HdpBnvuA_19_17"/>
      <w:bookmarkStart w:id="1360" w:name="Tc_JKFhNdWx0kuSrRNJjGss-w_19_14"/>
      <w:bookmarkStart w:id="1361" w:name="Tc_qrVZgUKzckGtKzlBQ8iZzQ_19_11"/>
      <w:bookmarkStart w:id="1362" w:name="Tc_2y7g9rFPKUC7dvSDk8yYPQ_19_8"/>
      <w:bookmarkStart w:id="1363" w:name="Tc_oFc8C-WDB0ykVrcKlQvvUA_19_5"/>
      <w:bookmarkStart w:id="1364" w:name="Tc_4XvRN8Z2QEWQPDbrCo0zOw_19_2"/>
      <w:bookmarkStart w:id="1365" w:name="Tc_1IvPdCkyT02WZDPEi_OojA_19_0"/>
      <w:bookmarkStart w:id="1366" w:name="Tc_hDT4NJJSs0KW38Yuyj47xg_18_0"/>
      <w:bookmarkStart w:id="1367" w:name="Tc_cI7JtNhUvEiyrMyVXkOs_g_17_24"/>
      <w:bookmarkStart w:id="1368" w:name="Tc_FOlR1BuEoEyX92ZqVqSirQ_17_23"/>
      <w:bookmarkStart w:id="1369" w:name="Tc_41WWlHm4PkiWEvAm3zimkw_17_21"/>
      <w:bookmarkStart w:id="1370" w:name="Tc_HUXKMNkvdU-W88XPTv-yBQ_17_20"/>
      <w:bookmarkStart w:id="1371" w:name="Tc_i6ujrwY4j0aN7c9THxr3Og_17_18"/>
      <w:bookmarkStart w:id="1372" w:name="Tc_3Z2KPkgU1UCJAg6BN9xa3A_17_17"/>
      <w:bookmarkStart w:id="1373" w:name="Tc_aRRpL6cot0inh6nj5Z8WDQ_17_15"/>
      <w:bookmarkStart w:id="1374" w:name="Tc_jLZt0FskqEGav7fcZGLuXw_17_14"/>
      <w:bookmarkStart w:id="1375" w:name="Tc_WaPbqPvdwUalFqSNNisRlQ_17_12"/>
      <w:bookmarkStart w:id="1376" w:name="Tc_RUC_YW4QWkuhqpnLqupLWg_17_11"/>
      <w:bookmarkStart w:id="1377" w:name="Tc_IOZSf6D9HkKvl67j4RGhPQ_17_9"/>
      <w:bookmarkStart w:id="1378" w:name="Tc_IdGpZSpAQ06mQVI87mQOgg_17_8"/>
      <w:bookmarkStart w:id="1379" w:name="Tc_Nc_AYe-dxECopum3SoAI1g_17_6"/>
      <w:bookmarkStart w:id="1380" w:name="Tc_xPOCDr_T10CQp0iCSe9C0w_17_5"/>
      <w:bookmarkStart w:id="1381" w:name="Tc_a0xAu5GsUUKrCmQlWo4C0w_17_3"/>
      <w:bookmarkStart w:id="1382" w:name="Tc_AIokipWaw0CCRrEv-7N25Q_17_2"/>
      <w:bookmarkStart w:id="1383" w:name="Tc_onpuOoSNGkaASTuu6V6gBg_17_0"/>
      <w:bookmarkStart w:id="1384" w:name="Tc_Ust1eI9ufEaDLy1MKG5JPQ_16_23"/>
      <w:bookmarkStart w:id="1385" w:name="Tc_LzB4fExY5E2tLlxtJpRX1g_16_21"/>
      <w:bookmarkStart w:id="1386" w:name="Tc_IlrJ3UFYGEaQe8pkVMxdLA_16_20"/>
      <w:bookmarkStart w:id="1387" w:name="Tc_kiniXvRBG0uJ7Gt5TdtenA_16_17"/>
      <w:bookmarkStart w:id="1388" w:name="Tc_nugJQXyMbEmhLFXoPVibZg_16_14"/>
      <w:bookmarkStart w:id="1389" w:name="Tc_-PTAP_paFUSkFZKwTwqmbA_16_11"/>
      <w:bookmarkStart w:id="1390" w:name="Tc_WX2zgEuwUE-e8NyWRfGJ5Q_16_8"/>
      <w:bookmarkStart w:id="1391" w:name="Tc_V26cdZ9Y-UWocP6QAxZ2FA_16_5"/>
      <w:bookmarkStart w:id="1392" w:name="Tc_sIgFR0wGvkSTdaeO6LFLbw_16_2"/>
      <w:bookmarkStart w:id="1393" w:name="Tc_ucMlytfKMU6A1K16AsOthA_16_0"/>
      <w:bookmarkStart w:id="1394" w:name="Tc_le34OfQHFUChdPPzBunyiQ_15_24"/>
      <w:bookmarkStart w:id="1395" w:name="Tc_oY8CrM41E0OE-oGdm7Fnog_15_21"/>
      <w:bookmarkStart w:id="1396" w:name="Tc_WgP_LPbRJEqItw49w4CdSA_15_18"/>
      <w:bookmarkStart w:id="1397" w:name="Tc_3Hjt1dQov0eGQtDrflJyEQ_15_15"/>
      <w:bookmarkStart w:id="1398" w:name="Tc_ZqmBdTue20axhv9fzomACg_15_12"/>
      <w:bookmarkStart w:id="1399" w:name="Tc_ARna0JtiPEOHEooIgEHMyA_15_9"/>
      <w:bookmarkStart w:id="1400" w:name="Tc_hu751tBkOUS9b2-JuXnSGg_15_6"/>
      <w:bookmarkStart w:id="1401" w:name="Tc_iUmPZDWE40K8tE_66t3epw_15_3"/>
      <w:bookmarkStart w:id="1402" w:name="Tc_8FXHdeF-UU-trsCjI50TvQ_15_0"/>
      <w:bookmarkStart w:id="1403" w:name="Tc_2azeiLgSOEymcm9Yu1qbng_14_21"/>
      <w:bookmarkStart w:id="1404" w:name="Tc_Nzs5MVZEH0WlRD3nYVtPvw_14_18"/>
      <w:bookmarkStart w:id="1405" w:name="Tc_dUMLOxOb80GGaBjM5lNYQA_14_15"/>
      <w:bookmarkStart w:id="1406" w:name="Tc_sZ5Zm9dA7EaSgBQ_1fyVlA_14_12"/>
      <w:bookmarkStart w:id="1407" w:name="Tc_DMXwIygCuEK6nTgkHA5NSQ_14_6"/>
      <w:bookmarkStart w:id="1408" w:name="Tc_jyLRyHMC9keuFHLaAhpMaQ_14_3"/>
      <w:bookmarkStart w:id="1409" w:name="Tc_q3QW9bBQr0CLs6QM1OM_Jg_14_0"/>
      <w:bookmarkStart w:id="1410" w:name="Tc_6k6a7zoSc0aQYnHyOc-jYQ_13_24"/>
      <w:bookmarkStart w:id="1411" w:name="Tc_LhoBUbu_rkujo1Nl6O3iyA_13_21"/>
      <w:bookmarkStart w:id="1412" w:name="Tc_bx4fC5ek-U-0pHZbHykvMw_13_18"/>
      <w:bookmarkStart w:id="1413" w:name="Tc_I64eQRrvj0y4ga6jDIer-g_13_15"/>
      <w:bookmarkStart w:id="1414" w:name="Tc_E-3Xrnw1xUS2Loa4YB3RCw_13_12"/>
      <w:bookmarkStart w:id="1415" w:name="Tc_qHuTikHAO0iA1RfcBtbhnA_13_9"/>
      <w:bookmarkStart w:id="1416" w:name="Tc_vkFNZjTS8km8y02tf_UxLQ_13_6"/>
      <w:bookmarkStart w:id="1417" w:name="Tc_rA5Aafg43kOo1NJ9A4ipfA_13_3"/>
      <w:bookmarkStart w:id="1418" w:name="Tc_SVLpeGcVt0emKSXHIrDz3A_13_0"/>
      <w:bookmarkStart w:id="1419" w:name="Tc_BhoDB_CTQkePlYzL7yrlvA_12_23"/>
      <w:bookmarkStart w:id="1420" w:name="Tc_ettaIVHJlUayanOBo71vLA_12_21"/>
      <w:bookmarkStart w:id="1421" w:name="Tc_90yM3rCUK0unSeZ0DIDAdg_12_20"/>
      <w:bookmarkStart w:id="1422" w:name="Tc_LlqJtAuWKEKsdlWZNqimzw_12_17"/>
      <w:bookmarkStart w:id="1423" w:name="Tc_SmXSybhDwU2Y3IX1BL1a5g_12_14"/>
      <w:bookmarkStart w:id="1424" w:name="Tc_jDHMt8E1vESvehgOlo7lgg_12_11"/>
      <w:bookmarkStart w:id="1425" w:name="Tc_85gViHE6Q0CdDgzpKoPJZw_12_8"/>
      <w:bookmarkStart w:id="1426" w:name="Tc_S3TphdbDPUmVqSLQgXtMcw_12_5"/>
      <w:bookmarkStart w:id="1427" w:name="Tc_jkOCyiq5-UiRY0zk2sPuhw_12_2"/>
      <w:bookmarkStart w:id="1428" w:name="Tc_s1Pa2IeU8EiyV8hvW38TgQ_12_0"/>
      <w:bookmarkStart w:id="1429" w:name="Tc_3OwUsP-npEup4IYWJOU_cA_11_0"/>
      <w:bookmarkStart w:id="1430" w:name="Tc_a_QyXnOEpkidW-adtTmKNg_10_23"/>
      <w:bookmarkStart w:id="1431" w:name="Tc_-Xv_2Tyo1ky9-pHmjrKdXQ_10_21"/>
      <w:bookmarkStart w:id="1432" w:name="Tc_dtnhngSHAUuAddD6ZjOMQA_10_20"/>
      <w:bookmarkStart w:id="1433" w:name="Tc_dx2GJIcU1US5OAww73wjrQ_10_17"/>
      <w:bookmarkStart w:id="1434" w:name="Tc_hdd1X-y1Y0Ks-LTT_Lp93Q_10_15"/>
      <w:bookmarkStart w:id="1435" w:name="Tc_sK5q0HtS8UW51Fp3_UC_Yg_10_14"/>
      <w:bookmarkStart w:id="1436" w:name="Tc_rKc9ar2ikkmW1151ofxbMw_10_12"/>
      <w:bookmarkStart w:id="1437" w:name="Tc_JG_iHKv6IU6tbvMcsqm13g_10_11"/>
      <w:bookmarkStart w:id="1438" w:name="Tc_yt7d_WdKpkmSaTe_lPK3Vw_10_9"/>
      <w:bookmarkStart w:id="1439" w:name="Tc_3i75GuzAzkm73mgE1iS6sw_10_8"/>
      <w:bookmarkStart w:id="1440" w:name="Tc_DcNDnDU71kGoqJKQXZCspw_10_6"/>
      <w:bookmarkStart w:id="1441" w:name="Tc_MDhBgEax3kejxULHR_BqSA_10_5"/>
      <w:bookmarkStart w:id="1442" w:name="Tc_nxCgB9yq6EuoqrJgqfolLg_10_3"/>
      <w:bookmarkStart w:id="1443" w:name="Tc_ZMtCv_4JUk2jhj-CRDOCPQ_10_2"/>
      <w:bookmarkStart w:id="1444" w:name="Tc_wRIlPSC-dkyzqm4n_LrPbQ_10_0"/>
      <w:bookmarkStart w:id="1445" w:name="Tc_epBeFonkS02tFFIYorn3hw_9_23"/>
      <w:bookmarkStart w:id="1446" w:name="Tc_XKQtVqA3U0eAt2_RHaQTxw_9_20"/>
      <w:bookmarkStart w:id="1447" w:name="Tc_WaBXiiFyyUyme3Pb5fHf0A_9_17"/>
      <w:bookmarkStart w:id="1448" w:name="Tc_GKBSkSZe90CHDuQ-7GxVwQ_9_14"/>
      <w:bookmarkStart w:id="1449" w:name="Tc_Svj1ko1WlE6nF2kYW0n_sA_9_11"/>
      <w:bookmarkStart w:id="1450" w:name="Tc_Efte7iQLWEa-BODWwgsHew_9_8"/>
      <w:bookmarkStart w:id="1451" w:name="Tc_dHEsPlY7pUelGxSwrA-qmw_9_5"/>
      <w:bookmarkStart w:id="1452" w:name="Tc_UY1eGaIN2Uudnu79NQAtKA_9_2"/>
      <w:bookmarkStart w:id="1453" w:name="Tc_rqPRscBJm06hwfA9iwNiSA_9_0"/>
      <w:bookmarkStart w:id="1454" w:name="Tc_VRTpOk7IbUWv6TrqUZ_JgA_8_24"/>
      <w:bookmarkStart w:id="1455" w:name="Tc_1QE16WB9_02SRsla0Ivv9Q_8_21"/>
      <w:bookmarkStart w:id="1456" w:name="Tc_PPmbgoOBaE-rogsNEC1ZYg_8_18"/>
      <w:bookmarkStart w:id="1457" w:name="Tc_LzElfOGVIkK5qOCiP4u-0w_8_15"/>
      <w:bookmarkStart w:id="1458" w:name="Tc_ksI9SZdYCUWIX-daF8vLMQ_8_12"/>
      <w:bookmarkStart w:id="1459" w:name="Tc_bsEbyj7Om0OVoJBI3-aBtg_8_9"/>
      <w:bookmarkStart w:id="1460" w:name="Tc_UCVRyY1z7kCRsVibIWnojw_8_6"/>
      <w:bookmarkStart w:id="1461" w:name="Tc_PBX9pUvM7U-VDJDvI7oqrw_8_3"/>
      <w:bookmarkStart w:id="1462" w:name="Tc_zAGZTxZ470uXVSOC0nkv8A_8_0"/>
      <w:bookmarkStart w:id="1463" w:name="Tc_Y29sNjU-rkC9cqSaDmjuWQ_7_3"/>
      <w:bookmarkStart w:id="1464" w:name="Tc_BVxJueWp0UagBDg0VnaFVA_7_0"/>
      <w:bookmarkStart w:id="1465" w:name="Tc_8ra3yVpCY0mL-_iv5UOAxg_6_15"/>
      <w:bookmarkStart w:id="1466" w:name="Tc_G5jAD71GGEicKxsXME-JCA_6_9"/>
      <w:bookmarkStart w:id="1467" w:name="Tc__swSKiMomUeR2NL_s7BXow_6_3"/>
      <w:bookmarkStart w:id="1468" w:name="Tc_Xu84cpHLwU-L0u5iSZLLZQ_6_0"/>
      <w:bookmarkStart w:id="1469" w:name="Tc_Py-WdLUer06ETlloNFEpiA_5_23"/>
      <w:bookmarkStart w:id="1470" w:name="Tc_80cMzgfO7UmCExAOhyjvmA_5_20"/>
      <w:bookmarkStart w:id="1471" w:name="Tc_KGzWy2iIlkOGgtxVF1Q3kQ_5_17"/>
      <w:bookmarkStart w:id="1472" w:name="Tc_0EQmWoVHjUeCUUNOfUOcCQ_5_14"/>
      <w:bookmarkStart w:id="1473" w:name="Tc_RqNlxulG90KokOX956irFA_5_11"/>
      <w:bookmarkStart w:id="1474" w:name="Tc_yrrnwE21AkmlXJ2tmoAHPg_5_8"/>
      <w:bookmarkStart w:id="1475" w:name="Tc_Kkwp9AeM1UC8VaDTSoIb7g_5_5"/>
      <w:bookmarkStart w:id="1476" w:name="Tc_kr3tD8t9yki4Ys2oeF1RrQ_5_2"/>
      <w:bookmarkStart w:id="1477" w:name="Tc_rrvAxY7BOUST6eUOQ7qhFw_5_0"/>
      <w:bookmarkStart w:id="1478" w:name="Tc_AYZHF4RrvUqFmbtqDbD0HQ_4_0"/>
      <w:bookmarkStart w:id="1479" w:name="Tc_IHuYXBZi80CjtP9LDPKB2Q_3_23"/>
      <w:bookmarkStart w:id="1480" w:name="Tc_8OQGOBujnkuK1Zb_qgf6Fg_3_20"/>
      <w:bookmarkStart w:id="1481" w:name="Tc_Vd-wnmXsIk64Oj0G9aFoSA_3_17"/>
      <w:bookmarkStart w:id="1482" w:name="Tc_PX7y5YjpG0eO-w_e-yf9IA_3_14"/>
      <w:bookmarkStart w:id="1483" w:name="Tc_qTO6pXru10O_IHO2Xq8ejQ_3_11"/>
      <w:bookmarkStart w:id="1484" w:name="Tc_oj9Vqy1_XkOsVYyTWss2Dg_3_8"/>
      <w:bookmarkStart w:id="1485" w:name="Tc_cSN1f6R2xkCdmd4DjRrmiQ_3_5"/>
      <w:bookmarkStart w:id="1486" w:name="Tc_7WUVOmgsfEibS-T4dcTbcA_3_2"/>
      <w:bookmarkStart w:id="1487" w:name="Tc_x8Mn2EWxvkKyAZUFIteEYA_3_0"/>
      <w:bookmarkStart w:id="1488" w:name="Tc_RyIgq5svIE6vg0VVW2kzNg_2_20"/>
      <w:bookmarkStart w:id="1489" w:name="Tc_cXktmlzCq0qAFvHv5VaXJw_2_2"/>
      <w:bookmarkStart w:id="1490" w:name="Tc_srCRut669EGsUkEzG2woNg_2_0"/>
      <w:bookmarkStart w:id="1491" w:name="Tc_bR2yOzQN6UKl18hEc4UR8g_1_20"/>
      <w:bookmarkStart w:id="1492" w:name="_e149aecc_f5d4_4278_9b64_64bfba3e7cdf"/>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r>
        <w:rPr>
          <w:rFonts w:ascii="Times New Roman;Times;serif" w:hAnsi="Times New Roman;Times;serif"/>
          <w:sz w:val="20"/>
        </w:rPr>
        <w:t>The following tables set forth the amortized cost basis of loans by credit quality indicator and vintage based on the most recent analysis performed, as of March 31, 2024 and December 31,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15"/>
        <w:gridCol w:w="326"/>
        <w:gridCol w:w="181"/>
        <w:gridCol w:w="511"/>
        <w:gridCol w:w="326"/>
        <w:gridCol w:w="181"/>
        <w:gridCol w:w="586"/>
        <w:gridCol w:w="326"/>
        <w:gridCol w:w="181"/>
        <w:gridCol w:w="586"/>
        <w:gridCol w:w="326"/>
        <w:gridCol w:w="181"/>
        <w:gridCol w:w="586"/>
        <w:gridCol w:w="326"/>
        <w:gridCol w:w="181"/>
        <w:gridCol w:w="586"/>
        <w:gridCol w:w="326"/>
        <w:gridCol w:w="181"/>
        <w:gridCol w:w="586"/>
        <w:gridCol w:w="326"/>
        <w:gridCol w:w="197"/>
        <w:gridCol w:w="639"/>
        <w:gridCol w:w="326"/>
        <w:gridCol w:w="181"/>
        <w:gridCol w:w="738"/>
      </w:tblGrid>
      <w:tr>
        <w:trPr/>
        <w:tc>
          <w:tcPr>
            <w:tcW w:w="1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835025" cy="175260"/>
                      <wp:effectExtent l="0" t="0" r="0" b="0"/>
                      <wp:wrapNone/>
                      <wp:docPr id="173" name="Frame173"/>
                      <a:graphic xmlns:a="http://schemas.openxmlformats.org/drawingml/2006/main">
                        <a:graphicData uri="http://schemas.microsoft.com/office/word/2010/wordprocessingShape">
                          <wps:wsp>
                            <wps:cNvSpPr txBox="1"/>
                            <wps:spPr>
                              <a:xfrm>
                                <a:off x="0" y="0"/>
                                <a:ext cx="835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14935" cy="175260"/>
                      <wp:effectExtent l="0" t="0" r="0" b="0"/>
                      <wp:wrapNone/>
                      <wp:docPr id="175" name="Frame17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24485" cy="175260"/>
                      <wp:effectExtent l="0" t="0" r="0" b="0"/>
                      <wp:wrapNone/>
                      <wp:docPr id="176" name="Frame17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14935" cy="175260"/>
                      <wp:effectExtent l="0" t="0" r="0" b="0"/>
                      <wp:wrapNone/>
                      <wp:docPr id="178" name="Frame17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72110" cy="175260"/>
                      <wp:effectExtent l="0" t="0" r="0" b="0"/>
                      <wp:wrapNone/>
                      <wp:docPr id="179" name="Frame17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14935" cy="175260"/>
                      <wp:effectExtent l="0" t="0" r="0" b="0"/>
                      <wp:wrapNone/>
                      <wp:docPr id="181" name="Frame18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72110" cy="175260"/>
                      <wp:effectExtent l="0" t="0" r="0" b="0"/>
                      <wp:wrapNone/>
                      <wp:docPr id="182" name="Frame18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14935" cy="175260"/>
                      <wp:effectExtent l="0" t="0" r="0" b="0"/>
                      <wp:wrapNone/>
                      <wp:docPr id="184" name="Frame18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72110" cy="175260"/>
                      <wp:effectExtent l="0" t="0" r="0" b="0"/>
                      <wp:wrapNone/>
                      <wp:docPr id="185" name="Frame18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14935" cy="175260"/>
                      <wp:effectExtent l="0" t="0" r="0" b="0"/>
                      <wp:wrapNone/>
                      <wp:docPr id="187" name="Frame18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72110" cy="175260"/>
                      <wp:effectExtent l="0" t="0" r="0" b="0"/>
                      <wp:wrapNone/>
                      <wp:docPr id="188" name="Frame18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14935" cy="175260"/>
                      <wp:effectExtent l="0" t="0" r="0" b="0"/>
                      <wp:wrapNone/>
                      <wp:docPr id="190" name="Frame19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72110" cy="175260"/>
                      <wp:effectExtent l="0" t="0" r="0" b="0"/>
                      <wp:wrapNone/>
                      <wp:docPr id="191" name="Frame19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5095" cy="175260"/>
                      <wp:effectExtent l="0" t="0" r="0" b="0"/>
                      <wp:wrapNone/>
                      <wp:docPr id="193" name="Frame193"/>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05765" cy="175260"/>
                      <wp:effectExtent l="0" t="0" r="0" b="0"/>
                      <wp:wrapNone/>
                      <wp:docPr id="194" name="Frame194"/>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14935" cy="175260"/>
                      <wp:effectExtent l="0" t="0" r="0" b="0"/>
                      <wp:wrapNone/>
                      <wp:docPr id="196" name="Frame19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68630" cy="175260"/>
                      <wp:effectExtent l="0" t="0" r="0" b="0"/>
                      <wp:wrapNone/>
                      <wp:docPr id="197" name="Frame197"/>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3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Revolving</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left"/>
              <w:rPr/>
            </w:pPr>
            <w:r>
              <w:rPr/>
              <w:t>​</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i/>
                <w:sz w:val="12"/>
              </w:rPr>
            </w:pPr>
            <w:r>
              <w:rPr>
                <w:rFonts w:ascii="Times New Roman;Times;serif" w:hAnsi="Times New Roman;Times;serif"/>
                <w:i/>
                <w:sz w:val="12"/>
              </w:rPr>
              <w:t>(dollars in thousands)</w:t>
            </w:r>
          </w:p>
        </w:tc>
        <w:tc>
          <w:tcPr>
            <w:tcW w:w="326" w:type="dxa"/>
            <w:tcBorders/>
            <w:vAlign w:val="center"/>
          </w:tcPr>
          <w:p>
            <w:pPr>
              <w:pStyle w:val="TableContents"/>
              <w:bidi w:val="0"/>
              <w:spacing w:before="0" w:after="1"/>
              <w:ind w:left="0" w:right="0" w:hanging="0"/>
              <w:jc w:val="left"/>
              <w:rPr/>
            </w:pPr>
            <w:r>
              <w:rPr/>
              <w:t>    </w:t>
            </w:r>
          </w:p>
        </w:tc>
        <w:tc>
          <w:tcPr>
            <w:tcW w:w="6157"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Term Loans Amortized Cost Basis by Origination Year</w:t>
            </w:r>
          </w:p>
        </w:tc>
        <w:tc>
          <w:tcPr>
            <w:tcW w:w="326" w:type="dxa"/>
            <w:tcBorders/>
            <w:vAlign w:val="center"/>
          </w:tcPr>
          <w:p>
            <w:pPr>
              <w:pStyle w:val="TableContents"/>
              <w:bidi w:val="0"/>
              <w:spacing w:before="0" w:after="1"/>
              <w:ind w:left="0" w:right="0" w:hanging="0"/>
              <w:jc w:val="left"/>
              <w:rPr/>
            </w:pPr>
            <w:r>
              <w:rPr/>
              <w:t>​</w:t>
            </w:r>
          </w:p>
        </w:tc>
        <w:tc>
          <w:tcPr>
            <w:tcW w:w="83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Loans Amortized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left"/>
              <w:rPr/>
            </w:pPr>
            <w:r>
              <w:rPr/>
              <w:t>​</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As of March 31, 2024</w:t>
            </w:r>
          </w:p>
        </w:tc>
        <w:tc>
          <w:tcPr>
            <w:tcW w:w="326" w:type="dxa"/>
            <w:tcBorders/>
            <w:vAlign w:val="center"/>
          </w:tcPr>
          <w:p>
            <w:pPr>
              <w:pStyle w:val="TableContents"/>
              <w:bidi w:val="0"/>
              <w:spacing w:before="0" w:after="1"/>
              <w:ind w:left="0" w:right="0" w:hanging="0"/>
              <w:jc w:val="left"/>
              <w:rPr/>
            </w:pPr>
            <w:r>
              <w:rPr/>
              <w:t>​</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2020</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Prior</w:t>
            </w:r>
          </w:p>
        </w:tc>
        <w:tc>
          <w:tcPr>
            <w:tcW w:w="326" w:type="dxa"/>
            <w:tcBorders/>
            <w:vAlign w:val="center"/>
          </w:tcPr>
          <w:p>
            <w:pPr>
              <w:pStyle w:val="TableContents"/>
              <w:bidi w:val="0"/>
              <w:spacing w:before="0" w:after="1"/>
              <w:ind w:left="0" w:right="0" w:hanging="0"/>
              <w:jc w:val="left"/>
              <w:rPr/>
            </w:pPr>
            <w:r>
              <w:rPr/>
              <w:t>​</w:t>
            </w:r>
          </w:p>
        </w:tc>
        <w:tc>
          <w:tcPr>
            <w:tcW w:w="8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Cost Basis</w:t>
            </w:r>
          </w:p>
        </w:tc>
        <w:tc>
          <w:tcPr>
            <w:tcW w:w="326" w:type="dxa"/>
            <w:tcBorders/>
            <w:vAlign w:val="center"/>
          </w:tcPr>
          <w:p>
            <w:pPr>
              <w:pStyle w:val="TableContents"/>
              <w:bidi w:val="0"/>
              <w:spacing w:before="0" w:after="1"/>
              <w:ind w:left="0" w:right="0" w:hanging="0"/>
              <w:jc w:val="left"/>
              <w:rPr/>
            </w:pPr>
            <w:r>
              <w:rPr/>
              <w:t>​</w:t>
            </w:r>
          </w:p>
        </w:tc>
        <w:tc>
          <w:tcPr>
            <w:tcW w:w="9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Commercial and industrial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7"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left"/>
              <w:rPr/>
            </w:pPr>
            <w:r>
              <w:rPr/>
              <w:t>​</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41,962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183,564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82,980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56,800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60,343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48,218</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95,175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569,042</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7,810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1,878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10,255</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4,960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5,487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2,976</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16,986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32,398</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41,962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184,563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87,940</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66,153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65,830</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51,208</w:t>
            </w:r>
          </w:p>
        </w:tc>
        <w:tc>
          <w:tcPr>
            <w:tcW w:w="3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114,039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611,695</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Gross charge-offs for the period ended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Real estate construction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left"/>
              <w:rPr/>
            </w:pPr>
            <w:r>
              <w:rPr/>
              <w:t>​</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1,851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26,751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70,126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5,154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929</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104,911</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pPr>
            <w:r>
              <w:rPr/>
              <w:t>—</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21,055</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21,055</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1,851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26,751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91,181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5,154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929</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125,966</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Gross charge-offs for the period ended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vAlign w:val="center"/>
          </w:tcPr>
          <w:p>
            <w:pPr>
              <w:pStyle w:val="TableContents"/>
              <w:bidi w:val="0"/>
              <w:spacing w:before="0" w:after="1"/>
              <w:ind w:left="0" w:right="0" w:hanging="0"/>
              <w:jc w:val="right"/>
              <w:rPr/>
            </w:pPr>
            <w:r>
              <w:rPr/>
              <w:t>—</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Commercial 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left"/>
              <w:rPr/>
            </w:pPr>
            <w:r>
              <w:rPr/>
              <w:t>​</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29,459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272,847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262,017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140,221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139,105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267,003</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7,854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1,118,506</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12,957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1,972</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14,929</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6,020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2,261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5,187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5,397</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648</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19,513</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29,459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278,867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264,278</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145,408</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152,062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274,372</w:t>
            </w:r>
          </w:p>
        </w:tc>
        <w:tc>
          <w:tcPr>
            <w:tcW w:w="3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8,502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1,152,948</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Gross charge-offs for the period ended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Residential real estate first mortgage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left"/>
              <w:rPr/>
            </w:pPr>
            <w:r>
              <w:rPr/>
              <w:t>​</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Performing</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5,538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71,933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199,111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216,774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106,562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116,181</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716,850</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Nonperforming</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4,361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921</w:t>
            </w:r>
          </w:p>
        </w:tc>
        <w:tc>
          <w:tcPr>
            <w:tcW w:w="3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5,301</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5,538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71,933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203,472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216,781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106,574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117,102</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722,151</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Gross charge-offs for the period ended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vAlign w:val="center"/>
          </w:tcPr>
          <w:p>
            <w:pPr>
              <w:pStyle w:val="TableContents"/>
              <w:bidi w:val="0"/>
              <w:spacing w:before="0" w:after="1"/>
              <w:ind w:left="0" w:right="0" w:hanging="0"/>
              <w:jc w:val="right"/>
              <w:rPr/>
            </w:pPr>
            <w:r>
              <w:rPr/>
              <w:t>—</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Residential real estate junior lien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8" w:type="dxa"/>
            <w:tcBorders/>
            <w:shd w:fill="CCEEFF" w:val="clear"/>
            <w:vAlign w:val="center"/>
          </w:tcPr>
          <w:p>
            <w:pPr>
              <w:pStyle w:val="TableContents"/>
              <w:bidi w:val="0"/>
              <w:spacing w:before="0" w:after="1"/>
              <w:ind w:left="0" w:right="0" w:hanging="0"/>
              <w:jc w:val="left"/>
              <w:rPr/>
            </w:pPr>
            <w:r>
              <w:rPr/>
              <w:t>​</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Performing</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17,642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15,169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5,872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4,528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6,394</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102,630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154,294</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Nonperforming</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317</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2,588</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2,303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17,642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15,169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5,983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4,528</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6,711</w:t>
            </w:r>
          </w:p>
        </w:tc>
        <w:tc>
          <w:tcPr>
            <w:tcW w:w="3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104,546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156,882</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Gross charge-offs for the period ended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shd w:fill="CCEEFF" w:val="clear"/>
            <w:vAlign w:val="center"/>
          </w:tcPr>
          <w:p>
            <w:pPr>
              <w:pStyle w:val="TableContents"/>
              <w:bidi w:val="0"/>
              <w:spacing w:before="0" w:after="1"/>
              <w:ind w:left="0" w:right="0" w:hanging="0"/>
              <w:jc w:val="right"/>
              <w:rPr/>
            </w:pPr>
            <w:r>
              <w:rPr/>
              <w:t>—</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Other revolving and installment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8" w:type="dxa"/>
            <w:tcBorders/>
            <w:vAlign w:val="center"/>
          </w:tcPr>
          <w:p>
            <w:pPr>
              <w:pStyle w:val="TableContents"/>
              <w:bidi w:val="0"/>
              <w:spacing w:before="0" w:after="1"/>
              <w:ind w:left="0" w:right="0" w:hanging="0"/>
              <w:jc w:val="left"/>
              <w:rPr/>
            </w:pPr>
            <w:r>
              <w:rPr/>
              <w:t>​</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Performing</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4,633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5,786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3,449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1,747</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12,509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29,832</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Nonperforming</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880</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4,633</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5,786</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828</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3,449</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1,748</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12,509</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29,833</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Gross charge-offs for the period ended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Total loans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81,993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584,389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667,826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440,307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332,543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452,070</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240,347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2,799,475</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Gross charge-offs for the period ended</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202</w:t>
            </w:r>
          </w:p>
        </w:tc>
        <w:tc>
          <w:tcPr>
            <w:tcW w:w="326" w:type="dxa"/>
            <w:tcBorders/>
            <w:vAlign w:val="center"/>
          </w:tcPr>
          <w:p>
            <w:pPr>
              <w:pStyle w:val="TableContents"/>
              <w:bidi w:val="0"/>
              <w:spacing w:before="0" w:after="1"/>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3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8" w:type="dxa"/>
            <w:tcBorders>
              <w:bottom w:val="double" w:sz="6" w:space="0" w:color="000000"/>
            </w:tcBorders>
            <w:tcMar>
              <w:bottom w:w="28" w:type="dxa"/>
            </w:tcMar>
            <w:vAlign w:val="center"/>
          </w:tcPr>
          <w:p>
            <w:pPr>
              <w:pStyle w:val="TableContents"/>
              <w:bidi w:val="0"/>
              <w:spacing w:before="0" w:after="1"/>
              <w:ind w:left="0" w:right="43" w:hanging="0"/>
              <w:jc w:val="right"/>
              <w:rPr>
                <w:rFonts w:ascii="Times New Roman;Times;serif" w:hAnsi="Times New Roman;Times;serif"/>
                <w:sz w:val="14"/>
              </w:rPr>
            </w:pPr>
            <w:r>
              <w:rPr>
                <w:rFonts w:ascii="Times New Roman;Times;serif" w:hAnsi="Times New Roman;Times;serif"/>
                <w:sz w:val="14"/>
              </w:rPr>
              <w:t>205</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493" w:name="Tc_c9pwsUx3Y0icJGlwSoLsWQ_41_23"/>
      <w:bookmarkStart w:id="1494" w:name="Tc_5My4O9uOmkKUJASMovArvw_41_21"/>
      <w:bookmarkStart w:id="1495" w:name="Tc_tO1oELH_30OqIUseZv7gnQ_41_20"/>
      <w:bookmarkStart w:id="1496" w:name="Tc__xRtFPByIkqLrfzo6VzRKQ_41_17"/>
      <w:bookmarkStart w:id="1497" w:name="Tc_iwUL-DS2tE6i-Mi-LslTjw_41_14"/>
      <w:bookmarkStart w:id="1498" w:name="Tc_estkwhqHeUGDuLs5Mbjvdg_41_11"/>
      <w:bookmarkStart w:id="1499" w:name="Tc_EPsmHRhY-0CXGUlnnZB5gg_41_8"/>
      <w:bookmarkStart w:id="1500" w:name="Tc_FUkQmDWwg0et3_SHYyguwg_41_5"/>
      <w:bookmarkStart w:id="1501" w:name="Tc_nsnolFFdckqAARzs3f8O8g_41_2"/>
      <w:bookmarkStart w:id="1502" w:name="Tc_RXYM0yy30kWalw3kxSljMQ_41_0"/>
      <w:bookmarkStart w:id="1503" w:name="Tc_lzz9IVQpZ0S4Wbq1tQQwqA_40_23"/>
      <w:bookmarkStart w:id="1504" w:name="Tc_BXsULYa9MU61h1aI4PlPHQ_40_20"/>
      <w:bookmarkStart w:id="1505" w:name="Tc_bjxrajHuSUyo0GMyOkrcaw_40_17"/>
      <w:bookmarkStart w:id="1506" w:name="Tc_y07ZwYXlC0eZJpzL_RaUzg_40_14"/>
      <w:bookmarkStart w:id="1507" w:name="Tc_MZz8BDXO3UCe85t9rGej7Q_40_11"/>
      <w:bookmarkStart w:id="1508" w:name="Tc_gfh8EnEdqEGkUvYJFNsFpw_40_8"/>
      <w:bookmarkStart w:id="1509" w:name="Tc_0c17ERBUY0qDpU1KODogTA_40_5"/>
      <w:bookmarkStart w:id="1510" w:name="Tc_d8Nvtn7cc0SA_Ke4DennHg_40_2"/>
      <w:bookmarkStart w:id="1511" w:name="Tc_zBmhMooaM0GRgbHXm5aSGQ_40_0"/>
      <w:bookmarkStart w:id="1512" w:name="Tc_jiEpMTHPV0WMjFdaGEVZwg_39_23"/>
      <w:bookmarkStart w:id="1513" w:name="Tc_ygAXZAjt80ikmgyQB0gb2Q_39_21"/>
      <w:bookmarkStart w:id="1514" w:name="Tc_c8OwHh08bUOfmUw7xiIZ4w_39_20"/>
      <w:bookmarkStart w:id="1515" w:name="Tc_QuoFXpst-UeYCaZ64ijPGA_39_17"/>
      <w:bookmarkStart w:id="1516" w:name="Tc_1ms4JK-zQkmguSj1paO0cg_39_14"/>
      <w:bookmarkStart w:id="1517" w:name="Tc_6kUTUYVZ2kqON7pEnA8_hQ_39_11"/>
      <w:bookmarkStart w:id="1518" w:name="Tc_4gN23rClL02FSBd604HjAQ_39_9"/>
      <w:bookmarkStart w:id="1519" w:name="Tc_H40VfhKom0Ko-yo8ta7C_Q_39_8"/>
      <w:bookmarkStart w:id="1520" w:name="Tc_7ojEl2110U-JwnXQSNWQHg_39_5"/>
      <w:bookmarkStart w:id="1521" w:name="Tc_XjknbqbvFkavm16zacgGqw_39_2"/>
      <w:bookmarkStart w:id="1522" w:name="Tc_HYOp03oGrkqzlChQP9Dz7g_39_0"/>
      <w:bookmarkStart w:id="1523" w:name="Tc_VshVbKTOLUeGEnzcYskBoQ_38_23"/>
      <w:bookmarkStart w:id="1524" w:name="Tc_0vPSrsqVKUO2DeACd1pntw_38_20"/>
      <w:bookmarkStart w:id="1525" w:name="Tc_yRGt52eD5kKI_gFABGxjvQ_38_17"/>
      <w:bookmarkStart w:id="1526" w:name="Tc_I_9_7Ylj0US-VUAyh-7WmQ_38_14"/>
      <w:bookmarkStart w:id="1527" w:name="Tc_RFuozKeJjUSYy-9g10N8Vw_38_11"/>
      <w:bookmarkStart w:id="1528" w:name="Tc_NtWjOdsChk6zqTV8Ch-BIg_38_8"/>
      <w:bookmarkStart w:id="1529" w:name="Tc_wQx5LABotUOHY8aa0jgR5A_38_5"/>
      <w:bookmarkStart w:id="1530" w:name="Tc_UN_Hpnegfkuvna4vmw1qaQ_38_2"/>
      <w:bookmarkStart w:id="1531" w:name="Tc_BuJBlMBpK0yFo7D5p5cekg_38_0"/>
      <w:bookmarkStart w:id="1532" w:name="Tc_SvwMYrZe5UmfibPc8yDXow_37_24"/>
      <w:bookmarkStart w:id="1533" w:name="Tc_JBJiFmPVbUyckTxiryLTTA_37_21"/>
      <w:bookmarkStart w:id="1534" w:name="Tc_LInxPjcEwU-jP8phwc9eAA_37_18"/>
      <w:bookmarkStart w:id="1535" w:name="Tc_rCebllxXskWyRfw3SMtRlQ_37_15"/>
      <w:bookmarkStart w:id="1536" w:name="Tc_UAkAYHFAYUamqh--YYSuGA_37_12"/>
      <w:bookmarkStart w:id="1537" w:name="Tc_ykj_Z_lerEmpwdKF1sM8fg_37_9"/>
      <w:bookmarkStart w:id="1538" w:name="Tc_0JL3nYjhl0yKlCSIkE99-g_37_6"/>
      <w:bookmarkStart w:id="1539" w:name="Tc_WdJqqYARgESZgmfaCEBL3w_37_3"/>
      <w:bookmarkStart w:id="1540" w:name="Tc_E0376AdhRUWROcVPbmoiaQ_37_0"/>
      <w:bookmarkStart w:id="1541" w:name="Tc_svubmcVbZUK69--Gd5J-WA_36_23"/>
      <w:bookmarkStart w:id="1542" w:name="Tc_adkU4inoSE6onkgYKF-S-w_36_20"/>
      <w:bookmarkStart w:id="1543" w:name="Tc_R_bHhT2K1U60vpRxR9klIQ_36_17"/>
      <w:bookmarkStart w:id="1544" w:name="Tc_rFS8hcdkbEyiGl-xyIVJNA_36_14"/>
      <w:bookmarkStart w:id="1545" w:name="Tc_Lmf8mntziEi95NS_MnGlxg_36_11"/>
      <w:bookmarkStart w:id="1546" w:name="Tc_fhhkpCHRl06cXMBBAwrdcQ_36_8"/>
      <w:bookmarkStart w:id="1547" w:name="Tc_qJZx-pnGxEutGW5pqt8vWg_36_5"/>
      <w:bookmarkStart w:id="1548" w:name="Tc_U_vvD3RU20a0f-qJfC1m8A_36_2"/>
      <w:bookmarkStart w:id="1549" w:name="Tc_k_m10hwZHk27AHD2DE8_Bg_36_0"/>
      <w:bookmarkStart w:id="1550" w:name="Tc_E7aLvHFJhEegVcBHHztx4A_35_0"/>
      <w:bookmarkStart w:id="1551" w:name="Tc_aRrlSc8XnEyHIeKRI4EkTA_34_23"/>
      <w:bookmarkStart w:id="1552" w:name="Tc_hta0fNHbFk295OWR_cgTEA_34_21"/>
      <w:bookmarkStart w:id="1553" w:name="Tc_jnRKwCQlT0C_KKPuk9gDsw_34_20"/>
      <w:bookmarkStart w:id="1554" w:name="Tc_ahOtm8euPUqquQrC6wlQrA_34_17"/>
      <w:bookmarkStart w:id="1555" w:name="Tc_VE8EI_xqlEKcs3S42jKfMw_34_15"/>
      <w:bookmarkStart w:id="1556" w:name="Tc_5B0YyQHSpEehHgEhAuA7Bg_34_14"/>
      <w:bookmarkStart w:id="1557" w:name="Tc_pXJhJ_yvnUaT-AFpvAmOmw_34_12"/>
      <w:bookmarkStart w:id="1558" w:name="Tc_W1d7KzY2P0-gnvte5LYbEw_34_11"/>
      <w:bookmarkStart w:id="1559" w:name="Tc_1TgekzmwLU25tv3I3hmmxA_34_9"/>
      <w:bookmarkStart w:id="1560" w:name="Tc_T2CGz8GeKEeBbunft95gog_34_8"/>
      <w:bookmarkStart w:id="1561" w:name="Tc_xFcak--9Vk2WkF3f5Eu7HQ_34_6"/>
      <w:bookmarkStart w:id="1562" w:name="Tc_FLe91RJlF0-gaQwfP4Brfw_34_5"/>
      <w:bookmarkStart w:id="1563" w:name="Tc_FxqDk8Lh2U62v9qJzJwy4w_34_3"/>
      <w:bookmarkStart w:id="1564" w:name="Tc_Gpmcvkj3Bk-c062goQv6Pw_34_2"/>
      <w:bookmarkStart w:id="1565" w:name="Tc_9q3q8l1g9UOSZF6wvOhe3A_34_0"/>
      <w:bookmarkStart w:id="1566" w:name="Tc_YLRWmM-MQkq9Klap-jOGYA_33_23"/>
      <w:bookmarkStart w:id="1567" w:name="Tc_Bm9t0DuisEqOorld7yADwg_33_20"/>
      <w:bookmarkStart w:id="1568" w:name="Tc_bDXnZd9IEkWT7Ow646wT5Q_33_17"/>
      <w:bookmarkStart w:id="1569" w:name="Tc_8E72uWV0sUSEF2PVF56a9Q_33_14"/>
      <w:bookmarkStart w:id="1570" w:name="Tc__m5vXK56A06c4aNXNT45Nw_33_11"/>
      <w:bookmarkStart w:id="1571" w:name="Tc_KJCogRP-lEuzdmtbcHnWFA_33_8"/>
      <w:bookmarkStart w:id="1572" w:name="Tc_UTZ2YgOcsUq6i76vvWPOjw_33_5"/>
      <w:bookmarkStart w:id="1573" w:name="Tc_Evg_HWGijEmkNlINYgVR4w_33_2"/>
      <w:bookmarkStart w:id="1574" w:name="Tc_V0R7Vbwlz0u7nZJYJVrhHw_33_0"/>
      <w:bookmarkStart w:id="1575" w:name="Tc_vsaebARm2EmwpGjEJEn6rg_32_18"/>
      <w:bookmarkStart w:id="1576" w:name="Tc_UzEvpFqPzk-xbEFiV5SOcQ_32_15"/>
      <w:bookmarkStart w:id="1577" w:name="Tc_XqhACatBrE6NYO9rgolxTg_32_12"/>
      <w:bookmarkStart w:id="1578" w:name="Tc_1YKvwzDs0EWKCLnUVhT1sQ_32_9"/>
      <w:bookmarkStart w:id="1579" w:name="Tc_lHJ9mjNHkU6BbMyxvdXwWw_32_6"/>
      <w:bookmarkStart w:id="1580" w:name="Tc_0LiHYTYHMkuy2Tb4CxZ-nQ_32_3"/>
      <w:bookmarkStart w:id="1581" w:name="Tc_b-6459mTa0m5EJOCB59EVw_32_0"/>
      <w:bookmarkStart w:id="1582" w:name="Tc_WVZLO6fAZEyP2DoGr9pqLQ_31_23"/>
      <w:bookmarkStart w:id="1583" w:name="Tc_1T8jZWr5xU-CpC5-79aI0Q_31_20"/>
      <w:bookmarkStart w:id="1584" w:name="Tc_VoAUW4gwXEG6Y5-NB9e0Kg_31_17"/>
      <w:bookmarkStart w:id="1585" w:name="Tc_MaF1dBVbKkyZlxuzSqlh-w_31_14"/>
      <w:bookmarkStart w:id="1586" w:name="Tc_mz421qN7x0SL6PwhdVPOnQ_31_11"/>
      <w:bookmarkStart w:id="1587" w:name="Tc_b_jHcMKmEkGpTtmOyxM7XQ_31_8"/>
      <w:bookmarkStart w:id="1588" w:name="Tc_6dBnOvkVm0mPAksWIVJ7Xw_31_5"/>
      <w:bookmarkStart w:id="1589" w:name="Tc_Zeg6pHCRkEeXhgYJUMqTtQ_31_2"/>
      <w:bookmarkStart w:id="1590" w:name="Tc_Y1a5RbGqq0OD9wYiHb-_mQ_31_0"/>
      <w:bookmarkStart w:id="1591" w:name="Tc_5aZ2RVFaJ0mt2BSGhmeTBA_30_0"/>
      <w:bookmarkStart w:id="1592" w:name="Tc_N--3VDrMS0eRgBDXEHp_bw_29_23"/>
      <w:bookmarkStart w:id="1593" w:name="Tc_13El9Bfv2kKawoFymbYl5g_29_21"/>
      <w:bookmarkStart w:id="1594" w:name="Tc_dKpEg1e0HUG-H9p0QAzang_29_20"/>
      <w:bookmarkStart w:id="1595" w:name="Tc_aNJ91yuh-EqvpdF_x-2J1g_29_17"/>
      <w:bookmarkStart w:id="1596" w:name="Tc__PtQB6OFNEeDnh0Vdu13OA_29_15"/>
      <w:bookmarkStart w:id="1597" w:name="Tc_xyVkdMQXW0GeQPxHI8UwQA_29_14"/>
      <w:bookmarkStart w:id="1598" w:name="Tc_UWzytH1zdEWetHBXtqY-_w_29_12"/>
      <w:bookmarkStart w:id="1599" w:name="Tc_IkxJZ5fYTUefhakoBKcx3g_29_11"/>
      <w:bookmarkStart w:id="1600" w:name="Tc_JMWdB-ni2keixOZl8nrF0w_29_8"/>
      <w:bookmarkStart w:id="1601" w:name="Tc_YgllH6J__km1fYRKsjB9tg_29_6"/>
      <w:bookmarkStart w:id="1602" w:name="Tc_QhAYi3tEmEeUNdjBLWlsHg_29_5"/>
      <w:bookmarkStart w:id="1603" w:name="Tc_R9WXhzvvk0GGPm4XkGTeTw_29_3"/>
      <w:bookmarkStart w:id="1604" w:name="Tc_11HqYIGkqk6UscUkupouig_29_2"/>
      <w:bookmarkStart w:id="1605" w:name="Tc_JhlaEsIWL0iE41K5K-Iydg_29_0"/>
      <w:bookmarkStart w:id="1606" w:name="Tc_E-2Yo8fsz0OerHJV2aX19w_28_23"/>
      <w:bookmarkStart w:id="1607" w:name="Tc_l1zQ0uXNQ0mpGCrvJaxCEg_28_20"/>
      <w:bookmarkStart w:id="1608" w:name="Tc_IveaaTHIqEaxO_Tn6CUBMw_28_17"/>
      <w:bookmarkStart w:id="1609" w:name="Tc_OqLILtxn-UaNBEzL3fQOcQ_28_14"/>
      <w:bookmarkStart w:id="1610" w:name="Tc_Cye8UUzs6EOwwDa89TQNOQ_28_11"/>
      <w:bookmarkStart w:id="1611" w:name="Tc_lzpaK7q250aapjaUjHw7ZA_28_8"/>
      <w:bookmarkStart w:id="1612" w:name="Tc_YPnoEY1G2EuF818lBitzQw_28_5"/>
      <w:bookmarkStart w:id="1613" w:name="Tc_RC2ETVA8v0qiiR4OjD_EEQ_28_2"/>
      <w:bookmarkStart w:id="1614" w:name="Tc_zth3sGibsUeYnVHSEXeKPg_28_0"/>
      <w:bookmarkStart w:id="1615" w:name="Tc_CAmFa-IDY0e3PdQGaMvKvQ_27_21"/>
      <w:bookmarkStart w:id="1616" w:name="Tc_chdZrjhNs0SnVtpnkaGfDw_27_15"/>
      <w:bookmarkStart w:id="1617" w:name="Tc_QJ8snPmrIk22Af3dk03Z1A_27_12"/>
      <w:bookmarkStart w:id="1618" w:name="Tc_Z3d-9uLlOU2TxuwetJnH-w_27_9"/>
      <w:bookmarkStart w:id="1619" w:name="Tc_nrLjpLLVYUadURIuUBtwhw_27_6"/>
      <w:bookmarkStart w:id="1620" w:name="Tc_97gujr0ZH0aSYThhA0qx5A_27_3"/>
      <w:bookmarkStart w:id="1621" w:name="Tc_bMWBuagc-UuYp9UzThkGpg_27_0"/>
      <w:bookmarkStart w:id="1622" w:name="Tc_dG9RQOh5HkSBlf8Yi5dtCA_26_23"/>
      <w:bookmarkStart w:id="1623" w:name="Tc_tj3bb230jEm7unRZJ18w1g_26_20"/>
      <w:bookmarkStart w:id="1624" w:name="Tc_MEoyyHeN-EKSY1UAnWnrGg_26_17"/>
      <w:bookmarkStart w:id="1625" w:name="Tc_af84A5CSCEG4iwE2-qyqKQ_26_14"/>
      <w:bookmarkStart w:id="1626" w:name="Tc_zcQJqmZll0S78kgmDEf8xQ_26_11"/>
      <w:bookmarkStart w:id="1627" w:name="Tc_MHNNV6R-DE23r40EjV4ybw_26_8"/>
      <w:bookmarkStart w:id="1628" w:name="Tc_o2IgdNCKw0C-WlAfHhavrQ_26_5"/>
      <w:bookmarkStart w:id="1629" w:name="Tc_lCYkRkID4Eark0IyFetQBw_26_2"/>
      <w:bookmarkStart w:id="1630" w:name="Tc_kWkeIpMbX06pC0gXA0s_WA_26_0"/>
      <w:bookmarkStart w:id="1631" w:name="Tc_I4yRkFYWR0uiMl0mn0SQ3g_25_0"/>
      <w:bookmarkStart w:id="1632" w:name="Tc_ctUbtvXnpkqqryIc-rMBbQ_24_24"/>
      <w:bookmarkStart w:id="1633" w:name="Tc_9aTfXPqyb0WXw5jhIcBonA_24_23"/>
      <w:bookmarkStart w:id="1634" w:name="Tc_wbWd1WPsg0yDoTBFViG-6Q_24_21"/>
      <w:bookmarkStart w:id="1635" w:name="Tc_dGPWBasPa020u0DyZSs-ag_24_20"/>
      <w:bookmarkStart w:id="1636" w:name="Tc_7gY1KpEcuEa1PwHBNsldXQ_24_18"/>
      <w:bookmarkStart w:id="1637" w:name="Tc_26RImtUFjEeYN1-T3gDNNw_24_17"/>
      <w:bookmarkStart w:id="1638" w:name="Tc_O-OX8wfQDk6G5Xm_-fooog_24_15"/>
      <w:bookmarkStart w:id="1639" w:name="Tc_qmNYlAj9H0io5Um1xzqhQQ_24_14"/>
      <w:bookmarkStart w:id="1640" w:name="Tc_9L2LPPIYxUe-0BTH9jcdNQ_24_12"/>
      <w:bookmarkStart w:id="1641" w:name="Tc_pPDdfCqrY0u5g8Xy-YyBhA_24_11"/>
      <w:bookmarkStart w:id="1642" w:name="Tc_O7FFL0FdPUe7cxIKZ_BrRg_24_9"/>
      <w:bookmarkStart w:id="1643" w:name="Tc_SWMaU_lEOEqmo-B2ji6RJg_24_8"/>
      <w:bookmarkStart w:id="1644" w:name="Tc_YHsQzZplgEaKei2_ZiCAjg_24_6"/>
      <w:bookmarkStart w:id="1645" w:name="Tc_cfmm8uHyE0GcndTGQNAEaw_24_5"/>
      <w:bookmarkStart w:id="1646" w:name="Tc_Fj8eHpS_r0-XUy7VTm-8lQ_24_3"/>
      <w:bookmarkStart w:id="1647" w:name="Tc_smex49O1302Mh_Iuy65yeQ_24_2"/>
      <w:bookmarkStart w:id="1648" w:name="Tc_3ac_xtaF_UeDfGQ3Ekz75g_24_0"/>
      <w:bookmarkStart w:id="1649" w:name="Tc_jCJSmgWprUWXtEvNbErQPQ_23_23"/>
      <w:bookmarkStart w:id="1650" w:name="Tc_clXNgFQlnkKhzfThxzMvFg_23_20"/>
      <w:bookmarkStart w:id="1651" w:name="Tc_QH0dfE7w8kOM-3ApFojBfA_23_17"/>
      <w:bookmarkStart w:id="1652" w:name="Tc_w_Tl0N5STECKT6htuzRdAQ_23_14"/>
      <w:bookmarkStart w:id="1653" w:name="Tc_myt3Uck6hEig9-CoVNAjUA_23_11"/>
      <w:bookmarkStart w:id="1654" w:name="Tc_JInXxsoJYE21m9Iid2uh2w_23_8"/>
      <w:bookmarkStart w:id="1655" w:name="Tc_aCr6MCZLB0Ouz-j2RQk1Lg_23_5"/>
      <w:bookmarkStart w:id="1656" w:name="Tc_KUnIaAAK60eryr7gY4VXYA_23_2"/>
      <w:bookmarkStart w:id="1657" w:name="Tc_CdkpDsE5YEOp7zHSxR57Iw_23_0"/>
      <w:bookmarkStart w:id="1658" w:name="Tc_xraLySMZe0aEFBlDMV-knw_22_24"/>
      <w:bookmarkStart w:id="1659" w:name="Tc_rMSMkfTwvkWomCyRYwWbmw_22_21"/>
      <w:bookmarkStart w:id="1660" w:name="Tc_QB6v351Mzk6BFwhdLBWCgg_22_18"/>
      <w:bookmarkStart w:id="1661" w:name="Tc_k2XFahyc_kSHn2nYjm9egA_22_15"/>
      <w:bookmarkStart w:id="1662" w:name="Tc_eZOl9yrzLUKQttYeeD-3FA_22_12"/>
      <w:bookmarkStart w:id="1663" w:name="Tc_bFoSPBDsv0SI2-xwGwD_6A_22_9"/>
      <w:bookmarkStart w:id="1664" w:name="Tc_-bQAOdk6-kCEtVG_vTl3hw_22_6"/>
      <w:bookmarkStart w:id="1665" w:name="Tc_D-poVzjlwUyzna7fQhlCFA_22_3"/>
      <w:bookmarkStart w:id="1666" w:name="Tc_4kdFeMO0oEKphDjfyLFZ5Q_22_0"/>
      <w:bookmarkStart w:id="1667" w:name="Tc__kSsJUUWb0m-GpjqDaNc6A_21_21"/>
      <w:bookmarkStart w:id="1668" w:name="Tc_qwW143Hgp0iFuN5m4GUPMA_21_12"/>
      <w:bookmarkStart w:id="1669" w:name="Tc_qPHJgx7JpUmsPNHbz6N4Kg_21_3"/>
      <w:bookmarkStart w:id="1670" w:name="Tc_zi6t2lTn10mxSnKTCeDGGA_21_0"/>
      <w:bookmarkStart w:id="1671" w:name="Tc_73CNESfs_EGd8VMxria6AQ_20_21"/>
      <w:bookmarkStart w:id="1672" w:name="Tc_ueRk2pm24UWCHFO6BTFSsw_20_15"/>
      <w:bookmarkStart w:id="1673" w:name="Tc_UCWGIj-PPk2qLZcNx562EQ_20_12"/>
      <w:bookmarkStart w:id="1674" w:name="Tc_gz9fDaAKfUK8FvVGF3GCfw_20_9"/>
      <w:bookmarkStart w:id="1675" w:name="Tc_160sl47GvEOpxBFYDvHA0Q_20_6"/>
      <w:bookmarkStart w:id="1676" w:name="Tc_3pfNjccK3EOYFxCAzwlvMA_20_3"/>
      <w:bookmarkStart w:id="1677" w:name="Tc_qVmlNzuPKkeF6eTSotGrow_20_0"/>
      <w:bookmarkStart w:id="1678" w:name="Tc_Ik9V2OXgp0ajCpiROaKJ3Q_19_23"/>
      <w:bookmarkStart w:id="1679" w:name="Tc__euuYms8402sIkFOVm62MA_19_20"/>
      <w:bookmarkStart w:id="1680" w:name="Tc_2bkaOpBBc0-k-arOUgpTlw_19_17"/>
      <w:bookmarkStart w:id="1681" w:name="Tc_o6mNBWXGFEW1tJa90-MDSg_19_14"/>
      <w:bookmarkStart w:id="1682" w:name="Tc_FYCeF_lMxUWSJt32QYQoXQ_19_11"/>
      <w:bookmarkStart w:id="1683" w:name="Tc_Tux-W0TUl0O-kHegYgIr0Q_19_8"/>
      <w:bookmarkStart w:id="1684" w:name="Tc_vOay6P6jY0iIb9cz9IuvAg_19_5"/>
      <w:bookmarkStart w:id="1685" w:name="Tc_tjX5_mIHaU-wL7RKBVSHJA_19_2"/>
      <w:bookmarkStart w:id="1686" w:name="Tc_TvQug-fIPUaKfmYgfj8pug_19_0"/>
      <w:bookmarkStart w:id="1687" w:name="Tc_lE0t76-LsEe6ECsEGC1xZg_18_0"/>
      <w:bookmarkStart w:id="1688" w:name="Tc_feZrHsKMxUCstea-vn2mQQ_17_24"/>
      <w:bookmarkStart w:id="1689" w:name="Tc_oauc9ia2Q06kJQYVbeXmkA_17_23"/>
      <w:bookmarkStart w:id="1690" w:name="Tc_cdIgVHzhnUqEvZwptrQAUw_17_21"/>
      <w:bookmarkStart w:id="1691" w:name="Tc_9Y7GErpn6UyeNJda3yvl7Q_17_20"/>
      <w:bookmarkStart w:id="1692" w:name="Tc_sP35LCvqEEqjzzhnz8koIQ_17_18"/>
      <w:bookmarkStart w:id="1693" w:name="Tc_a774PIdwGEOQMVSI13OMBQ_17_17"/>
      <w:bookmarkStart w:id="1694" w:name="Tc_spsAdWOXxkeEuXsTfedWwg_17_15"/>
      <w:bookmarkStart w:id="1695" w:name="Tc_Rzjyl13PLEymNwpygACKAQ_17_14"/>
      <w:bookmarkStart w:id="1696" w:name="Tc_DqEnBC7JN0y7aeAWjIw8rQ_17_12"/>
      <w:bookmarkStart w:id="1697" w:name="Tc_H5ma-val7Uq1cSSsDSJbiA_17_11"/>
      <w:bookmarkStart w:id="1698" w:name="Tc_0ZN0ffajjEWIFUSl1AlkUg_17_9"/>
      <w:bookmarkStart w:id="1699" w:name="Tc_CZ664FbBzkaReMVJUhEB1Q_17_8"/>
      <w:bookmarkStart w:id="1700" w:name="Tc_ofPxI7cZ1Eic0T45jmfx7Q_17_6"/>
      <w:bookmarkStart w:id="1701" w:name="Tc_Eri_hiidDEWMZcJ6l8PNOQ_17_5"/>
      <w:bookmarkStart w:id="1702" w:name="Tc_w5SLmJ2sh0uUKWNshPJzAQ_17_3"/>
      <w:bookmarkStart w:id="1703" w:name="Tc_oCVsWnXueEWFKuVnCuOo7g_17_2"/>
      <w:bookmarkStart w:id="1704" w:name="Tc_T6brhqmq80CF7TGsqUqGgw_17_0"/>
      <w:bookmarkStart w:id="1705" w:name="Tc_o1K_ibYvMkS2WcHZ04s-Og_16_23"/>
      <w:bookmarkStart w:id="1706" w:name="Tc_6nE95fZFm0ab02Rm0koPlw_16_20"/>
      <w:bookmarkStart w:id="1707" w:name="Tc_8IdXpGkTJUuXoXja6jN_gg_16_17"/>
      <w:bookmarkStart w:id="1708" w:name="Tc_3NDiaBkkK06u3NwYP0jlEA_16_15"/>
      <w:bookmarkStart w:id="1709" w:name="Tc_jbA4qiw9ukS2P8tU4RYKtQ_16_14"/>
      <w:bookmarkStart w:id="1710" w:name="Tc_OssTvo7o6UGbCfxqrNsFEQ_16_11"/>
      <w:bookmarkStart w:id="1711" w:name="Tc_5SahnEiLdUay8MNsYhG3yg_16_8"/>
      <w:bookmarkStart w:id="1712" w:name="Tc_go8AgWC0sUWu132Qg90K1w_16_5"/>
      <w:bookmarkStart w:id="1713" w:name="Tc_15Degh5OKkS9YDzhMw1rKQ_16_2"/>
      <w:bookmarkStart w:id="1714" w:name="Tc_DGJgwzcQh0mB188hI-0V-w_16_0"/>
      <w:bookmarkStart w:id="1715" w:name="Tc_5fanShQwo0-hPdXBhI8uzA_15_24"/>
      <w:bookmarkStart w:id="1716" w:name="Tc_kjREXs3qREyuhrIWvTtGAw_15_21"/>
      <w:bookmarkStart w:id="1717" w:name="Tc_NQiYw29tVEiA6A1Fs0n3hA_15_18"/>
      <w:bookmarkStart w:id="1718" w:name="Tc_NmidDzKWBECkG7hI0qoajQ_15_15"/>
      <w:bookmarkStart w:id="1719" w:name="Tc_F4T4OXvNIUyZcVrVEDHC2Q_15_12"/>
      <w:bookmarkStart w:id="1720" w:name="Tc_1ojwBO9EzU68OO5v359ZAg_15_9"/>
      <w:bookmarkStart w:id="1721" w:name="Tc_OHWeQdFmjEKoNDKBXy0gGw_15_6"/>
      <w:bookmarkStart w:id="1722" w:name="Tc_RvAGN96QnESEayOsou8HXQ_15_3"/>
      <w:bookmarkStart w:id="1723" w:name="Tc_lmkPyBKLC0-QG1XzPMQYgA_15_0"/>
      <w:bookmarkStart w:id="1724" w:name="Tc_l6Wi6qrZnEOyqCGMp8y0pQ_14_21"/>
      <w:bookmarkStart w:id="1725" w:name="Tc_4kGUUGItwEa8x9MzDbYc1A_14_18"/>
      <w:bookmarkStart w:id="1726" w:name="Tc_c-41l1N8C0msHiqY5EZmrg_14_15"/>
      <w:bookmarkStart w:id="1727" w:name="Tc_aPUyDK6mCES4LteEZ2TTbQ_14_12"/>
      <w:bookmarkStart w:id="1728" w:name="Tc_hMnRodFuu0OU-UIut21akw_14_9"/>
      <w:bookmarkStart w:id="1729" w:name="Tc_wg2boM97W0CEB4xK2MnB6Q_14_3"/>
      <w:bookmarkStart w:id="1730" w:name="Tc_a8lP7nD2NkWguTY3xPLFWg_14_0"/>
      <w:bookmarkStart w:id="1731" w:name="Tc_BVDOCwNIkkGbvqeIV3Y3AA_13_24"/>
      <w:bookmarkStart w:id="1732" w:name="Tc_W-m1PPeQq02RlZmfjwY-0g_13_21"/>
      <w:bookmarkStart w:id="1733" w:name="Tc_XKQt183wbkaO6DcdhzhcSQ_13_18"/>
      <w:bookmarkStart w:id="1734" w:name="Tc_q7KxfI5MSUmIFJ6JDpZolQ_13_15"/>
      <w:bookmarkStart w:id="1735" w:name="Tc_DdDPFa_y2k2Q37Tmsg0hXg_13_12"/>
      <w:bookmarkStart w:id="1736" w:name="Tc_j7FwgHdj7kazL8uFSyKZDg_13_9"/>
      <w:bookmarkStart w:id="1737" w:name="Tc_I2Pvi-pJHESx0W7U2QK-ug_13_6"/>
      <w:bookmarkStart w:id="1738" w:name="Tc_NaPsxeRM5ESqgtmeFvotcg_13_3"/>
      <w:bookmarkStart w:id="1739" w:name="Tc_iC-j4GLedUOiOEigoCcWsg_13_0"/>
      <w:bookmarkStart w:id="1740" w:name="Tc_fj3LUqLxXkaIpDkfCIMpKQ_12_23"/>
      <w:bookmarkStart w:id="1741" w:name="Tc_PwO4bznlLUOdq9MRA859DA_12_20"/>
      <w:bookmarkStart w:id="1742" w:name="Tc_4ZDbfeIEEU6GTGWQSmbD3A_12_17"/>
      <w:bookmarkStart w:id="1743" w:name="Tc_bF9AaqRAW0a6I0ng0MwXcg_12_15"/>
      <w:bookmarkStart w:id="1744" w:name="Tc_VV_hfMPtm0e2SUFB17v8uA_12_14"/>
      <w:bookmarkStart w:id="1745" w:name="Tc_Y8P2GyTgmUm5hi_3HTWqxw_12_11"/>
      <w:bookmarkStart w:id="1746" w:name="Tc_1gfZfARRLEKo-7ibstbSyw_12_8"/>
      <w:bookmarkStart w:id="1747" w:name="Tc_e8oarUc3m0ejDwPHOpjbWw_12_5"/>
      <w:bookmarkStart w:id="1748" w:name="Tc_kKuCIKbP00uvTzcwsCJzqQ_12_2"/>
      <w:bookmarkStart w:id="1749" w:name="Tc_1iUwNcMt-06EHHyQNh2Eqw_12_0"/>
      <w:bookmarkStart w:id="1750" w:name="Tc_QylAOCUdQk-7d9jFbl2jHw_11_0"/>
      <w:bookmarkStart w:id="1751" w:name="Tc_sW_kFhSL8km0ygryVPYjyw_10_23"/>
      <w:bookmarkStart w:id="1752" w:name="Tc_3_UHc9YbAEu4JNUe4jw1fQ_10_21"/>
      <w:bookmarkStart w:id="1753" w:name="Tc_5fbVKS1c1ky1mRwZfZ3SRg_10_20"/>
      <w:bookmarkStart w:id="1754" w:name="Tc_0rZD-yCmh0eZGXZHXtA5sg_10_17"/>
      <w:bookmarkStart w:id="1755" w:name="Tc_1QFDvLBfTEmVncE_gMn9ow_10_14"/>
      <w:bookmarkStart w:id="1756" w:name="Tc_TveJ8p7lIka9FYXzJp6K0A_10_11"/>
      <w:bookmarkStart w:id="1757" w:name="Tc_uvYZg7cNfk6gKMea2pMTiw_10_8"/>
      <w:bookmarkStart w:id="1758" w:name="Tc_Ux9PXDcaWUCu6E5VETmn1w_10_6"/>
      <w:bookmarkStart w:id="1759" w:name="Tc_jL1_YXiC9UuZyIU6WJSiSg_10_5"/>
      <w:bookmarkStart w:id="1760" w:name="Tc_k8Y2zUd_TkWWXlydaJvoag_10_2"/>
      <w:bookmarkStart w:id="1761" w:name="Tc_7OpBw9pBXkKCgJeePXPSiA_10_0"/>
      <w:bookmarkStart w:id="1762" w:name="Tc_wY5h-WeHrEKB9DsIUc7nnw_9_23"/>
      <w:bookmarkStart w:id="1763" w:name="Tc_oZ6TYYD0RU6iDptekjVkvg_9_20"/>
      <w:bookmarkStart w:id="1764" w:name="Tc_9FlSV1Zyy0acG3qKuO5kWA_9_17"/>
      <w:bookmarkStart w:id="1765" w:name="Tc_m0dY20JCtkuM7Z_w9q3OrQ_9_14"/>
      <w:bookmarkStart w:id="1766" w:name="Tc_feRcO2KWt0m0y1jBijJFbw_9_11"/>
      <w:bookmarkStart w:id="1767" w:name="Tc_KtcGgDYYAUapt7lNJjdX2w_9_8"/>
      <w:bookmarkStart w:id="1768" w:name="Tc_3NZTXH9SIUGENlOfNV70yg_9_5"/>
      <w:bookmarkStart w:id="1769" w:name="Tc_VKd4pMMVNUWA64cBDJQPdw_9_2"/>
      <w:bookmarkStart w:id="1770" w:name="Tc_3XrFkdt6SUCP_MRbPFi9cQ_9_0"/>
      <w:bookmarkStart w:id="1771" w:name="Tc_ZGqLkqy81U-_lXKmlFUwPQ_8_24"/>
      <w:bookmarkStart w:id="1772" w:name="Tc_UuzO_QHv-UG-WqKVnoW6cA_8_21"/>
      <w:bookmarkStart w:id="1773" w:name="Tc_XRVG85d97UixGF90Q7iE3g_8_18"/>
      <w:bookmarkStart w:id="1774" w:name="Tc_-3okm4Uo2UqKPFrvBhvF5g_8_15"/>
      <w:bookmarkStart w:id="1775" w:name="Tc_SDfN1HJZBEGTUoF9U6flSg_8_12"/>
      <w:bookmarkStart w:id="1776" w:name="Tc_WtJEZiDgWUmdOuQhBYc3hg_8_9"/>
      <w:bookmarkStart w:id="1777" w:name="Tc_OpHB5wsLREWVexoWSnFpag_8_6"/>
      <w:bookmarkStart w:id="1778" w:name="Tc_h4LiICJyxEakO_w2hO7Z8g_8_3"/>
      <w:bookmarkStart w:id="1779" w:name="Tc_N49MVvKp3kmXqYT86f4PxA_8_0"/>
      <w:bookmarkStart w:id="1780" w:name="Tc_aKS3HIe_40WHAjSr_yGhbA_7_0"/>
      <w:bookmarkStart w:id="1781" w:name="Tc_cQ7rMAUAUkOkr-fBQplfUg_6_24"/>
      <w:bookmarkStart w:id="1782" w:name="Tc_HlFFNT84SkahiWwSZ8AsNw_6_21"/>
      <w:bookmarkStart w:id="1783" w:name="Tc__fS_n3-1aE-eLhsDnEnhig_6_18"/>
      <w:bookmarkStart w:id="1784" w:name="Tc_1Eze7hQxPkKfwBsaTfDoeA_6_15"/>
      <w:bookmarkStart w:id="1785" w:name="Tc__rGTakTuSUqYOoFq1dZ59Q_6_12"/>
      <w:bookmarkStart w:id="1786" w:name="Tc_4wYjCJgv_kGNfHx5fYV5Lw_6_9"/>
      <w:bookmarkStart w:id="1787" w:name="Tc_bxVEBkgL8kSUJiinxNhviw_6_6"/>
      <w:bookmarkStart w:id="1788" w:name="Tc_U0ZStWmKtkOiZT7h3IbNaA_6_3"/>
      <w:bookmarkStart w:id="1789" w:name="Tc_HPCtKx_llkmHm0EdImZIag_6_0"/>
      <w:bookmarkStart w:id="1790" w:name="Tc_zxy_Uvve40-dFlmjiQj2ug_5_23"/>
      <w:bookmarkStart w:id="1791" w:name="Tc__e3DIOq7U0q60RKcA0lVtQ_5_20"/>
      <w:bookmarkStart w:id="1792" w:name="Tc_laNDUpbub0Odqst8K2I1Sg_5_17"/>
      <w:bookmarkStart w:id="1793" w:name="Tc_ooQiz5R3EE-Mdkrb87Bkog_5_14"/>
      <w:bookmarkStart w:id="1794" w:name="Tc_A3fmR5Pk8keFzwsW545mSg_5_11"/>
      <w:bookmarkStart w:id="1795" w:name="Tc_fhYX320_HE6gCw9wZeiHAg_5_8"/>
      <w:bookmarkStart w:id="1796" w:name="Tc_6Ot04KIu7UeawOgWCp8k5Q_5_5"/>
      <w:bookmarkStart w:id="1797" w:name="Tc_NkgT5vjFakWP8ELBkr7sRg_5_2"/>
      <w:bookmarkStart w:id="1798" w:name="Tc_aUaQUThSAEu-HltXSh0CNA_5_0"/>
      <w:bookmarkStart w:id="1799" w:name="Tc_Ht_o1qlRoUOwXugf1ZROnQ_4_0"/>
      <w:bookmarkStart w:id="1800" w:name="Tc_UatqKZ_uo0KLbP8IgQGyrg_3_23"/>
      <w:bookmarkStart w:id="1801" w:name="Tc_OZeGvoNry0q6Bdrs4lY6mw_3_20"/>
      <w:bookmarkStart w:id="1802" w:name="Tc_1-4tMCABmUqGpFdTyozBsQ_3_17"/>
      <w:bookmarkStart w:id="1803" w:name="Tc_rj-hh8X1_E6gKv3IQCWhpQ_3_14"/>
      <w:bookmarkStart w:id="1804" w:name="Tc_OqnC_g2Q40yrxcSMZUoE1g_3_11"/>
      <w:bookmarkStart w:id="1805" w:name="Tc_lnSpylSSkE2B8JPwoDvv0g_3_8"/>
      <w:bookmarkStart w:id="1806" w:name="Tc_hZSKwW9YqES8cyctlnnM8w_3_5"/>
      <w:bookmarkStart w:id="1807" w:name="Tc_xuLgkwG5CUiDkEq2-vd7Mg_3_2"/>
      <w:bookmarkStart w:id="1808" w:name="Tc_FX7JA81O30iQLBxlBQFWng_3_0"/>
      <w:bookmarkStart w:id="1809" w:name="Tc_5wrBZiWKHEKpCwGCp8FKzg_2_20"/>
      <w:bookmarkStart w:id="1810" w:name="Tc_-CX1C_a39kW4QUYvioKofg_2_2"/>
      <w:bookmarkStart w:id="1811" w:name="Tc_zMTPFWmo20qFYP9ODP-NQg_2_0"/>
      <w:bookmarkStart w:id="1812" w:name="Tc_iQadR7L7XEC1J_bBXU3pKg_1_20"/>
      <w:bookmarkStart w:id="1813" w:name="_4888763f_d709_42d9_a0ac_b753a04ce105"/>
      <w:bookmarkStart w:id="1814" w:name="Tc_c9pwsUx3Y0icJGlwSoLsWQ_41_23"/>
      <w:bookmarkStart w:id="1815" w:name="Tc_5My4O9uOmkKUJASMovArvw_41_21"/>
      <w:bookmarkStart w:id="1816" w:name="Tc_tO1oELH_30OqIUseZv7gnQ_41_20"/>
      <w:bookmarkStart w:id="1817" w:name="Tc__xRtFPByIkqLrfzo6VzRKQ_41_17"/>
      <w:bookmarkStart w:id="1818" w:name="Tc_iwUL-DS2tE6i-Mi-LslTjw_41_14"/>
      <w:bookmarkStart w:id="1819" w:name="Tc_estkwhqHeUGDuLs5Mbjvdg_41_11"/>
      <w:bookmarkStart w:id="1820" w:name="Tc_EPsmHRhY-0CXGUlnnZB5gg_41_8"/>
      <w:bookmarkStart w:id="1821" w:name="Tc_FUkQmDWwg0et3_SHYyguwg_41_5"/>
      <w:bookmarkStart w:id="1822" w:name="Tc_nsnolFFdckqAARzs3f8O8g_41_2"/>
      <w:bookmarkStart w:id="1823" w:name="Tc_RXYM0yy30kWalw3kxSljMQ_41_0"/>
      <w:bookmarkStart w:id="1824" w:name="Tc_lzz9IVQpZ0S4Wbq1tQQwqA_40_23"/>
      <w:bookmarkStart w:id="1825" w:name="Tc_BXsULYa9MU61h1aI4PlPHQ_40_20"/>
      <w:bookmarkStart w:id="1826" w:name="Tc_bjxrajHuSUyo0GMyOkrcaw_40_17"/>
      <w:bookmarkStart w:id="1827" w:name="Tc_y07ZwYXlC0eZJpzL_RaUzg_40_14"/>
      <w:bookmarkStart w:id="1828" w:name="Tc_MZz8BDXO3UCe85t9rGej7Q_40_11"/>
      <w:bookmarkStart w:id="1829" w:name="Tc_gfh8EnEdqEGkUvYJFNsFpw_40_8"/>
      <w:bookmarkStart w:id="1830" w:name="Tc_0c17ERBUY0qDpU1KODogTA_40_5"/>
      <w:bookmarkStart w:id="1831" w:name="Tc_d8Nvtn7cc0SA_Ke4DennHg_40_2"/>
      <w:bookmarkStart w:id="1832" w:name="Tc_zBmhMooaM0GRgbHXm5aSGQ_40_0"/>
      <w:bookmarkStart w:id="1833" w:name="Tc_jiEpMTHPV0WMjFdaGEVZwg_39_23"/>
      <w:bookmarkStart w:id="1834" w:name="Tc_ygAXZAjt80ikmgyQB0gb2Q_39_21"/>
      <w:bookmarkStart w:id="1835" w:name="Tc_c8OwHh08bUOfmUw7xiIZ4w_39_20"/>
      <w:bookmarkStart w:id="1836" w:name="Tc_QuoFXpst-UeYCaZ64ijPGA_39_17"/>
      <w:bookmarkStart w:id="1837" w:name="Tc_1ms4JK-zQkmguSj1paO0cg_39_14"/>
      <w:bookmarkStart w:id="1838" w:name="Tc_6kUTUYVZ2kqON7pEnA8_hQ_39_11"/>
      <w:bookmarkStart w:id="1839" w:name="Tc_4gN23rClL02FSBd604HjAQ_39_9"/>
      <w:bookmarkStart w:id="1840" w:name="Tc_H40VfhKom0Ko-yo8ta7C_Q_39_8"/>
      <w:bookmarkStart w:id="1841" w:name="Tc_7ojEl2110U-JwnXQSNWQHg_39_5"/>
      <w:bookmarkStart w:id="1842" w:name="Tc_XjknbqbvFkavm16zacgGqw_39_2"/>
      <w:bookmarkStart w:id="1843" w:name="Tc_HYOp03oGrkqzlChQP9Dz7g_39_0"/>
      <w:bookmarkStart w:id="1844" w:name="Tc_VshVbKTOLUeGEnzcYskBoQ_38_23"/>
      <w:bookmarkStart w:id="1845" w:name="Tc_0vPSrsqVKUO2DeACd1pntw_38_20"/>
      <w:bookmarkStart w:id="1846" w:name="Tc_yRGt52eD5kKI_gFABGxjvQ_38_17"/>
      <w:bookmarkStart w:id="1847" w:name="Tc_I_9_7Ylj0US-VUAyh-7WmQ_38_14"/>
      <w:bookmarkStart w:id="1848" w:name="Tc_RFuozKeJjUSYy-9g10N8Vw_38_11"/>
      <w:bookmarkStart w:id="1849" w:name="Tc_NtWjOdsChk6zqTV8Ch-BIg_38_8"/>
      <w:bookmarkStart w:id="1850" w:name="Tc_wQx5LABotUOHY8aa0jgR5A_38_5"/>
      <w:bookmarkStart w:id="1851" w:name="Tc_UN_Hpnegfkuvna4vmw1qaQ_38_2"/>
      <w:bookmarkStart w:id="1852" w:name="Tc_BuJBlMBpK0yFo7D5p5cekg_38_0"/>
      <w:bookmarkStart w:id="1853" w:name="Tc_SvwMYrZe5UmfibPc8yDXow_37_24"/>
      <w:bookmarkStart w:id="1854" w:name="Tc_JBJiFmPVbUyckTxiryLTTA_37_21"/>
      <w:bookmarkStart w:id="1855" w:name="Tc_LInxPjcEwU-jP8phwc9eAA_37_18"/>
      <w:bookmarkStart w:id="1856" w:name="Tc_rCebllxXskWyRfw3SMtRlQ_37_15"/>
      <w:bookmarkStart w:id="1857" w:name="Tc_UAkAYHFAYUamqh--YYSuGA_37_12"/>
      <w:bookmarkStart w:id="1858" w:name="Tc_ykj_Z_lerEmpwdKF1sM8fg_37_9"/>
      <w:bookmarkStart w:id="1859" w:name="Tc_0JL3nYjhl0yKlCSIkE99-g_37_6"/>
      <w:bookmarkStart w:id="1860" w:name="Tc_WdJqqYARgESZgmfaCEBL3w_37_3"/>
      <w:bookmarkStart w:id="1861" w:name="Tc_E0376AdhRUWROcVPbmoiaQ_37_0"/>
      <w:bookmarkStart w:id="1862" w:name="Tc_svubmcVbZUK69--Gd5J-WA_36_23"/>
      <w:bookmarkStart w:id="1863" w:name="Tc_adkU4inoSE6onkgYKF-S-w_36_20"/>
      <w:bookmarkStart w:id="1864" w:name="Tc_R_bHhT2K1U60vpRxR9klIQ_36_17"/>
      <w:bookmarkStart w:id="1865" w:name="Tc_rFS8hcdkbEyiGl-xyIVJNA_36_14"/>
      <w:bookmarkStart w:id="1866" w:name="Tc_Lmf8mntziEi95NS_MnGlxg_36_11"/>
      <w:bookmarkStart w:id="1867" w:name="Tc_fhhkpCHRl06cXMBBAwrdcQ_36_8"/>
      <w:bookmarkStart w:id="1868" w:name="Tc_qJZx-pnGxEutGW5pqt8vWg_36_5"/>
      <w:bookmarkStart w:id="1869" w:name="Tc_U_vvD3RU20a0f-qJfC1m8A_36_2"/>
      <w:bookmarkStart w:id="1870" w:name="Tc_k_m10hwZHk27AHD2DE8_Bg_36_0"/>
      <w:bookmarkStart w:id="1871" w:name="Tc_E7aLvHFJhEegVcBHHztx4A_35_0"/>
      <w:bookmarkStart w:id="1872" w:name="Tc_aRrlSc8XnEyHIeKRI4EkTA_34_23"/>
      <w:bookmarkStart w:id="1873" w:name="Tc_hta0fNHbFk295OWR_cgTEA_34_21"/>
      <w:bookmarkStart w:id="1874" w:name="Tc_jnRKwCQlT0C_KKPuk9gDsw_34_20"/>
      <w:bookmarkStart w:id="1875" w:name="Tc_ahOtm8euPUqquQrC6wlQrA_34_17"/>
      <w:bookmarkStart w:id="1876" w:name="Tc_VE8EI_xqlEKcs3S42jKfMw_34_15"/>
      <w:bookmarkStart w:id="1877" w:name="Tc_5B0YyQHSpEehHgEhAuA7Bg_34_14"/>
      <w:bookmarkStart w:id="1878" w:name="Tc_pXJhJ_yvnUaT-AFpvAmOmw_34_12"/>
      <w:bookmarkStart w:id="1879" w:name="Tc_W1d7KzY2P0-gnvte5LYbEw_34_11"/>
      <w:bookmarkStart w:id="1880" w:name="Tc_1TgekzmwLU25tv3I3hmmxA_34_9"/>
      <w:bookmarkStart w:id="1881" w:name="Tc_T2CGz8GeKEeBbunft95gog_34_8"/>
      <w:bookmarkStart w:id="1882" w:name="Tc_xFcak--9Vk2WkF3f5Eu7HQ_34_6"/>
      <w:bookmarkStart w:id="1883" w:name="Tc_FLe91RJlF0-gaQwfP4Brfw_34_5"/>
      <w:bookmarkStart w:id="1884" w:name="Tc_FxqDk8Lh2U62v9qJzJwy4w_34_3"/>
      <w:bookmarkStart w:id="1885" w:name="Tc_Gpmcvkj3Bk-c062goQv6Pw_34_2"/>
      <w:bookmarkStart w:id="1886" w:name="Tc_9q3q8l1g9UOSZF6wvOhe3A_34_0"/>
      <w:bookmarkStart w:id="1887" w:name="Tc_YLRWmM-MQkq9Klap-jOGYA_33_23"/>
      <w:bookmarkStart w:id="1888" w:name="Tc_Bm9t0DuisEqOorld7yADwg_33_20"/>
      <w:bookmarkStart w:id="1889" w:name="Tc_bDXnZd9IEkWT7Ow646wT5Q_33_17"/>
      <w:bookmarkStart w:id="1890" w:name="Tc_8E72uWV0sUSEF2PVF56a9Q_33_14"/>
      <w:bookmarkStart w:id="1891" w:name="Tc__m5vXK56A06c4aNXNT45Nw_33_11"/>
      <w:bookmarkStart w:id="1892" w:name="Tc_KJCogRP-lEuzdmtbcHnWFA_33_8"/>
      <w:bookmarkStart w:id="1893" w:name="Tc_UTZ2YgOcsUq6i76vvWPOjw_33_5"/>
      <w:bookmarkStart w:id="1894" w:name="Tc_Evg_HWGijEmkNlINYgVR4w_33_2"/>
      <w:bookmarkStart w:id="1895" w:name="Tc_V0R7Vbwlz0u7nZJYJVrhHw_33_0"/>
      <w:bookmarkStart w:id="1896" w:name="Tc_vsaebARm2EmwpGjEJEn6rg_32_18"/>
      <w:bookmarkStart w:id="1897" w:name="Tc_UzEvpFqPzk-xbEFiV5SOcQ_32_15"/>
      <w:bookmarkStart w:id="1898" w:name="Tc_XqhACatBrE6NYO9rgolxTg_32_12"/>
      <w:bookmarkStart w:id="1899" w:name="Tc_1YKvwzDs0EWKCLnUVhT1sQ_32_9"/>
      <w:bookmarkStart w:id="1900" w:name="Tc_lHJ9mjNHkU6BbMyxvdXwWw_32_6"/>
      <w:bookmarkStart w:id="1901" w:name="Tc_0LiHYTYHMkuy2Tb4CxZ-nQ_32_3"/>
      <w:bookmarkStart w:id="1902" w:name="Tc_b-6459mTa0m5EJOCB59EVw_32_0"/>
      <w:bookmarkStart w:id="1903" w:name="Tc_WVZLO6fAZEyP2DoGr9pqLQ_31_23"/>
      <w:bookmarkStart w:id="1904" w:name="Tc_1T8jZWr5xU-CpC5-79aI0Q_31_20"/>
      <w:bookmarkStart w:id="1905" w:name="Tc_VoAUW4gwXEG6Y5-NB9e0Kg_31_17"/>
      <w:bookmarkStart w:id="1906" w:name="Tc_MaF1dBVbKkyZlxuzSqlh-w_31_14"/>
      <w:bookmarkStart w:id="1907" w:name="Tc_mz421qN7x0SL6PwhdVPOnQ_31_11"/>
      <w:bookmarkStart w:id="1908" w:name="Tc_b_jHcMKmEkGpTtmOyxM7XQ_31_8"/>
      <w:bookmarkStart w:id="1909" w:name="Tc_6dBnOvkVm0mPAksWIVJ7Xw_31_5"/>
      <w:bookmarkStart w:id="1910" w:name="Tc_Zeg6pHCRkEeXhgYJUMqTtQ_31_2"/>
      <w:bookmarkStart w:id="1911" w:name="Tc_Y1a5RbGqq0OD9wYiHb-_mQ_31_0"/>
      <w:bookmarkStart w:id="1912" w:name="Tc_5aZ2RVFaJ0mt2BSGhmeTBA_30_0"/>
      <w:bookmarkStart w:id="1913" w:name="Tc_N--3VDrMS0eRgBDXEHp_bw_29_23"/>
      <w:bookmarkStart w:id="1914" w:name="Tc_13El9Bfv2kKawoFymbYl5g_29_21"/>
      <w:bookmarkStart w:id="1915" w:name="Tc_dKpEg1e0HUG-H9p0QAzang_29_20"/>
      <w:bookmarkStart w:id="1916" w:name="Tc_aNJ91yuh-EqvpdF_x-2J1g_29_17"/>
      <w:bookmarkStart w:id="1917" w:name="Tc__PtQB6OFNEeDnh0Vdu13OA_29_15"/>
      <w:bookmarkStart w:id="1918" w:name="Tc_xyVkdMQXW0GeQPxHI8UwQA_29_14"/>
      <w:bookmarkStart w:id="1919" w:name="Tc_UWzytH1zdEWetHBXtqY-_w_29_12"/>
      <w:bookmarkStart w:id="1920" w:name="Tc_IkxJZ5fYTUefhakoBKcx3g_29_11"/>
      <w:bookmarkStart w:id="1921" w:name="Tc_JMWdB-ni2keixOZl8nrF0w_29_8"/>
      <w:bookmarkStart w:id="1922" w:name="Tc_YgllH6J__km1fYRKsjB9tg_29_6"/>
      <w:bookmarkStart w:id="1923" w:name="Tc_QhAYi3tEmEeUNdjBLWlsHg_29_5"/>
      <w:bookmarkStart w:id="1924" w:name="Tc_R9WXhzvvk0GGPm4XkGTeTw_29_3"/>
      <w:bookmarkStart w:id="1925" w:name="Tc_11HqYIGkqk6UscUkupouig_29_2"/>
      <w:bookmarkStart w:id="1926" w:name="Tc_JhlaEsIWL0iE41K5K-Iydg_29_0"/>
      <w:bookmarkStart w:id="1927" w:name="Tc_E-2Yo8fsz0OerHJV2aX19w_28_23"/>
      <w:bookmarkStart w:id="1928" w:name="Tc_l1zQ0uXNQ0mpGCrvJaxCEg_28_20"/>
      <w:bookmarkStart w:id="1929" w:name="Tc_IveaaTHIqEaxO_Tn6CUBMw_28_17"/>
      <w:bookmarkStart w:id="1930" w:name="Tc_OqLILtxn-UaNBEzL3fQOcQ_28_14"/>
      <w:bookmarkStart w:id="1931" w:name="Tc_Cye8UUzs6EOwwDa89TQNOQ_28_11"/>
      <w:bookmarkStart w:id="1932" w:name="Tc_lzpaK7q250aapjaUjHw7ZA_28_8"/>
      <w:bookmarkStart w:id="1933" w:name="Tc_YPnoEY1G2EuF818lBitzQw_28_5"/>
      <w:bookmarkStart w:id="1934" w:name="Tc_RC2ETVA8v0qiiR4OjD_EEQ_28_2"/>
      <w:bookmarkStart w:id="1935" w:name="Tc_zth3sGibsUeYnVHSEXeKPg_28_0"/>
      <w:bookmarkStart w:id="1936" w:name="Tc_CAmFa-IDY0e3PdQGaMvKvQ_27_21"/>
      <w:bookmarkStart w:id="1937" w:name="Tc_chdZrjhNs0SnVtpnkaGfDw_27_15"/>
      <w:bookmarkStart w:id="1938" w:name="Tc_QJ8snPmrIk22Af3dk03Z1A_27_12"/>
      <w:bookmarkStart w:id="1939" w:name="Tc_Z3d-9uLlOU2TxuwetJnH-w_27_9"/>
      <w:bookmarkStart w:id="1940" w:name="Tc_nrLjpLLVYUadURIuUBtwhw_27_6"/>
      <w:bookmarkStart w:id="1941" w:name="Tc_97gujr0ZH0aSYThhA0qx5A_27_3"/>
      <w:bookmarkStart w:id="1942" w:name="Tc_bMWBuagc-UuYp9UzThkGpg_27_0"/>
      <w:bookmarkStart w:id="1943" w:name="Tc_dG9RQOh5HkSBlf8Yi5dtCA_26_23"/>
      <w:bookmarkStart w:id="1944" w:name="Tc_tj3bb230jEm7unRZJ18w1g_26_20"/>
      <w:bookmarkStart w:id="1945" w:name="Tc_MEoyyHeN-EKSY1UAnWnrGg_26_17"/>
      <w:bookmarkStart w:id="1946" w:name="Tc_af84A5CSCEG4iwE2-qyqKQ_26_14"/>
      <w:bookmarkStart w:id="1947" w:name="Tc_zcQJqmZll0S78kgmDEf8xQ_26_11"/>
      <w:bookmarkStart w:id="1948" w:name="Tc_MHNNV6R-DE23r40EjV4ybw_26_8"/>
      <w:bookmarkStart w:id="1949" w:name="Tc_o2IgdNCKw0C-WlAfHhavrQ_26_5"/>
      <w:bookmarkStart w:id="1950" w:name="Tc_lCYkRkID4Eark0IyFetQBw_26_2"/>
      <w:bookmarkStart w:id="1951" w:name="Tc_kWkeIpMbX06pC0gXA0s_WA_26_0"/>
      <w:bookmarkStart w:id="1952" w:name="Tc_I4yRkFYWR0uiMl0mn0SQ3g_25_0"/>
      <w:bookmarkStart w:id="1953" w:name="Tc_ctUbtvXnpkqqryIc-rMBbQ_24_24"/>
      <w:bookmarkStart w:id="1954" w:name="Tc_9aTfXPqyb0WXw5jhIcBonA_24_23"/>
      <w:bookmarkStart w:id="1955" w:name="Tc_wbWd1WPsg0yDoTBFViG-6Q_24_21"/>
      <w:bookmarkStart w:id="1956" w:name="Tc_dGPWBasPa020u0DyZSs-ag_24_20"/>
      <w:bookmarkStart w:id="1957" w:name="Tc_7gY1KpEcuEa1PwHBNsldXQ_24_18"/>
      <w:bookmarkStart w:id="1958" w:name="Tc_26RImtUFjEeYN1-T3gDNNw_24_17"/>
      <w:bookmarkStart w:id="1959" w:name="Tc_O-OX8wfQDk6G5Xm_-fooog_24_15"/>
      <w:bookmarkStart w:id="1960" w:name="Tc_qmNYlAj9H0io5Um1xzqhQQ_24_14"/>
      <w:bookmarkStart w:id="1961" w:name="Tc_9L2LPPIYxUe-0BTH9jcdNQ_24_12"/>
      <w:bookmarkStart w:id="1962" w:name="Tc_pPDdfCqrY0u5g8Xy-YyBhA_24_11"/>
      <w:bookmarkStart w:id="1963" w:name="Tc_O7FFL0FdPUe7cxIKZ_BrRg_24_9"/>
      <w:bookmarkStart w:id="1964" w:name="Tc_SWMaU_lEOEqmo-B2ji6RJg_24_8"/>
      <w:bookmarkStart w:id="1965" w:name="Tc_YHsQzZplgEaKei2_ZiCAjg_24_6"/>
      <w:bookmarkStart w:id="1966" w:name="Tc_cfmm8uHyE0GcndTGQNAEaw_24_5"/>
      <w:bookmarkStart w:id="1967" w:name="Tc_Fj8eHpS_r0-XUy7VTm-8lQ_24_3"/>
      <w:bookmarkStart w:id="1968" w:name="Tc_smex49O1302Mh_Iuy65yeQ_24_2"/>
      <w:bookmarkStart w:id="1969" w:name="Tc_3ac_xtaF_UeDfGQ3Ekz75g_24_0"/>
      <w:bookmarkStart w:id="1970" w:name="Tc_jCJSmgWprUWXtEvNbErQPQ_23_23"/>
      <w:bookmarkStart w:id="1971" w:name="Tc_clXNgFQlnkKhzfThxzMvFg_23_20"/>
      <w:bookmarkStart w:id="1972" w:name="Tc_QH0dfE7w8kOM-3ApFojBfA_23_17"/>
      <w:bookmarkStart w:id="1973" w:name="Tc_w_Tl0N5STECKT6htuzRdAQ_23_14"/>
      <w:bookmarkStart w:id="1974" w:name="Tc_myt3Uck6hEig9-CoVNAjUA_23_11"/>
      <w:bookmarkStart w:id="1975" w:name="Tc_JInXxsoJYE21m9Iid2uh2w_23_8"/>
      <w:bookmarkStart w:id="1976" w:name="Tc_aCr6MCZLB0Ouz-j2RQk1Lg_23_5"/>
      <w:bookmarkStart w:id="1977" w:name="Tc_KUnIaAAK60eryr7gY4VXYA_23_2"/>
      <w:bookmarkStart w:id="1978" w:name="Tc_CdkpDsE5YEOp7zHSxR57Iw_23_0"/>
      <w:bookmarkStart w:id="1979" w:name="Tc_xraLySMZe0aEFBlDMV-knw_22_24"/>
      <w:bookmarkStart w:id="1980" w:name="Tc_rMSMkfTwvkWomCyRYwWbmw_22_21"/>
      <w:bookmarkStart w:id="1981" w:name="Tc_QB6v351Mzk6BFwhdLBWCgg_22_18"/>
      <w:bookmarkStart w:id="1982" w:name="Tc_k2XFahyc_kSHn2nYjm9egA_22_15"/>
      <w:bookmarkStart w:id="1983" w:name="Tc_eZOl9yrzLUKQttYeeD-3FA_22_12"/>
      <w:bookmarkStart w:id="1984" w:name="Tc_bFoSPBDsv0SI2-xwGwD_6A_22_9"/>
      <w:bookmarkStart w:id="1985" w:name="Tc_-bQAOdk6-kCEtVG_vTl3hw_22_6"/>
      <w:bookmarkStart w:id="1986" w:name="Tc_D-poVzjlwUyzna7fQhlCFA_22_3"/>
      <w:bookmarkStart w:id="1987" w:name="Tc_4kdFeMO0oEKphDjfyLFZ5Q_22_0"/>
      <w:bookmarkStart w:id="1988" w:name="Tc__kSsJUUWb0m-GpjqDaNc6A_21_21"/>
      <w:bookmarkStart w:id="1989" w:name="Tc_qwW143Hgp0iFuN5m4GUPMA_21_12"/>
      <w:bookmarkStart w:id="1990" w:name="Tc_qPHJgx7JpUmsPNHbz6N4Kg_21_3"/>
      <w:bookmarkStart w:id="1991" w:name="Tc_zi6t2lTn10mxSnKTCeDGGA_21_0"/>
      <w:bookmarkStart w:id="1992" w:name="Tc_73CNESfs_EGd8VMxria6AQ_20_21"/>
      <w:bookmarkStart w:id="1993" w:name="Tc_ueRk2pm24UWCHFO6BTFSsw_20_15"/>
      <w:bookmarkStart w:id="1994" w:name="Tc_UCWGIj-PPk2qLZcNx562EQ_20_12"/>
      <w:bookmarkStart w:id="1995" w:name="Tc_gz9fDaAKfUK8FvVGF3GCfw_20_9"/>
      <w:bookmarkStart w:id="1996" w:name="Tc_160sl47GvEOpxBFYDvHA0Q_20_6"/>
      <w:bookmarkStart w:id="1997" w:name="Tc_3pfNjccK3EOYFxCAzwlvMA_20_3"/>
      <w:bookmarkStart w:id="1998" w:name="Tc_qVmlNzuPKkeF6eTSotGrow_20_0"/>
      <w:bookmarkStart w:id="1999" w:name="Tc_Ik9V2OXgp0ajCpiROaKJ3Q_19_23"/>
      <w:bookmarkStart w:id="2000" w:name="Tc__euuYms8402sIkFOVm62MA_19_20"/>
      <w:bookmarkStart w:id="2001" w:name="Tc_2bkaOpBBc0-k-arOUgpTlw_19_17"/>
      <w:bookmarkStart w:id="2002" w:name="Tc_o6mNBWXGFEW1tJa90-MDSg_19_14"/>
      <w:bookmarkStart w:id="2003" w:name="Tc_FYCeF_lMxUWSJt32QYQoXQ_19_11"/>
      <w:bookmarkStart w:id="2004" w:name="Tc_Tux-W0TUl0O-kHegYgIr0Q_19_8"/>
      <w:bookmarkStart w:id="2005" w:name="Tc_vOay6P6jY0iIb9cz9IuvAg_19_5"/>
      <w:bookmarkStart w:id="2006" w:name="Tc_tjX5_mIHaU-wL7RKBVSHJA_19_2"/>
      <w:bookmarkStart w:id="2007" w:name="Tc_TvQug-fIPUaKfmYgfj8pug_19_0"/>
      <w:bookmarkStart w:id="2008" w:name="Tc_lE0t76-LsEe6ECsEGC1xZg_18_0"/>
      <w:bookmarkStart w:id="2009" w:name="Tc_feZrHsKMxUCstea-vn2mQQ_17_24"/>
      <w:bookmarkStart w:id="2010" w:name="Tc_oauc9ia2Q06kJQYVbeXmkA_17_23"/>
      <w:bookmarkStart w:id="2011" w:name="Tc_cdIgVHzhnUqEvZwptrQAUw_17_21"/>
      <w:bookmarkStart w:id="2012" w:name="Tc_9Y7GErpn6UyeNJda3yvl7Q_17_20"/>
      <w:bookmarkStart w:id="2013" w:name="Tc_sP35LCvqEEqjzzhnz8koIQ_17_18"/>
      <w:bookmarkStart w:id="2014" w:name="Tc_a774PIdwGEOQMVSI13OMBQ_17_17"/>
      <w:bookmarkStart w:id="2015" w:name="Tc_spsAdWOXxkeEuXsTfedWwg_17_15"/>
      <w:bookmarkStart w:id="2016" w:name="Tc_Rzjyl13PLEymNwpygACKAQ_17_14"/>
      <w:bookmarkStart w:id="2017" w:name="Tc_DqEnBC7JN0y7aeAWjIw8rQ_17_12"/>
      <w:bookmarkStart w:id="2018" w:name="Tc_H5ma-val7Uq1cSSsDSJbiA_17_11"/>
      <w:bookmarkStart w:id="2019" w:name="Tc_0ZN0ffajjEWIFUSl1AlkUg_17_9"/>
      <w:bookmarkStart w:id="2020" w:name="Tc_CZ664FbBzkaReMVJUhEB1Q_17_8"/>
      <w:bookmarkStart w:id="2021" w:name="Tc_ofPxI7cZ1Eic0T45jmfx7Q_17_6"/>
      <w:bookmarkStart w:id="2022" w:name="Tc_Eri_hiidDEWMZcJ6l8PNOQ_17_5"/>
      <w:bookmarkStart w:id="2023" w:name="Tc_w5SLmJ2sh0uUKWNshPJzAQ_17_3"/>
      <w:bookmarkStart w:id="2024" w:name="Tc_oCVsWnXueEWFKuVnCuOo7g_17_2"/>
      <w:bookmarkStart w:id="2025" w:name="Tc_T6brhqmq80CF7TGsqUqGgw_17_0"/>
      <w:bookmarkStart w:id="2026" w:name="Tc_o1K_ibYvMkS2WcHZ04s-Og_16_23"/>
      <w:bookmarkStart w:id="2027" w:name="Tc_6nE95fZFm0ab02Rm0koPlw_16_20"/>
      <w:bookmarkStart w:id="2028" w:name="Tc_8IdXpGkTJUuXoXja6jN_gg_16_17"/>
      <w:bookmarkStart w:id="2029" w:name="Tc_3NDiaBkkK06u3NwYP0jlEA_16_15"/>
      <w:bookmarkStart w:id="2030" w:name="Tc_jbA4qiw9ukS2P8tU4RYKtQ_16_14"/>
      <w:bookmarkStart w:id="2031" w:name="Tc_OssTvo7o6UGbCfxqrNsFEQ_16_11"/>
      <w:bookmarkStart w:id="2032" w:name="Tc_5SahnEiLdUay8MNsYhG3yg_16_8"/>
      <w:bookmarkStart w:id="2033" w:name="Tc_go8AgWC0sUWu132Qg90K1w_16_5"/>
      <w:bookmarkStart w:id="2034" w:name="Tc_15Degh5OKkS9YDzhMw1rKQ_16_2"/>
      <w:bookmarkStart w:id="2035" w:name="Tc_DGJgwzcQh0mB188hI-0V-w_16_0"/>
      <w:bookmarkStart w:id="2036" w:name="Tc_5fanShQwo0-hPdXBhI8uzA_15_24"/>
      <w:bookmarkStart w:id="2037" w:name="Tc_kjREXs3qREyuhrIWvTtGAw_15_21"/>
      <w:bookmarkStart w:id="2038" w:name="Tc_NQiYw29tVEiA6A1Fs0n3hA_15_18"/>
      <w:bookmarkStart w:id="2039" w:name="Tc_NmidDzKWBECkG7hI0qoajQ_15_15"/>
      <w:bookmarkStart w:id="2040" w:name="Tc_F4T4OXvNIUyZcVrVEDHC2Q_15_12"/>
      <w:bookmarkStart w:id="2041" w:name="Tc_1ojwBO9EzU68OO5v359ZAg_15_9"/>
      <w:bookmarkStart w:id="2042" w:name="Tc_OHWeQdFmjEKoNDKBXy0gGw_15_6"/>
      <w:bookmarkStart w:id="2043" w:name="Tc_RvAGN96QnESEayOsou8HXQ_15_3"/>
      <w:bookmarkStart w:id="2044" w:name="Tc_lmkPyBKLC0-QG1XzPMQYgA_15_0"/>
      <w:bookmarkStart w:id="2045" w:name="Tc_l6Wi6qrZnEOyqCGMp8y0pQ_14_21"/>
      <w:bookmarkStart w:id="2046" w:name="Tc_4kGUUGItwEa8x9MzDbYc1A_14_18"/>
      <w:bookmarkStart w:id="2047" w:name="Tc_c-41l1N8C0msHiqY5EZmrg_14_15"/>
      <w:bookmarkStart w:id="2048" w:name="Tc_aPUyDK6mCES4LteEZ2TTbQ_14_12"/>
      <w:bookmarkStart w:id="2049" w:name="Tc_hMnRodFuu0OU-UIut21akw_14_9"/>
      <w:bookmarkStart w:id="2050" w:name="Tc_wg2boM97W0CEB4xK2MnB6Q_14_3"/>
      <w:bookmarkStart w:id="2051" w:name="Tc_a8lP7nD2NkWguTY3xPLFWg_14_0"/>
      <w:bookmarkStart w:id="2052" w:name="Tc_BVDOCwNIkkGbvqeIV3Y3AA_13_24"/>
      <w:bookmarkStart w:id="2053" w:name="Tc_W-m1PPeQq02RlZmfjwY-0g_13_21"/>
      <w:bookmarkStart w:id="2054" w:name="Tc_XKQt183wbkaO6DcdhzhcSQ_13_18"/>
      <w:bookmarkStart w:id="2055" w:name="Tc_q7KxfI5MSUmIFJ6JDpZolQ_13_15"/>
      <w:bookmarkStart w:id="2056" w:name="Tc_DdDPFa_y2k2Q37Tmsg0hXg_13_12"/>
      <w:bookmarkStart w:id="2057" w:name="Tc_j7FwgHdj7kazL8uFSyKZDg_13_9"/>
      <w:bookmarkStart w:id="2058" w:name="Tc_I2Pvi-pJHESx0W7U2QK-ug_13_6"/>
      <w:bookmarkStart w:id="2059" w:name="Tc_NaPsxeRM5ESqgtmeFvotcg_13_3"/>
      <w:bookmarkStart w:id="2060" w:name="Tc_iC-j4GLedUOiOEigoCcWsg_13_0"/>
      <w:bookmarkStart w:id="2061" w:name="Tc_fj3LUqLxXkaIpDkfCIMpKQ_12_23"/>
      <w:bookmarkStart w:id="2062" w:name="Tc_PwO4bznlLUOdq9MRA859DA_12_20"/>
      <w:bookmarkStart w:id="2063" w:name="Tc_4ZDbfeIEEU6GTGWQSmbD3A_12_17"/>
      <w:bookmarkStart w:id="2064" w:name="Tc_bF9AaqRAW0a6I0ng0MwXcg_12_15"/>
      <w:bookmarkStart w:id="2065" w:name="Tc_VV_hfMPtm0e2SUFB17v8uA_12_14"/>
      <w:bookmarkStart w:id="2066" w:name="Tc_Y8P2GyTgmUm5hi_3HTWqxw_12_11"/>
      <w:bookmarkStart w:id="2067" w:name="Tc_1gfZfARRLEKo-7ibstbSyw_12_8"/>
      <w:bookmarkStart w:id="2068" w:name="Tc_e8oarUc3m0ejDwPHOpjbWw_12_5"/>
      <w:bookmarkStart w:id="2069" w:name="Tc_kKuCIKbP00uvTzcwsCJzqQ_12_2"/>
      <w:bookmarkStart w:id="2070" w:name="Tc_1iUwNcMt-06EHHyQNh2Eqw_12_0"/>
      <w:bookmarkStart w:id="2071" w:name="Tc_QylAOCUdQk-7d9jFbl2jHw_11_0"/>
      <w:bookmarkStart w:id="2072" w:name="Tc_sW_kFhSL8km0ygryVPYjyw_10_23"/>
      <w:bookmarkStart w:id="2073" w:name="Tc_3_UHc9YbAEu4JNUe4jw1fQ_10_21"/>
      <w:bookmarkStart w:id="2074" w:name="Tc_5fbVKS1c1ky1mRwZfZ3SRg_10_20"/>
      <w:bookmarkStart w:id="2075" w:name="Tc_0rZD-yCmh0eZGXZHXtA5sg_10_17"/>
      <w:bookmarkStart w:id="2076" w:name="Tc_1QFDvLBfTEmVncE_gMn9ow_10_14"/>
      <w:bookmarkStart w:id="2077" w:name="Tc_TveJ8p7lIka9FYXzJp6K0A_10_11"/>
      <w:bookmarkStart w:id="2078" w:name="Tc_uvYZg7cNfk6gKMea2pMTiw_10_8"/>
      <w:bookmarkStart w:id="2079" w:name="Tc_Ux9PXDcaWUCu6E5VETmn1w_10_6"/>
      <w:bookmarkStart w:id="2080" w:name="Tc_jL1_YXiC9UuZyIU6WJSiSg_10_5"/>
      <w:bookmarkStart w:id="2081" w:name="Tc_k8Y2zUd_TkWWXlydaJvoag_10_2"/>
      <w:bookmarkStart w:id="2082" w:name="Tc_7OpBw9pBXkKCgJeePXPSiA_10_0"/>
      <w:bookmarkStart w:id="2083" w:name="Tc_wY5h-WeHrEKB9DsIUc7nnw_9_23"/>
      <w:bookmarkStart w:id="2084" w:name="Tc_oZ6TYYD0RU6iDptekjVkvg_9_20"/>
      <w:bookmarkStart w:id="2085" w:name="Tc_9FlSV1Zyy0acG3qKuO5kWA_9_17"/>
      <w:bookmarkStart w:id="2086" w:name="Tc_m0dY20JCtkuM7Z_w9q3OrQ_9_14"/>
      <w:bookmarkStart w:id="2087" w:name="Tc_feRcO2KWt0m0y1jBijJFbw_9_11"/>
      <w:bookmarkStart w:id="2088" w:name="Tc_KtcGgDYYAUapt7lNJjdX2w_9_8"/>
      <w:bookmarkStart w:id="2089" w:name="Tc_3NZTXH9SIUGENlOfNV70yg_9_5"/>
      <w:bookmarkStart w:id="2090" w:name="Tc_VKd4pMMVNUWA64cBDJQPdw_9_2"/>
      <w:bookmarkStart w:id="2091" w:name="Tc_3XrFkdt6SUCP_MRbPFi9cQ_9_0"/>
      <w:bookmarkStart w:id="2092" w:name="Tc_ZGqLkqy81U-_lXKmlFUwPQ_8_24"/>
      <w:bookmarkStart w:id="2093" w:name="Tc_UuzO_QHv-UG-WqKVnoW6cA_8_21"/>
      <w:bookmarkStart w:id="2094" w:name="Tc_XRVG85d97UixGF90Q7iE3g_8_18"/>
      <w:bookmarkStart w:id="2095" w:name="Tc_-3okm4Uo2UqKPFrvBhvF5g_8_15"/>
      <w:bookmarkStart w:id="2096" w:name="Tc_SDfN1HJZBEGTUoF9U6flSg_8_12"/>
      <w:bookmarkStart w:id="2097" w:name="Tc_WtJEZiDgWUmdOuQhBYc3hg_8_9"/>
      <w:bookmarkStart w:id="2098" w:name="Tc_OpHB5wsLREWVexoWSnFpag_8_6"/>
      <w:bookmarkStart w:id="2099" w:name="Tc_h4LiICJyxEakO_w2hO7Z8g_8_3"/>
      <w:bookmarkStart w:id="2100" w:name="Tc_N49MVvKp3kmXqYT86f4PxA_8_0"/>
      <w:bookmarkStart w:id="2101" w:name="Tc_aKS3HIe_40WHAjSr_yGhbA_7_0"/>
      <w:bookmarkStart w:id="2102" w:name="Tc_cQ7rMAUAUkOkr-fBQplfUg_6_24"/>
      <w:bookmarkStart w:id="2103" w:name="Tc_HlFFNT84SkahiWwSZ8AsNw_6_21"/>
      <w:bookmarkStart w:id="2104" w:name="Tc__fS_n3-1aE-eLhsDnEnhig_6_18"/>
      <w:bookmarkStart w:id="2105" w:name="Tc_1Eze7hQxPkKfwBsaTfDoeA_6_15"/>
      <w:bookmarkStart w:id="2106" w:name="Tc__rGTakTuSUqYOoFq1dZ59Q_6_12"/>
      <w:bookmarkStart w:id="2107" w:name="Tc_4wYjCJgv_kGNfHx5fYV5Lw_6_9"/>
      <w:bookmarkStart w:id="2108" w:name="Tc_bxVEBkgL8kSUJiinxNhviw_6_6"/>
      <w:bookmarkStart w:id="2109" w:name="Tc_U0ZStWmKtkOiZT7h3IbNaA_6_3"/>
      <w:bookmarkStart w:id="2110" w:name="Tc_HPCtKx_llkmHm0EdImZIag_6_0"/>
      <w:bookmarkStart w:id="2111" w:name="Tc_zxy_Uvve40-dFlmjiQj2ug_5_23"/>
      <w:bookmarkStart w:id="2112" w:name="Tc__e3DIOq7U0q60RKcA0lVtQ_5_20"/>
      <w:bookmarkStart w:id="2113" w:name="Tc_laNDUpbub0Odqst8K2I1Sg_5_17"/>
      <w:bookmarkStart w:id="2114" w:name="Tc_ooQiz5R3EE-Mdkrb87Bkog_5_14"/>
      <w:bookmarkStart w:id="2115" w:name="Tc_A3fmR5Pk8keFzwsW545mSg_5_11"/>
      <w:bookmarkStart w:id="2116" w:name="Tc_fhYX320_HE6gCw9wZeiHAg_5_8"/>
      <w:bookmarkStart w:id="2117" w:name="Tc_6Ot04KIu7UeawOgWCp8k5Q_5_5"/>
      <w:bookmarkStart w:id="2118" w:name="Tc_NkgT5vjFakWP8ELBkr7sRg_5_2"/>
      <w:bookmarkStart w:id="2119" w:name="Tc_aUaQUThSAEu-HltXSh0CNA_5_0"/>
      <w:bookmarkStart w:id="2120" w:name="Tc_Ht_o1qlRoUOwXugf1ZROnQ_4_0"/>
      <w:bookmarkStart w:id="2121" w:name="Tc_UatqKZ_uo0KLbP8IgQGyrg_3_23"/>
      <w:bookmarkStart w:id="2122" w:name="Tc_OZeGvoNry0q6Bdrs4lY6mw_3_20"/>
      <w:bookmarkStart w:id="2123" w:name="Tc_1-4tMCABmUqGpFdTyozBsQ_3_17"/>
      <w:bookmarkStart w:id="2124" w:name="Tc_rj-hh8X1_E6gKv3IQCWhpQ_3_14"/>
      <w:bookmarkStart w:id="2125" w:name="Tc_OqnC_g2Q40yrxcSMZUoE1g_3_11"/>
      <w:bookmarkStart w:id="2126" w:name="Tc_lnSpylSSkE2B8JPwoDvv0g_3_8"/>
      <w:bookmarkStart w:id="2127" w:name="Tc_hZSKwW9YqES8cyctlnnM8w_3_5"/>
      <w:bookmarkStart w:id="2128" w:name="Tc_xuLgkwG5CUiDkEq2-vd7Mg_3_2"/>
      <w:bookmarkStart w:id="2129" w:name="Tc_FX7JA81O30iQLBxlBQFWng_3_0"/>
      <w:bookmarkStart w:id="2130" w:name="Tc_5wrBZiWKHEKpCwGCp8FKzg_2_20"/>
      <w:bookmarkStart w:id="2131" w:name="Tc_-CX1C_a39kW4QUYvioKofg_2_2"/>
      <w:bookmarkStart w:id="2132" w:name="Tc_zMTPFWmo20qFYP9ODP-NQg_2_0"/>
      <w:bookmarkStart w:id="2133" w:name="Tc_iQadR7L7XEC1J_bBXU3pKg_1_20"/>
      <w:bookmarkStart w:id="2134" w:name="_4888763f_d709_42d9_a0ac_b753a04ce105"/>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p>
    <w:tbl>
      <w:tblPr>
        <w:tblW w:w="10205" w:type="dxa"/>
        <w:jc w:val="left"/>
        <w:tblInd w:w="0" w:type="dxa"/>
        <w:tblLayout w:type="fixed"/>
        <w:tblCellMar>
          <w:top w:w="0" w:type="dxa"/>
          <w:left w:w="0" w:type="dxa"/>
          <w:bottom w:w="0" w:type="dxa"/>
          <w:right w:w="0" w:type="dxa"/>
        </w:tblCellMar>
      </w:tblPr>
      <w:tblGrid>
        <w:gridCol w:w="1292"/>
        <w:gridCol w:w="326"/>
        <w:gridCol w:w="181"/>
        <w:gridCol w:w="586"/>
        <w:gridCol w:w="326"/>
        <w:gridCol w:w="181"/>
        <w:gridCol w:w="586"/>
        <w:gridCol w:w="326"/>
        <w:gridCol w:w="181"/>
        <w:gridCol w:w="586"/>
        <w:gridCol w:w="326"/>
        <w:gridCol w:w="181"/>
        <w:gridCol w:w="586"/>
        <w:gridCol w:w="326"/>
        <w:gridCol w:w="181"/>
        <w:gridCol w:w="586"/>
        <w:gridCol w:w="326"/>
        <w:gridCol w:w="181"/>
        <w:gridCol w:w="586"/>
        <w:gridCol w:w="326"/>
        <w:gridCol w:w="185"/>
        <w:gridCol w:w="600"/>
        <w:gridCol w:w="326"/>
        <w:gridCol w:w="181"/>
        <w:gridCol w:w="737"/>
      </w:tblGrid>
      <w:tr>
        <w:trPr/>
        <w:tc>
          <w:tcPr>
            <w:tcW w:w="1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820420" cy="175260"/>
                      <wp:effectExtent l="0" t="0" r="0" b="0"/>
                      <wp:wrapNone/>
                      <wp:docPr id="198" name="Frame198"/>
                      <a:graphic xmlns:a="http://schemas.openxmlformats.org/drawingml/2006/main">
                        <a:graphicData uri="http://schemas.microsoft.com/office/word/2010/wordprocessingShape">
                          <wps:wsp>
                            <wps:cNvSpPr txBox="1"/>
                            <wps:spPr>
                              <a:xfrm>
                                <a:off x="0" y="0"/>
                                <a:ext cx="820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14935" cy="175260"/>
                      <wp:effectExtent l="0" t="0" r="0" b="0"/>
                      <wp:wrapNone/>
                      <wp:docPr id="200" name="Frame20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72110" cy="175260"/>
                      <wp:effectExtent l="0" t="0" r="0" b="0"/>
                      <wp:wrapNone/>
                      <wp:docPr id="201" name="Frame20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14935" cy="175260"/>
                      <wp:effectExtent l="0" t="0" r="0" b="0"/>
                      <wp:wrapNone/>
                      <wp:docPr id="203" name="Frame20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72110" cy="175260"/>
                      <wp:effectExtent l="0" t="0" r="0" b="0"/>
                      <wp:wrapNone/>
                      <wp:docPr id="204" name="Frame20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14935" cy="175260"/>
                      <wp:effectExtent l="0" t="0" r="0" b="0"/>
                      <wp:wrapNone/>
                      <wp:docPr id="206" name="Frame20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72110" cy="175260"/>
                      <wp:effectExtent l="0" t="0" r="0" b="0"/>
                      <wp:wrapNone/>
                      <wp:docPr id="207" name="Frame20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14935" cy="175260"/>
                      <wp:effectExtent l="0" t="0" r="0" b="0"/>
                      <wp:wrapNone/>
                      <wp:docPr id="209" name="Frame20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72110" cy="175260"/>
                      <wp:effectExtent l="0" t="0" r="0" b="0"/>
                      <wp:wrapNone/>
                      <wp:docPr id="210" name="Frame21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14935" cy="175260"/>
                      <wp:effectExtent l="0" t="0" r="0" b="0"/>
                      <wp:wrapNone/>
                      <wp:docPr id="212" name="Frame21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72110" cy="175260"/>
                      <wp:effectExtent l="0" t="0" r="0" b="0"/>
                      <wp:wrapNone/>
                      <wp:docPr id="213" name="Frame21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14935" cy="175260"/>
                      <wp:effectExtent l="0" t="0" r="0" b="0"/>
                      <wp:wrapNone/>
                      <wp:docPr id="215" name="Frame21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72110" cy="175260"/>
                      <wp:effectExtent l="0" t="0" r="0" b="0"/>
                      <wp:wrapNone/>
                      <wp:docPr id="216" name="Frame21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17475" cy="175260"/>
                      <wp:effectExtent l="0" t="0" r="0" b="0"/>
                      <wp:wrapNone/>
                      <wp:docPr id="218" name="Frame218"/>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81000" cy="175260"/>
                      <wp:effectExtent l="0" t="0" r="0" b="0"/>
                      <wp:wrapNone/>
                      <wp:docPr id="219" name="Frame219"/>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14935" cy="175260"/>
                      <wp:effectExtent l="0" t="0" r="0" b="0"/>
                      <wp:wrapNone/>
                      <wp:docPr id="221" name="Frame22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67995" cy="175260"/>
                      <wp:effectExtent l="0" t="0" r="0" b="0"/>
                      <wp:wrapNone/>
                      <wp:docPr id="222" name="Frame222"/>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Revolving</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left"/>
              <w:rPr/>
            </w:pPr>
            <w:r>
              <w:rPr/>
              <w:t>​</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i/>
                <w:sz w:val="12"/>
              </w:rPr>
            </w:pPr>
            <w:r>
              <w:rPr>
                <w:rFonts w:ascii="Times New Roman;Times;serif" w:hAnsi="Times New Roman;Times;serif"/>
                <w:i/>
                <w:sz w:val="12"/>
              </w:rPr>
              <w:t>(dollars in thousands)</w:t>
            </w:r>
          </w:p>
        </w:tc>
        <w:tc>
          <w:tcPr>
            <w:tcW w:w="326" w:type="dxa"/>
            <w:tcBorders/>
            <w:vAlign w:val="center"/>
          </w:tcPr>
          <w:p>
            <w:pPr>
              <w:pStyle w:val="TableContents"/>
              <w:bidi w:val="0"/>
              <w:spacing w:before="0" w:after="1"/>
              <w:ind w:left="0" w:right="0" w:hanging="0"/>
              <w:jc w:val="left"/>
              <w:rPr/>
            </w:pPr>
            <w:r>
              <w:rPr/>
              <w:t>    </w:t>
            </w:r>
          </w:p>
        </w:tc>
        <w:tc>
          <w:tcPr>
            <w:tcW w:w="6232"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Term Loans Amortized Cost Basis by Origination Year</w:t>
            </w:r>
          </w:p>
        </w:tc>
        <w:tc>
          <w:tcPr>
            <w:tcW w:w="326" w:type="dxa"/>
            <w:tcBorders/>
            <w:vAlign w:val="center"/>
          </w:tcPr>
          <w:p>
            <w:pPr>
              <w:pStyle w:val="TableContents"/>
              <w:bidi w:val="0"/>
              <w:spacing w:before="0" w:after="1"/>
              <w:ind w:left="0" w:right="0" w:hanging="0"/>
              <w:jc w:val="left"/>
              <w:rPr/>
            </w:pPr>
            <w:r>
              <w:rPr/>
              <w:t>​</w:t>
            </w:r>
          </w:p>
        </w:tc>
        <w:tc>
          <w:tcPr>
            <w:tcW w:w="78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Loans Amortized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left"/>
              <w:rPr/>
            </w:pPr>
            <w:r>
              <w:rPr/>
              <w:t>​</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As of December 31, 2023</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2020</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2019</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Prior</w:t>
            </w:r>
          </w:p>
        </w:tc>
        <w:tc>
          <w:tcPr>
            <w:tcW w:w="326" w:type="dxa"/>
            <w:tcBorders/>
            <w:vAlign w:val="center"/>
          </w:tcPr>
          <w:p>
            <w:pPr>
              <w:pStyle w:val="TableContents"/>
              <w:bidi w:val="0"/>
              <w:spacing w:before="0" w:after="1"/>
              <w:ind w:left="0" w:right="0" w:hanging="0"/>
              <w:jc w:val="left"/>
              <w:rPr/>
            </w:pPr>
            <w:r>
              <w:rPr/>
              <w:t>​</w:t>
            </w:r>
          </w:p>
        </w:tc>
        <w:tc>
          <w:tcPr>
            <w:tcW w:w="7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Cost Basis</w:t>
            </w:r>
          </w:p>
        </w:tc>
        <w:tc>
          <w:tcPr>
            <w:tcW w:w="326" w:type="dxa"/>
            <w:tcBorders/>
            <w:vAlign w:val="center"/>
          </w:tcPr>
          <w:p>
            <w:pPr>
              <w:pStyle w:val="TableContents"/>
              <w:bidi w:val="0"/>
              <w:spacing w:before="0" w:after="1"/>
              <w:ind w:left="0" w:right="0" w:hanging="0"/>
              <w:jc w:val="left"/>
              <w:rPr/>
            </w:pPr>
            <w:r>
              <w:rPr/>
              <w:t>​</w:t>
            </w:r>
          </w:p>
        </w:tc>
        <w:tc>
          <w:tcPr>
            <w:tcW w:w="9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Commercial and industrial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5"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left"/>
              <w:rPr/>
            </w:pPr>
            <w:r>
              <w:rPr/>
              <w:t>​</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197,533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89,090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67,691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64,272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34,603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15,053</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100,239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568,481</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4,844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6,328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2,513</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15,361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29,840</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197,997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93,934</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67,927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70,600</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34,697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17,566</w:t>
            </w:r>
          </w:p>
        </w:tc>
        <w:tc>
          <w:tcPr>
            <w:tcW w:w="326" w:type="dxa"/>
            <w:tcBorders/>
            <w:vAlign w:val="center"/>
          </w:tcPr>
          <w:p>
            <w:pPr>
              <w:pStyle w:val="TableContents"/>
              <w:bidi w:val="0"/>
              <w:spacing w:before="0" w:after="1"/>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115,600</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598,321</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Gross charge-offs for the period ended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436</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Real estate construction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left"/>
              <w:rPr/>
            </w:pPr>
            <w:r>
              <w:rPr/>
              <w:t>​</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29,902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57,944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14,326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952</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103,367</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20,667</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20,667</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29,902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78,611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14,326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952</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124,034</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Gross charge-offs for the period ended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vAlign w:val="center"/>
          </w:tcPr>
          <w:p>
            <w:pPr>
              <w:pStyle w:val="TableContents"/>
              <w:bidi w:val="0"/>
              <w:spacing w:before="0" w:after="1"/>
              <w:ind w:left="0" w:right="0" w:hanging="0"/>
              <w:jc w:val="right"/>
              <w:rPr/>
            </w:pPr>
            <w:r>
              <w:rPr/>
              <w:t>—</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Commercial 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left"/>
              <w:rPr/>
            </w:pPr>
            <w:r>
              <w:rPr/>
              <w:t>​</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Pass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272,261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265,549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142,027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153,796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116,861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159,454</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7,794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1,117,742</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Special mention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Substandard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3,690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1,759</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8,908</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Doubtful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272,261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266,136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144,899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153,796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120,551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161,475</w:t>
            </w:r>
          </w:p>
        </w:tc>
        <w:tc>
          <w:tcPr>
            <w:tcW w:w="326" w:type="dxa"/>
            <w:tcBorders/>
            <w:vAlign w:val="center"/>
          </w:tcPr>
          <w:p>
            <w:pPr>
              <w:pStyle w:val="TableContents"/>
              <w:bidi w:val="0"/>
              <w:spacing w:before="0" w:after="1"/>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7,794</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1,126,912</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Gross charge-offs for the period ended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shd w:fill="CCEEFF" w:val="clear"/>
            <w:vAlign w:val="center"/>
          </w:tcPr>
          <w:p>
            <w:pPr>
              <w:pStyle w:val="TableContents"/>
              <w:bidi w:val="0"/>
              <w:spacing w:before="0" w:after="1"/>
              <w:ind w:left="0" w:right="0" w:hanging="0"/>
              <w:jc w:val="right"/>
              <w:rPr/>
            </w:pPr>
            <w:r>
              <w:rPr/>
              <w:t>—</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Residential real estate first mortgage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left"/>
              <w:rPr/>
            </w:pPr>
            <w:r>
              <w:rPr/>
              <w:t>​</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Performing</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72,180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207,177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218,719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108,100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33,102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87,212</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726,774</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Nonperforming</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w:t>
            </w:r>
          </w:p>
        </w:tc>
        <w:tc>
          <w:tcPr>
            <w:tcW w:w="326" w:type="dxa"/>
            <w:tcBorders/>
            <w:vAlign w:val="center"/>
          </w:tcPr>
          <w:p>
            <w:pPr>
              <w:pStyle w:val="TableContents"/>
              <w:bidi w:val="0"/>
              <w:spacing w:before="0" w:after="1"/>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105</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72,180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207,177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218,719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108,100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33,102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87,317</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726,879</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Gross charge-offs for the period ended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Residential real estate junior lien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left"/>
              <w:rPr/>
            </w:pPr>
            <w:r>
              <w:rPr/>
              <w:t>​</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Performing</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18,408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15,655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5,946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4,857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5,280</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100,438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152,353</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Nonperforming</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1,781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1,781</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18,408</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15,655</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5,946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4,857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5,280</w:t>
            </w:r>
          </w:p>
        </w:tc>
        <w:tc>
          <w:tcPr>
            <w:tcW w:w="326" w:type="dxa"/>
            <w:tcBorders/>
            <w:vAlign w:val="center"/>
          </w:tcPr>
          <w:p>
            <w:pPr>
              <w:pStyle w:val="TableContents"/>
              <w:bidi w:val="0"/>
              <w:spacing w:before="0" w:after="1"/>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102,219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154,134</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Gross charge-offs for the period ended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Other revolving and installment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left"/>
              <w:rPr/>
            </w:pPr>
            <w:r>
              <w:rPr/>
              <w:t>​</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Performing</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5,320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6,395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952</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9,613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29,303</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Nonperforming</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Subtotal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5,320</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6,395</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980</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4,489</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1,554</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952</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9,613</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29,303</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Gross charge-offs for the period ended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Total loans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596,068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667,908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452,797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341,964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191,673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273,542</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235,631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2,759,583</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Gross charge-offs for the period ended</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215</w:t>
            </w:r>
          </w:p>
        </w:tc>
        <w:tc>
          <w:tcPr>
            <w:tcW w:w="326" w:type="dxa"/>
            <w:tcBorders/>
            <w:vAlign w:val="center"/>
          </w:tcPr>
          <w:p>
            <w:pPr>
              <w:pStyle w:val="TableContents"/>
              <w:bidi w:val="0"/>
              <w:spacing w:before="0" w:after="1"/>
              <w:ind w:left="0" w:right="0" w:hanging="0"/>
              <w:jc w:val="left"/>
              <w:rPr/>
            </w:pPr>
            <w:r>
              <w:rPr/>
              <w:t>​</w:t>
            </w:r>
          </w:p>
        </w:tc>
        <w:tc>
          <w:tcPr>
            <w:tcW w:w="1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0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7" w:type="dxa"/>
            <w:tcBorders>
              <w:bottom w:val="double" w:sz="6" w:space="0" w:color="000000"/>
            </w:tcBorders>
            <w:tcMar>
              <w:bottom w:w="28" w:type="dxa"/>
            </w:tcMar>
            <w:vAlign w:val="center"/>
          </w:tcPr>
          <w:p>
            <w:pPr>
              <w:pStyle w:val="TableContents"/>
              <w:bidi w:val="0"/>
              <w:spacing w:before="0" w:after="1"/>
              <w:ind w:left="0" w:right="43" w:hanging="0"/>
              <w:jc w:val="right"/>
              <w:rPr>
                <w:rFonts w:ascii="Times New Roman;Times;serif" w:hAnsi="Times New Roman;Times;serif"/>
                <w:sz w:val="14"/>
              </w:rPr>
            </w:pPr>
            <w:r>
              <w:rPr>
                <w:rFonts w:ascii="Times New Roman;Times;serif" w:hAnsi="Times New Roman;Times;serif"/>
                <w:sz w:val="14"/>
              </w:rPr>
              <w:t>613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Past Due and Nonaccrual Loans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closely monitors the performance of its loan portfolio. A loan is placed on nonaccrual status when the financial condition of the borrower is deteriorating, payment in full of both principal and interest is not expected as scheduled or principal or interest has been in default for 90 days or more. Exceptions may be made if the asset is secured by collateral sufficient to satisfy both the principal and accrued interest in full and collection is reasonably assured. When one loan to a borrower is placed on nonaccrual status, all other loans to the borrower are re-evaluated to determine if they should also be placed on nonaccrual status. All previously accrued and unpaid interest is reversed at that time. A loan will return to accrual when collection of principal and interest is assured and the borrower has demonstrated timely payments of principal and interest for a reasonable period, generally at least six months.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2135" w:name="Tc_On-xyc3Y7kSXSX0n5jZQgQ_16_9"/>
      <w:bookmarkStart w:id="2136" w:name="Tc_3gAmyrvKV0eA9BuMkNhIBg_16_8"/>
      <w:bookmarkStart w:id="2137" w:name="Tc_otZq4Gs6GE2r3jugQUg3dQ_16_5"/>
      <w:bookmarkStart w:id="2138" w:name="Tc_YQI07aVDi0iRs-qk9v95og_16_2"/>
      <w:bookmarkStart w:id="2139" w:name="Tc_i_urq4uNnkiVkIms6X4PGg_16_0"/>
      <w:bookmarkStart w:id="2140" w:name="Tc_bDLmR1ZANUibJ_I7slGkhA_15_9"/>
      <w:bookmarkStart w:id="2141" w:name="Tc_Tq4jWqdzsUWpti9PCgBiFA_15_0"/>
      <w:bookmarkStart w:id="2142" w:name="Tc_jZP1QYKh0kGu3RVFLAqOfg_14_9"/>
      <w:bookmarkStart w:id="2143" w:name="Tc_eBhgRaDtTEmMOWAqjOJQ4A_14_3"/>
      <w:bookmarkStart w:id="2144" w:name="Tc_Gd6BLex-N0aq6XGhGIKa8A_14_0"/>
      <w:bookmarkStart w:id="2145" w:name="Tc_vuuRMwwNyku7CaMuxxBV6g_13_9"/>
      <w:bookmarkStart w:id="2146" w:name="Tc_A3OMOzykf02XDAxq6rO7og_13_0"/>
      <w:bookmarkStart w:id="2147" w:name="Tc_meVX0B0_N0mpjCmnhiKcog_12_9"/>
      <w:bookmarkStart w:id="2148" w:name="Tc__3EtQ54EvESoVGzBMZee6w_12_0"/>
      <w:bookmarkStart w:id="2149" w:name="Tc_z7ulZ733VEiHkNywny_x_w_11_0"/>
      <w:bookmarkStart w:id="2150" w:name="Tc_gEy7uqd-pkmiiZlwvbv9Xg_10_9"/>
      <w:bookmarkStart w:id="2151" w:name="Tc_TrAIVVx4Ok-OiQbIy-mMVA_10_0"/>
      <w:bookmarkStart w:id="2152" w:name="Tc_MnTXtS-Y40Sdn6R8aRlWPA_9_9"/>
      <w:bookmarkStart w:id="2153" w:name="Tc_AdMftJUVRE2slPTCOqM9hQ_9_0"/>
      <w:bookmarkStart w:id="2154" w:name="Tc_upaRok49UkSAwxlXleX14g_8_9"/>
      <w:bookmarkStart w:id="2155" w:name="Tc_RjMxTuYbtUalj9yHjFilHw_8_6"/>
      <w:bookmarkStart w:id="2156" w:name="Tc_55_rLRWf0kOK5cI4ir4-TQ_8_3"/>
      <w:bookmarkStart w:id="2157" w:name="Tc_ZGj1NkDBEEWZQkwfakBviw_8_0"/>
      <w:bookmarkStart w:id="2158" w:name="Tc_88UQDGhwO0y_9qWIPZdxPA_7_9"/>
      <w:bookmarkStart w:id="2159" w:name="Tc_7WzaATfajk6ySblXvfUIPA_7_8"/>
      <w:bookmarkStart w:id="2160" w:name="Tc_QRodFyhc1Ei_Erm_gszhRw_7_5"/>
      <w:bookmarkStart w:id="2161" w:name="Tc_Om1RR9vJ4UGiWoRNDuUt3Q_7_2"/>
      <w:bookmarkStart w:id="2162" w:name="Tc_frYO3TV520uMQXdk6HKLAQ_7_0"/>
      <w:bookmarkStart w:id="2163" w:name="Tc_J-tmhKwe60ulAaux6gAllw_6_0"/>
      <w:bookmarkStart w:id="2164" w:name="Tc_5TyLUZxDhkePjC8cDgo1QA_5_8"/>
      <w:bookmarkStart w:id="2165" w:name="Tc_69paVChwWkC0tKS2P-tFOA_5_5"/>
      <w:bookmarkStart w:id="2166" w:name="Tc_sP5Q_UcYP02TBWZOj-h7ng_5_2"/>
      <w:bookmarkStart w:id="2167" w:name="Tc_B7b8SlWiu0OS1ufYJtNwCQ_5_0"/>
      <w:bookmarkStart w:id="2168" w:name="Tc_4gMsvqTp1UOuNguSZlbe5A_4_8"/>
      <w:bookmarkStart w:id="2169" w:name="Tc_BOueMqT8lkC7QK3vqWsjrg_4_2"/>
      <w:bookmarkStart w:id="2170" w:name="Tc_w-Wx7zHXQ06z3q_duiMTZw_3_8"/>
      <w:bookmarkStart w:id="2171" w:name="Tc_F2BsUec-HEq9uBT0Hpf_LA_3_2"/>
      <w:bookmarkStart w:id="2172" w:name="Tc_o3pKsMAji0eFdf7znafFPw_2_8"/>
      <w:bookmarkStart w:id="2173" w:name="Tc_InJnIO5JpkKMs-VGgh14ZA_1_2"/>
      <w:bookmarkStart w:id="2174" w:name="_13d0f3aa_a088_459e_bed2_8570299d53e1"/>
      <w:bookmarkStart w:id="2175" w:name="Tc_GkyqbGcsDUWesCAuevmi9A_15_17"/>
      <w:bookmarkStart w:id="2176" w:name="Tc_PsR_-iLfdk-CEjxRt_nvEQ_15_14"/>
      <w:bookmarkStart w:id="2177" w:name="Tc_EuZMjwZjakm7BLI1RB19XQ_15_11"/>
      <w:bookmarkStart w:id="2178" w:name="Tc_U67jwZqGuEuhBloginTqjg_15_8"/>
      <w:bookmarkStart w:id="2179" w:name="Tc_aApKfeKu2k-B87ALl8m2Jw_15_5"/>
      <w:bookmarkStart w:id="2180" w:name="Tc_SlKvle6i3E6Yh7xeRN7SuA_15_2"/>
      <w:bookmarkStart w:id="2181" w:name="Tc_UMHdm_kVW0Kj_4MXmsHaxg_15_0"/>
      <w:bookmarkStart w:id="2182" w:name="Tc_FdOo-YY7hk6rckGyXyDHFQ_14_12"/>
      <w:bookmarkStart w:id="2183" w:name="Tc_MDKVTZNAE0-AqsbuJ4GvEg_14_0"/>
      <w:bookmarkStart w:id="2184" w:name="Tc_BnuVnAGo8U6uoyB6knSQLA_13_15"/>
      <w:bookmarkStart w:id="2185" w:name="Tc__wWBIMiIWkK8wnz_4UGYjw_13_12"/>
      <w:bookmarkStart w:id="2186" w:name="Tc_MWbq7NXNQ0-rorPQROsa6A_13_0"/>
      <w:bookmarkStart w:id="2187" w:name="Tc_bHwvT7_meUuIC9ghcs8pwA_12_12"/>
      <w:bookmarkStart w:id="2188" w:name="Tc_YZMBkFlFk0uot1fbgF52rA_12_9"/>
      <w:bookmarkStart w:id="2189" w:name="Tc_ISeLUP5yOEmvx2rQRj6mEA_12_0"/>
      <w:bookmarkStart w:id="2190" w:name="Tc_HikLyKVe2kW6W4ukUkkPwQ_11_12"/>
      <w:bookmarkStart w:id="2191" w:name="Tc_c4gLzbVO9U2nVSf41Mey3Q_11_0"/>
      <w:bookmarkStart w:id="2192" w:name="Tc_5pvsPrZvOUerVaUV1sNRBA_10_0"/>
      <w:bookmarkStart w:id="2193" w:name="Tc_vfn7rMO61ki6hPXq0zBJrA_9_9"/>
      <w:bookmarkStart w:id="2194" w:name="Tc_F4ssvXV-dUOCwsix2YVlSg_9_0"/>
      <w:bookmarkStart w:id="2195" w:name="Tc_8zOSOhX4FEuvmLawJVG9_g_8_12"/>
      <w:bookmarkStart w:id="2196" w:name="Tc_xqJi6ZNdX0aIV9k5BICZLQ_8_9"/>
      <w:bookmarkStart w:id="2197" w:name="Tc_kagHw0sixkGY_dSrjTbLPQ_8_0"/>
      <w:bookmarkStart w:id="2198" w:name="Tc_Xcs_7JjvdEmu9YMah8rnQg_7_15"/>
      <w:bookmarkStart w:id="2199" w:name="Tc_6wRVvNP8-UmWaI1VyJjT5g_7_12"/>
      <w:bookmarkStart w:id="2200" w:name="Tc_4XHbzsYbpU2ZyPEGJH40IQ_7_9"/>
      <w:bookmarkStart w:id="2201" w:name="Tc_F6HE-EupTkaJ6gg7WVixXQ_7_6"/>
      <w:bookmarkStart w:id="2202" w:name="Tc_LjbMWm73uE6b2X8ieHCpGw_7_0"/>
      <w:bookmarkStart w:id="2203" w:name="Tc_j17-TSmn4E-topPByKDYVQ_6_17"/>
      <w:bookmarkStart w:id="2204" w:name="Tc_uP31kT27R0GvJ1Fq6GQicw_6_14"/>
      <w:bookmarkStart w:id="2205" w:name="Tc_xV3ljLoN9k2aXtYrQVL48w_6_11"/>
      <w:bookmarkStart w:id="2206" w:name="Tc_4fmJprCN3k-h6sjcsBxdcA_6_9"/>
      <w:bookmarkStart w:id="2207" w:name="Tc_mKJObIfQFESj8-ZRVpsz8g_6_8"/>
      <w:bookmarkStart w:id="2208" w:name="Tc_rg77s5EyxUWmDnyUw3Kwrw_6_5"/>
      <w:bookmarkStart w:id="2209" w:name="Tc_ZmMGB7fdeEuI33mMMnLR3w_6_2"/>
      <w:bookmarkStart w:id="2210" w:name="Tc_TOKWqRS8_EqbVEIo-youIw_6_0"/>
      <w:bookmarkStart w:id="2211" w:name="Tc_WFdeROVbBk2tGHmXYnjBYA_5_0"/>
      <w:bookmarkStart w:id="2212" w:name="Tc_EssX0xTctEeJS_huAXjuKQ_4_17"/>
      <w:bookmarkStart w:id="2213" w:name="Tc_VDModsT0JU6m-GsjMqCJdA_4_14"/>
      <w:bookmarkStart w:id="2214" w:name="Tc_ThBFAF0AOEew5Fs2EYKFxA_4_11"/>
      <w:bookmarkStart w:id="2215" w:name="Tc_5c2G1HAHpUa9K0UJ2c5Oig_4_8"/>
      <w:bookmarkStart w:id="2216" w:name="Tc_0mQB8sL7wUqMicx_6FEpvg_4_5"/>
      <w:bookmarkStart w:id="2217" w:name="Tc_xBwy6hyxmkSULMs7GfUg6A_4_2"/>
      <w:bookmarkStart w:id="2218" w:name="Tc_ohaZIuld5EqFIBUEbDJ4rA_4_0"/>
      <w:bookmarkStart w:id="2219" w:name="Tc_SYMpeVGeR0m8DOk7x28KJA_3_17"/>
      <w:bookmarkStart w:id="2220" w:name="Tc_GSWrkp7KUES5xlximHwcEA_3_11"/>
      <w:bookmarkStart w:id="2221" w:name="Tc_yQrKLZdXmU6hbMz6XIWrkg_3_8"/>
      <w:bookmarkStart w:id="2222" w:name="Tc_ghQw4h0WKEKBL-bahlzFOg_3_5"/>
      <w:bookmarkStart w:id="2223" w:name="Tc_OrzTHONjCE6jJQkHEwsCTA_3_2"/>
      <w:bookmarkStart w:id="2224" w:name="Tc_rM9Rs1_eS0W6Frry2eG__g_2_11"/>
      <w:bookmarkStart w:id="2225" w:name="Tc_WUEBAvJAKkGsmY1KdWDGZA_1_2"/>
      <w:bookmarkStart w:id="2226" w:name="_a97bea21_35c7_487b_9ebe_dc512388bd20"/>
      <w:bookmarkStart w:id="2227" w:name="Tc_tHrlfcYBU0CcFT9TW8wPKA_15_17"/>
      <w:bookmarkStart w:id="2228" w:name="Tc_x9dZzJEP3EOf-5mBCz4Q5A_15_14"/>
      <w:bookmarkStart w:id="2229" w:name="Tc_ouaSkvKDPE2C9J7RvkK1gQ_15_12"/>
      <w:bookmarkStart w:id="2230" w:name="Tc_hg2H6srzh0SJJnXZJCNuww_15_11"/>
      <w:bookmarkStart w:id="2231" w:name="Tc_iauztp8lNEW8zyZU9-4FLg_15_8"/>
      <w:bookmarkStart w:id="2232" w:name="Tc_7iEKR8lIQEaeXSutwaXZig_15_5"/>
      <w:bookmarkStart w:id="2233" w:name="Tc_ZwYY8lm4TUWJJGXk_YrQnQ_15_2"/>
      <w:bookmarkStart w:id="2234" w:name="Tc_dRsW5ZIE-UOLcjm2kNpnfA_15_0"/>
      <w:bookmarkStart w:id="2235" w:name="Tc_ATSp82h2sEun91SR76Vjhg_14_12"/>
      <w:bookmarkStart w:id="2236" w:name="Tc_dvyaOXEdTUal0YQqkJlH3A_14_0"/>
      <w:bookmarkStart w:id="2237" w:name="Tc_ASDr5HQJDUiFCDCAPOT9Ug_13_12"/>
      <w:bookmarkStart w:id="2238" w:name="Tc_zn4apn6MhEaTfZA4dWeBlw_13_0"/>
      <w:bookmarkStart w:id="2239" w:name="Tc_brd624AvVkq5pl8b_Juq9Q_12_12"/>
      <w:bookmarkStart w:id="2240" w:name="Tc_UWe-9AxntEq89T5mVo-wYw_12_0"/>
      <w:bookmarkStart w:id="2241" w:name="Tc_OMTWtscd1k-5LMYwprWvKQ_11_12"/>
      <w:bookmarkStart w:id="2242" w:name="Tc_LtF78gcHREOTG3M6IaqJ9g_11_9"/>
      <w:bookmarkStart w:id="2243" w:name="Tc_vIp8qIwIHE-_uA6tvXTTRw_11_0"/>
      <w:bookmarkStart w:id="2244" w:name="Tc_pDkSF0Sv0UKIirQJrBT7eg_10_0"/>
      <w:bookmarkStart w:id="2245" w:name="Tc_gRoEfGgHx0iVM5PUE9njeg_9_12"/>
      <w:bookmarkStart w:id="2246" w:name="Tc_z9p6Qqp1TES9krds2ofnwA_9_0"/>
      <w:bookmarkStart w:id="2247" w:name="Tc_lCtK-Q6YoEOBupiPf67sZA_8_12"/>
      <w:bookmarkStart w:id="2248" w:name="Tc_zTyP-Ha8hkCTT0XQMsm9QA_8_9"/>
      <w:bookmarkStart w:id="2249" w:name="Tc_XmG8WtJ9OEm16Qg0iMGmQQ_8_0"/>
      <w:bookmarkStart w:id="2250" w:name="Tc_ymt9ZBPwgkueUj1IyInxNQ_7_15"/>
      <w:bookmarkStart w:id="2251" w:name="Tc_EagLfGVgsUqWA9QF7_QIXg_7_12"/>
      <w:bookmarkStart w:id="2252" w:name="Tc_1wKDw0uqnkuCpq7Mq6AKPQ_7_9"/>
      <w:bookmarkStart w:id="2253" w:name="Tc_riHnLeWiyU2Htm3lsmfxzw_7_6"/>
      <w:bookmarkStart w:id="2254" w:name="Tc_t9kpAjABAEaosA0wYnLeCA_7_0"/>
      <w:bookmarkStart w:id="2255" w:name="Tc_RVTs1iXDbkWsbfEIaOqSCg_6_17"/>
      <w:bookmarkStart w:id="2256" w:name="Tc_ZdPG8hWG1EmGd-TuQFnK-A_6_14"/>
      <w:bookmarkStart w:id="2257" w:name="Tc_06vgNc6VR02nV6Bz3rJujA_6_12"/>
      <w:bookmarkStart w:id="2258" w:name="Tc_lZ7Xc0mxQUGOwVzMfMmDFg_6_11"/>
      <w:bookmarkStart w:id="2259" w:name="Tc_YYjliq82y06SIbCNtFUvEA_6_8"/>
      <w:bookmarkStart w:id="2260" w:name="Tc_YzqQnepkAEeWqHU5vfooiw_6_5"/>
      <w:bookmarkStart w:id="2261" w:name="Tc_bl4hz2oTe0mkKCzrM8HYCg_6_2"/>
      <w:bookmarkStart w:id="2262" w:name="Tc_Whe7D5PN7EKDM12W0lm6Ng_6_0"/>
      <w:bookmarkStart w:id="2263" w:name="Tc_PvYnM-M5hkejIMOeSA0MEQ_5_0"/>
      <w:bookmarkStart w:id="2264" w:name="Tc_jXWjmfi2DEaCJyfS55C5QQ_4_17"/>
      <w:bookmarkStart w:id="2265" w:name="Tc_hOKm98uUUEyWo65yX0qn2g_4_14"/>
      <w:bookmarkStart w:id="2266" w:name="Tc_Gr5aPHQlY0udHPdiV-y2Lw_4_11"/>
      <w:bookmarkStart w:id="2267" w:name="Tc_3Py7MIxpHUiPfu3lwkRmzQ_4_8"/>
      <w:bookmarkStart w:id="2268" w:name="Tc_tLKTkZdod0Gm0i08WusJyQ_4_5"/>
      <w:bookmarkStart w:id="2269" w:name="Tc_DAhs8IRtPUy27kvKq0qslw_4_2"/>
      <w:bookmarkStart w:id="2270" w:name="Tc_4BU2Wd-ei0W-5oHcspgQQg_4_0"/>
      <w:bookmarkStart w:id="2271" w:name="Tc_awmDvUwSok-Qs2DOhAEgrA_3_17"/>
      <w:bookmarkStart w:id="2272" w:name="Tc_kVmDnWYHOkaodpoW_q2T0w_3_11"/>
      <w:bookmarkStart w:id="2273" w:name="Tc_17rvq-3MYE638hYU2d5kAQ_3_8"/>
      <w:bookmarkStart w:id="2274" w:name="Tc_cGmF8o_7JE2m4gRDI3KfNQ_3_5"/>
      <w:bookmarkStart w:id="2275" w:name="Tc_hrvDZrmsFk-dvipDAqhQHw_3_2"/>
      <w:bookmarkStart w:id="2276" w:name="Tc_r_o5SchtMkqTkbG3jWzUwQ_2_11"/>
      <w:bookmarkStart w:id="2277" w:name="Tc_0tZces0rfUmmCVQ5pEJu6Q_1_2"/>
      <w:bookmarkStart w:id="2278" w:name="_6196796a_8bbb_45a6_9957_740582d36ea3"/>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r>
        <w:rPr>
          <w:rFonts w:ascii="Times New Roman;Times;serif" w:hAnsi="Times New Roman;Times;serif"/>
          <w:sz w:val="20"/>
        </w:rPr>
        <w:t>The following tables present a past due aging analysis of total loans outstanding, by portfolio segment, as of March 31, 2024 and December 31,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61"/>
        <w:gridCol w:w="326"/>
        <w:gridCol w:w="196"/>
        <w:gridCol w:w="826"/>
        <w:gridCol w:w="326"/>
        <w:gridCol w:w="283"/>
        <w:gridCol w:w="738"/>
        <w:gridCol w:w="326"/>
        <w:gridCol w:w="349"/>
        <w:gridCol w:w="672"/>
        <w:gridCol w:w="326"/>
        <w:gridCol w:w="270"/>
        <w:gridCol w:w="481"/>
        <w:gridCol w:w="326"/>
        <w:gridCol w:w="262"/>
        <w:gridCol w:w="684"/>
        <w:gridCol w:w="326"/>
        <w:gridCol w:w="196"/>
        <w:gridCol w:w="931"/>
      </w:tblGrid>
      <w:tr>
        <w:trPr/>
        <w:tc>
          <w:tcPr>
            <w:tcW w:w="2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24460" cy="175260"/>
                      <wp:effectExtent l="0" t="0" r="0" b="0"/>
                      <wp:wrapNone/>
                      <wp:docPr id="224" name="Frame2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24510" cy="175260"/>
                      <wp:effectExtent l="0" t="0" r="0" b="0"/>
                      <wp:wrapNone/>
                      <wp:docPr id="225" name="Frame22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79705" cy="175260"/>
                      <wp:effectExtent l="0" t="0" r="0" b="0"/>
                      <wp:wrapNone/>
                      <wp:docPr id="227" name="Frame227"/>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68630" cy="175260"/>
                      <wp:effectExtent l="0" t="0" r="0" b="0"/>
                      <wp:wrapNone/>
                      <wp:docPr id="228" name="Frame228"/>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21615" cy="175260"/>
                      <wp:effectExtent l="0" t="0" r="0" b="0"/>
                      <wp:wrapNone/>
                      <wp:docPr id="230" name="Frame230"/>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26720" cy="175260"/>
                      <wp:effectExtent l="0" t="0" r="0" b="0"/>
                      <wp:wrapNone/>
                      <wp:docPr id="231" name="Frame231"/>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71450" cy="175260"/>
                      <wp:effectExtent l="0" t="0" r="0" b="0"/>
                      <wp:wrapNone/>
                      <wp:docPr id="233" name="Frame23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05435" cy="175260"/>
                      <wp:effectExtent l="0" t="0" r="0" b="0"/>
                      <wp:wrapNone/>
                      <wp:docPr id="234" name="Frame23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66370" cy="175260"/>
                      <wp:effectExtent l="0" t="0" r="0" b="0"/>
                      <wp:wrapNone/>
                      <wp:docPr id="236" name="Frame236"/>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34340" cy="175260"/>
                      <wp:effectExtent l="0" t="0" r="0" b="0"/>
                      <wp:wrapNone/>
                      <wp:docPr id="237" name="Frame237"/>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24460" cy="175260"/>
                      <wp:effectExtent l="0" t="0" r="0" b="0"/>
                      <wp:wrapNone/>
                      <wp:docPr id="239" name="Frame2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91185" cy="175260"/>
                      <wp:effectExtent l="0" t="0" r="0" b="0"/>
                      <wp:wrapNone/>
                      <wp:docPr id="240" name="Frame2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18"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2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90 Days</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2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Accruing</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30 - 59 Days</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60 - 89 Days</w:t>
            </w:r>
          </w:p>
        </w:tc>
        <w:tc>
          <w:tcPr>
            <w:tcW w:w="32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More</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6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26" w:type="dxa"/>
            <w:tcBorders/>
            <w:vAlign w:val="center"/>
          </w:tcPr>
          <w:p>
            <w:pPr>
              <w:pStyle w:val="TableContents"/>
              <w:bidi w:val="0"/>
              <w:spacing w:before="0" w:after="0"/>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r>
      <w:tr>
        <w:trPr/>
        <w:tc>
          <w:tcPr>
            <w:tcW w:w="2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49"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70"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62"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2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605,573</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611,695</w:t>
            </w:r>
          </w:p>
        </w:tc>
      </w:tr>
      <w:tr>
        <w:trPr/>
        <w:tc>
          <w:tcPr>
            <w:tcW w:w="2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125,966</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125,966</w:t>
            </w:r>
          </w:p>
        </w:tc>
      </w:tr>
      <w:tr>
        <w:trPr/>
        <w:tc>
          <w:tcPr>
            <w:tcW w:w="2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1,151,672</w:t>
            </w:r>
          </w:p>
        </w:tc>
        <w:tc>
          <w:tcPr>
            <w:tcW w:w="32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474</w:t>
            </w:r>
          </w:p>
        </w:tc>
        <w:tc>
          <w:tcPr>
            <w:tcW w:w="32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1,152,948</w:t>
            </w:r>
          </w:p>
        </w:tc>
      </w:tr>
      <w:tr>
        <w:trPr/>
        <w:tc>
          <w:tcPr>
            <w:tcW w:w="2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1,883,211</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1,067</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1,890,609</w:t>
            </w:r>
          </w:p>
        </w:tc>
      </w:tr>
      <w:tr>
        <w:trPr/>
        <w:tc>
          <w:tcPr>
            <w:tcW w:w="2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2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717,046</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4,478</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722,151</w:t>
            </w:r>
          </w:p>
        </w:tc>
      </w:tr>
      <w:tr>
        <w:trPr/>
        <w:tc>
          <w:tcPr>
            <w:tcW w:w="2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155,919</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509</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156,882</w:t>
            </w:r>
          </w:p>
        </w:tc>
      </w:tr>
      <w:tr>
        <w:trPr/>
        <w:tc>
          <w:tcPr>
            <w:tcW w:w="2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29,735</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29,833</w:t>
            </w:r>
          </w:p>
        </w:tc>
      </w:tr>
      <w:tr>
        <w:trPr/>
        <w:tc>
          <w:tcPr>
            <w:tcW w:w="2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consumer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902,700</w:t>
            </w:r>
          </w:p>
        </w:tc>
        <w:tc>
          <w:tcPr>
            <w:tcW w:w="32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5,051</w:t>
            </w:r>
          </w:p>
        </w:tc>
        <w:tc>
          <w:tcPr>
            <w:tcW w:w="32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908,866</w:t>
            </w:r>
          </w:p>
        </w:tc>
      </w:tr>
      <w:tr>
        <w:trPr/>
        <w:tc>
          <w:tcPr>
            <w:tcW w:w="2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2,785,911</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6,118</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2,799,475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61"/>
        <w:gridCol w:w="326"/>
        <w:gridCol w:w="196"/>
        <w:gridCol w:w="826"/>
        <w:gridCol w:w="326"/>
        <w:gridCol w:w="283"/>
        <w:gridCol w:w="738"/>
        <w:gridCol w:w="326"/>
        <w:gridCol w:w="349"/>
        <w:gridCol w:w="672"/>
        <w:gridCol w:w="326"/>
        <w:gridCol w:w="256"/>
        <w:gridCol w:w="495"/>
        <w:gridCol w:w="326"/>
        <w:gridCol w:w="262"/>
        <w:gridCol w:w="684"/>
        <w:gridCol w:w="326"/>
        <w:gridCol w:w="196"/>
        <w:gridCol w:w="931"/>
      </w:tblGrid>
      <w:tr>
        <w:trPr/>
        <w:tc>
          <w:tcPr>
            <w:tcW w:w="2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24460" cy="175260"/>
                      <wp:effectExtent l="0" t="0" r="0" b="0"/>
                      <wp:wrapNone/>
                      <wp:docPr id="242" name="Frame2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24510" cy="175260"/>
                      <wp:effectExtent l="0" t="0" r="0" b="0"/>
                      <wp:wrapNone/>
                      <wp:docPr id="243" name="Frame24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79705" cy="175260"/>
                      <wp:effectExtent l="0" t="0" r="0" b="0"/>
                      <wp:wrapNone/>
                      <wp:docPr id="245" name="Frame24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68630" cy="175260"/>
                      <wp:effectExtent l="0" t="0" r="0" b="0"/>
                      <wp:wrapNone/>
                      <wp:docPr id="246" name="Frame246"/>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21615" cy="175260"/>
                      <wp:effectExtent l="0" t="0" r="0" b="0"/>
                      <wp:wrapNone/>
                      <wp:docPr id="248" name="Frame248"/>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26720" cy="175260"/>
                      <wp:effectExtent l="0" t="0" r="0" b="0"/>
                      <wp:wrapNone/>
                      <wp:docPr id="249" name="Frame249"/>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2560" cy="175260"/>
                      <wp:effectExtent l="0" t="0" r="0" b="0"/>
                      <wp:wrapNone/>
                      <wp:docPr id="251" name="Frame25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14325" cy="175260"/>
                      <wp:effectExtent l="0" t="0" r="0" b="0"/>
                      <wp:wrapNone/>
                      <wp:docPr id="252" name="Frame252"/>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66370" cy="175260"/>
                      <wp:effectExtent l="0" t="0" r="0" b="0"/>
                      <wp:wrapNone/>
                      <wp:docPr id="254" name="Frame254"/>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34340" cy="175260"/>
                      <wp:effectExtent l="0" t="0" r="0" b="0"/>
                      <wp:wrapNone/>
                      <wp:docPr id="255" name="Frame255"/>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24460" cy="175260"/>
                      <wp:effectExtent l="0" t="0" r="0" b="0"/>
                      <wp:wrapNone/>
                      <wp:docPr id="257" name="Frame2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91185" cy="175260"/>
                      <wp:effectExtent l="0" t="0" r="0" b="0"/>
                      <wp:wrapNone/>
                      <wp:docPr id="258" name="Frame25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18"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90 Days</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2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Accruing</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30 - 59 Days</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60 - 89 Days</w:t>
            </w:r>
          </w:p>
        </w:tc>
        <w:tc>
          <w:tcPr>
            <w:tcW w:w="32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More</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6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26" w:type="dxa"/>
            <w:tcBorders/>
            <w:vAlign w:val="center"/>
          </w:tcPr>
          <w:p>
            <w:pPr>
              <w:pStyle w:val="TableContents"/>
              <w:bidi w:val="0"/>
              <w:spacing w:before="0" w:after="0"/>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r>
      <w:tr>
        <w:trPr/>
        <w:tc>
          <w:tcPr>
            <w:tcW w:w="2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2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590,663</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924</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6,595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598,321</w:t>
            </w:r>
          </w:p>
        </w:tc>
      </w:tr>
      <w:tr>
        <w:trPr/>
        <w:tc>
          <w:tcPr>
            <w:tcW w:w="2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124,034</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124,034</w:t>
            </w:r>
          </w:p>
        </w:tc>
      </w:tr>
      <w:tr>
        <w:trPr/>
        <w:tc>
          <w:tcPr>
            <w:tcW w:w="2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1,125,669</w:t>
            </w:r>
          </w:p>
        </w:tc>
        <w:tc>
          <w:tcPr>
            <w:tcW w:w="32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c>
          <w:tcPr>
            <w:tcW w:w="32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1,126,912</w:t>
            </w:r>
          </w:p>
        </w:tc>
      </w:tr>
      <w:tr>
        <w:trPr/>
        <w:tc>
          <w:tcPr>
            <w:tcW w:w="2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1,840,366</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1,052</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1,849,267</w:t>
            </w:r>
          </w:p>
        </w:tc>
      </w:tr>
      <w:tr>
        <w:trPr/>
        <w:tc>
          <w:tcPr>
            <w:tcW w:w="2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2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724,786</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901</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726,879</w:t>
            </w:r>
          </w:p>
        </w:tc>
      </w:tr>
      <w:tr>
        <w:trPr/>
        <w:tc>
          <w:tcPr>
            <w:tcW w:w="2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153,220</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666</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154,134</w:t>
            </w:r>
          </w:p>
        </w:tc>
      </w:tr>
      <w:tr>
        <w:trPr/>
        <w:tc>
          <w:tcPr>
            <w:tcW w:w="2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29,086</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29,303</w:t>
            </w:r>
          </w:p>
        </w:tc>
      </w:tr>
      <w:tr>
        <w:trPr/>
        <w:tc>
          <w:tcPr>
            <w:tcW w:w="2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consumer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907,092</w:t>
            </w:r>
          </w:p>
        </w:tc>
        <w:tc>
          <w:tcPr>
            <w:tcW w:w="32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1,737</w:t>
            </w:r>
          </w:p>
        </w:tc>
        <w:tc>
          <w:tcPr>
            <w:tcW w:w="32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601</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910,316</w:t>
            </w:r>
          </w:p>
        </w:tc>
      </w:tr>
      <w:tr>
        <w:trPr/>
        <w:tc>
          <w:tcPr>
            <w:tcW w:w="2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2,747,458</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2,789</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601</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2,759,583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calculating expected credit losses, the Company includes loans on nonaccrual status and loans 90 days or more past due and still accruing. The following table presents the amortized cost basis on nonaccrual status loans and loans 90 days or more past due and still accruing as of March 31, 2024 and December 31, 2023:</w:t>
      </w:r>
    </w:p>
    <w:p>
      <w:pPr>
        <w:pStyle w:val="TextBody"/>
        <w:bidi w:val="0"/>
        <w:spacing w:before="0" w:after="0"/>
        <w:ind w:left="0" w:right="0" w:hanging="0"/>
        <w:jc w:val="left"/>
        <w:rPr/>
      </w:pPr>
      <w:r>
        <w:rPr/>
        <w:t>​</w:t>
      </w:r>
    </w:p>
    <w:tbl>
      <w:tblPr>
        <w:tblW w:w="6509" w:type="dxa"/>
        <w:jc w:val="left"/>
        <w:tblInd w:w="0" w:type="dxa"/>
        <w:tblLayout w:type="fixed"/>
        <w:tblCellMar>
          <w:top w:w="0" w:type="dxa"/>
          <w:left w:w="0" w:type="dxa"/>
          <w:bottom w:w="0" w:type="dxa"/>
          <w:right w:w="0" w:type="dxa"/>
        </w:tblCellMar>
      </w:tblPr>
      <w:tblGrid>
        <w:gridCol w:w="2671"/>
        <w:gridCol w:w="109"/>
        <w:gridCol w:w="399"/>
        <w:gridCol w:w="1041"/>
        <w:gridCol w:w="109"/>
        <w:gridCol w:w="262"/>
        <w:gridCol w:w="684"/>
        <w:gridCol w:w="109"/>
        <w:gridCol w:w="340"/>
        <w:gridCol w:w="785"/>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696085" cy="175260"/>
                      <wp:effectExtent l="0" t="0" r="0" b="0"/>
                      <wp:wrapNone/>
                      <wp:docPr id="259" name="Frame259"/>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53365" cy="175260"/>
                      <wp:effectExtent l="0" t="0" r="0" b="0"/>
                      <wp:wrapNone/>
                      <wp:docPr id="261" name="Frame261"/>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61035" cy="175260"/>
                      <wp:effectExtent l="0" t="0" r="0" b="0"/>
                      <wp:wrapNone/>
                      <wp:docPr id="262" name="Frame262"/>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66370" cy="175260"/>
                      <wp:effectExtent l="0" t="0" r="0" b="0"/>
                      <wp:wrapNone/>
                      <wp:docPr id="264" name="Frame264"/>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34340" cy="175260"/>
                      <wp:effectExtent l="0" t="0" r="0" b="0"/>
                      <wp:wrapNone/>
                      <wp:docPr id="265" name="Frame265"/>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5900" cy="175260"/>
                      <wp:effectExtent l="0" t="0" r="0" b="0"/>
                      <wp:wrapNone/>
                      <wp:docPr id="267" name="Frame267"/>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98475" cy="175260"/>
                      <wp:effectExtent l="0" t="0" r="0" b="0"/>
                      <wp:wrapNone/>
                      <wp:docPr id="268" name="Frame268"/>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72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of March 31, 2024</w:t>
            </w:r>
          </w:p>
        </w:tc>
      </w:tr>
      <w:tr>
        <w:trPr/>
        <w:tc>
          <w:tcPr>
            <w:tcW w:w="26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40"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90 Days</w:t>
            </w:r>
          </w:p>
        </w:tc>
      </w:tr>
      <w:tr>
        <w:trPr/>
        <w:tc>
          <w:tcPr>
            <w:tcW w:w="26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More</w:t>
            </w:r>
          </w:p>
        </w:tc>
      </w:tr>
      <w:tr>
        <w:trPr/>
        <w:tc>
          <w:tcPr>
            <w:tcW w:w="26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no Allowance</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Past Due</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109" w:type="dxa"/>
            <w:tcBorders/>
            <w:vAlign w:val="center"/>
          </w:tcPr>
          <w:p>
            <w:pPr>
              <w:pStyle w:val="TableContents"/>
              <w:bidi w:val="0"/>
              <w:spacing w:before="0" w:after="1"/>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Credit Losses</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109" w:type="dxa"/>
            <w:tcBorders/>
            <w:vAlign w:val="center"/>
          </w:tcPr>
          <w:p>
            <w:pPr>
              <w:pStyle w:val="TableContents"/>
              <w:bidi w:val="0"/>
              <w:spacing w:before="0" w:after="1"/>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Accruing</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109"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lef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109" w:type="dxa"/>
            <w:tcBorders/>
            <w:vAlign w:val="center"/>
          </w:tcPr>
          <w:p>
            <w:pPr>
              <w:pStyle w:val="TableContents"/>
              <w:bidi w:val="0"/>
              <w:spacing w:before="0" w:after="1"/>
              <w:ind w:left="0" w:right="0" w:hanging="0"/>
              <w:jc w:val="left"/>
              <w:rPr/>
            </w:pPr>
            <w:r>
              <w:rPr/>
              <w:t>​</w:t>
            </w:r>
          </w:p>
        </w:tc>
        <w:tc>
          <w:tcPr>
            <w:tcW w:w="39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5,486</w:t>
            </w:r>
          </w:p>
        </w:tc>
        <w:tc>
          <w:tcPr>
            <w:tcW w:w="109"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85" w:type="dxa"/>
            <w:tcBorders/>
            <w:vAlign w:val="center"/>
          </w:tcPr>
          <w:p>
            <w:pPr>
              <w:pStyle w:val="TableContents"/>
              <w:bidi w:val="0"/>
              <w:spacing w:before="0" w:after="1"/>
              <w:ind w:left="0" w:right="0" w:hanging="0"/>
              <w:jc w:val="righ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109"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righ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109" w:type="dxa"/>
            <w:tcBorders/>
            <w:vAlign w:val="center"/>
          </w:tcPr>
          <w:p>
            <w:pPr>
              <w:pStyle w:val="TableContents"/>
              <w:bidi w:val="0"/>
              <w:spacing w:before="0" w:after="1"/>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w:t>
            </w:r>
          </w:p>
        </w:tc>
        <w:tc>
          <w:tcPr>
            <w:tcW w:w="109"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802</w:t>
            </w:r>
          </w:p>
        </w:tc>
        <w:tc>
          <w:tcPr>
            <w:tcW w:w="109"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commercial</w:t>
            </w:r>
          </w:p>
        </w:tc>
        <w:tc>
          <w:tcPr>
            <w:tcW w:w="109"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6,288</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righ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w:t>
            </w:r>
          </w:p>
        </w:tc>
        <w:tc>
          <w:tcPr>
            <w:tcW w:w="109" w:type="dxa"/>
            <w:tcBorders/>
            <w:vAlign w:val="center"/>
          </w:tcPr>
          <w:p>
            <w:pPr>
              <w:pStyle w:val="TableContents"/>
              <w:bidi w:val="0"/>
              <w:spacing w:before="0" w:after="1"/>
              <w:ind w:left="0" w:right="0" w:hanging="0"/>
              <w:jc w:val="left"/>
              <w:rPr/>
            </w:pPr>
            <w:r>
              <w:rPr/>
              <w:t>​</w:t>
            </w:r>
          </w:p>
        </w:tc>
        <w:tc>
          <w:tcPr>
            <w:tcW w:w="399"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lef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109"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621</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627</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righ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109" w:type="dxa"/>
            <w:tcBorders/>
            <w:vAlign w:val="center"/>
          </w:tcPr>
          <w:p>
            <w:pPr>
              <w:pStyle w:val="TableContents"/>
              <w:bidi w:val="0"/>
              <w:spacing w:before="0" w:after="1"/>
              <w:ind w:left="0" w:right="0" w:hanging="0"/>
              <w:jc w:val="left"/>
              <w:rPr/>
            </w:pPr>
            <w:r>
              <w:rPr/>
              <w:t>​</w:t>
            </w:r>
          </w:p>
        </w:tc>
        <w:tc>
          <w:tcPr>
            <w:tcW w:w="399"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w:t>
            </w:r>
          </w:p>
        </w:tc>
        <w:tc>
          <w:tcPr>
            <w:tcW w:w="109"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109" w:type="dxa"/>
            <w:tcBorders/>
            <w:shd w:fill="CCEEFF" w:val="clear"/>
            <w:vAlign w:val="center"/>
          </w:tcPr>
          <w:p>
            <w:pPr>
              <w:pStyle w:val="TableContents"/>
              <w:bidi w:val="0"/>
              <w:spacing w:before="0" w:after="1"/>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consumer</w:t>
            </w:r>
          </w:p>
        </w:tc>
        <w:tc>
          <w:tcPr>
            <w:tcW w:w="109" w:type="dxa"/>
            <w:tcBorders/>
            <w:vAlign w:val="center"/>
          </w:tcPr>
          <w:p>
            <w:pPr>
              <w:pStyle w:val="TableContents"/>
              <w:bidi w:val="0"/>
              <w:spacing w:before="0" w:after="1"/>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1,050</w:t>
            </w:r>
          </w:p>
        </w:tc>
        <w:tc>
          <w:tcPr>
            <w:tcW w:w="109"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1,057</w:t>
            </w:r>
          </w:p>
        </w:tc>
        <w:tc>
          <w:tcPr>
            <w:tcW w:w="109"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loans</w:t>
            </w:r>
          </w:p>
        </w:tc>
        <w:tc>
          <w:tcPr>
            <w:tcW w:w="109" w:type="dxa"/>
            <w:tcBorders/>
            <w:shd w:fill="CCEEFF" w:val="clear"/>
            <w:vAlign w:val="center"/>
          </w:tcPr>
          <w:p>
            <w:pPr>
              <w:pStyle w:val="TableContents"/>
              <w:bidi w:val="0"/>
              <w:spacing w:before="0" w:after="1"/>
              <w:ind w:left="0" w:right="0" w:hanging="0"/>
              <w:jc w:val="left"/>
              <w:rPr/>
            </w:pPr>
            <w:r>
              <w:rPr/>
              <w:t>​</w:t>
            </w:r>
          </w:p>
        </w:tc>
        <w:tc>
          <w:tcPr>
            <w:tcW w:w="3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1,214</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7,345</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8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279" w:name="Tc_BHht0jv-50uQHp3m5k9ALA_13_14"/>
      <w:bookmarkStart w:id="2280" w:name="Tc_hAg1Kn_Oy0eKYsbTkFkHvw_13_11"/>
      <w:bookmarkStart w:id="2281" w:name="Tc_qKK0iOwHRUGoi3i9YeshTQ_13_8"/>
      <w:bookmarkStart w:id="2282" w:name="Tc_myGY9xYrZUa5D4Fx3KsE8g_13_6"/>
      <w:bookmarkStart w:id="2283" w:name="Tc_L_xfgSYPT0amDshDdTDRWQ_13_5"/>
      <w:bookmarkStart w:id="2284" w:name="Tc_3fX-yeHXGEewYKJQBwg9rw_13_2"/>
      <w:bookmarkStart w:id="2285" w:name="Tc_chtI0dR9SUuxIwZoij9kiw_13_0"/>
      <w:bookmarkStart w:id="2286" w:name="Tc_o6qRcQwBqkCFfeIN65dFjw_12_6"/>
      <w:bookmarkStart w:id="2287" w:name="Tc_pertLFptkkmKoH5_pgueMQ_12_0"/>
      <w:bookmarkStart w:id="2288" w:name="Tc_yurB_B31m0K-34QuY4393w_11_15"/>
      <w:bookmarkStart w:id="2289" w:name="Tc_XG8xCD9XY0eF1cNTcuapUA_11_6"/>
      <w:bookmarkStart w:id="2290" w:name="Tc_7FWEIDedikmM36qarR4DnQ_11_0"/>
      <w:bookmarkStart w:id="2291" w:name="Tc_YJfL-P_6dEOXUJ1ycLeVJQ_10_9"/>
      <w:bookmarkStart w:id="2292" w:name="Tc_PYHGD9_z80S7fm7WFBmHHw_10_6"/>
      <w:bookmarkStart w:id="2293" w:name="Tc_8cafsNXtzkS1ymK6XYHprQ_10_0"/>
      <w:bookmarkStart w:id="2294" w:name="Tc_4_-kycaeI0uu7YNx4fNt_Q_9_0"/>
      <w:bookmarkStart w:id="2295" w:name="Tc_B8VShWUZ7kye-0NRB22G_w_8_6"/>
      <w:bookmarkStart w:id="2296" w:name="Tc_i0wTdbiW0EG3COOWFgsApg_8_0"/>
      <w:bookmarkStart w:id="2297" w:name="Tc_yOHQZMvHkECBG1V01S47kg_7_6"/>
      <w:bookmarkStart w:id="2298" w:name="Tc_4gsEJfU5gEWXAstMgDL3vg_7_0"/>
      <w:bookmarkStart w:id="2299" w:name="Tc_x5fExCcbAE2falskAbGEVA_6_14"/>
      <w:bookmarkStart w:id="2300" w:name="Tc_hOR5c9lH10uaD0T_QqrxGg_6_11"/>
      <w:bookmarkStart w:id="2301" w:name="Tc_HVThStFYo0Cb8iZrAm1org_6_9"/>
      <w:bookmarkStart w:id="2302" w:name="Tc_ZSIeoyEePkCiyZ78honIBw_6_8"/>
      <w:bookmarkStart w:id="2303" w:name="Tc_o2CdGkkdSkyb3GtK75ceOA_6_6"/>
      <w:bookmarkStart w:id="2304" w:name="Tc_3FaxDmFv4UuH01lCPcTbjw_6_5"/>
      <w:bookmarkStart w:id="2305" w:name="Tc_o4nJavv4AUOlnZ9JVuIXAg_6_2"/>
      <w:bookmarkStart w:id="2306" w:name="Tc_mY_nH9km1U60MSFa0-blmw_6_0"/>
      <w:bookmarkStart w:id="2307" w:name="Tc_5dQ1hxjz7UyERihr6BpgNA_5_0"/>
      <w:bookmarkStart w:id="2308" w:name="Tc_jkQ-RwB2IUKrLEdUuy6y8g_4_14"/>
      <w:bookmarkStart w:id="2309" w:name="Tc_ujRhhO3q9U-SqKYu1Y8uiw_4_11"/>
      <w:bookmarkStart w:id="2310" w:name="Tc_zaEbhqrT9kKSQkq4t0UC-g_4_8"/>
      <w:bookmarkStart w:id="2311" w:name="Tc_MNyFCcsvmE2v4UEEhmReQA_4_5"/>
      <w:bookmarkStart w:id="2312" w:name="Tc_OPvfdTkyUUqtxet1sLlJWQ_4_2"/>
      <w:bookmarkStart w:id="2313" w:name="Tc_DWNOtEJTHkak9jyrxqKbiA_4_0"/>
      <w:bookmarkStart w:id="2314" w:name="Tc_DXLzdHGNo06skiU1Jw5hbw_3_14"/>
      <w:bookmarkStart w:id="2315" w:name="Tc_uSiLAsr2LUONs5og5QNdoQ_2_2"/>
      <w:bookmarkStart w:id="2316" w:name="Tc_MkKrNbA8jU6n4dr3GADgCA_1_2"/>
      <w:bookmarkStart w:id="2317" w:name="Tc_zef2m20H_k6L_ycoByVkSg_16_8"/>
      <w:bookmarkStart w:id="2318" w:name="Tc_OTIt0n35KEGq8PGH4kOL_A_16_5"/>
      <w:bookmarkStart w:id="2319" w:name="Tc_IN-x5rUeA0iZrwAeqTdO8A_16_2"/>
      <w:bookmarkStart w:id="2320" w:name="Tc_EH-jl_33lUqsjxWhP32fKg_16_0"/>
      <w:bookmarkStart w:id="2321" w:name="Tc_iJe_dXCnoEW7AljJecnKbQ_15_9"/>
      <w:bookmarkStart w:id="2322" w:name="Tc_im3hinXyw0KuBEwQ6ro2vg_15_0"/>
      <w:bookmarkStart w:id="2323" w:name="Tc_lDNbPxPRMUmzSFR-wc2A-g_14_9"/>
      <w:bookmarkStart w:id="2324" w:name="Tc_k3jK3jr2tEejcKKWBIMi9A_14_6"/>
      <w:bookmarkStart w:id="2325" w:name="Tc_cIP_Vs5dDEWQW0ylVfNkdQ_14_3"/>
      <w:bookmarkStart w:id="2326" w:name="Tc_0Et_4hPbsECN-yH0Ujp0RA_14_0"/>
      <w:bookmarkStart w:id="2327" w:name="Tc_VnviM_vc9UW-Vl0XDi-gZw_13_9"/>
      <w:bookmarkStart w:id="2328" w:name="Tc_ZX-C_HFGNkeNmShZ08i5pw_13_0"/>
      <w:bookmarkStart w:id="2329" w:name="Tc_fSHQSFtvoEWYPx2f092Lzg_12_9"/>
      <w:bookmarkStart w:id="2330" w:name="Tc_5loZqwe1nkOcnZeCgKOQaw_12_0"/>
      <w:bookmarkStart w:id="2331" w:name="Tc_2j_QFFEXH0qRwyYJhaBgyA_11_0"/>
      <w:bookmarkStart w:id="2332" w:name="Tc_ahjeoRGugEawtxnbrnWztg_10_0"/>
      <w:bookmarkStart w:id="2333" w:name="Tc_FFXDfaw3aU-kbKHlQjMJ9Q_9_9"/>
      <w:bookmarkStart w:id="2334" w:name="Tc_-_uS7LTuZUOgK_F19jqJXg_9_0"/>
      <w:bookmarkStart w:id="2335" w:name="Tc_OClmE6E5yEmSxH6xzAITSA_8_9"/>
      <w:bookmarkStart w:id="2336" w:name="Tc_XfTJ8YAptUSL4LNunA4Elw_8_6"/>
      <w:bookmarkStart w:id="2337" w:name="Tc_Q3IzvsMxb0WsW_NcuGb8ow_8_3"/>
      <w:bookmarkStart w:id="2338" w:name="Tc_nHAZmgWdBkKUCXqNj62bPw_8_0"/>
      <w:bookmarkStart w:id="2339" w:name="Tc_9DMXCGy1JkKMmkMWBmC-Cg_7_8"/>
      <w:bookmarkStart w:id="2340" w:name="Tc__BMyFD1PjUaajmAnUKfQ6g_7_5"/>
      <w:bookmarkStart w:id="2341" w:name="Tc_UiQhptQXkUWYI8OY3-CW2A_7_2"/>
      <w:bookmarkStart w:id="2342" w:name="Tc_BECq3NXTZEu0KyV9C93jOQ_7_0"/>
      <w:bookmarkStart w:id="2343" w:name="Tc_0ztN6Lj2lEq4jSLAQC_LEg_6_0"/>
      <w:bookmarkStart w:id="2344" w:name="Tc_58MyaqdWkUqyWHN1z6s0Mg_5_8"/>
      <w:bookmarkStart w:id="2345" w:name="Tc_XzkKM6zfHk-XljqFQqDrXA_5_5"/>
      <w:bookmarkStart w:id="2346" w:name="Tc_IENurNG15Uui73Hc6EPogQ_5_2"/>
      <w:bookmarkStart w:id="2347" w:name="Tc_lQZETW8wwkWuMysL6yhvRg_5_0"/>
      <w:bookmarkStart w:id="2348" w:name="Tc_OZHW-yQIVUW0jad9Mr5L-g_4_8"/>
      <w:bookmarkStart w:id="2349" w:name="Tc_lvwVtTJPD02QmGON8SNM5w_4_2"/>
      <w:bookmarkStart w:id="2350" w:name="Tc_ywDJwYVBOUm7PzNtGiRZaQ_3_8"/>
      <w:bookmarkStart w:id="2351" w:name="Tc_RfV7cHIWtkaE7NnY4ScsrQ_3_2"/>
      <w:bookmarkStart w:id="2352" w:name="Tc_Zszg7uZhM0eo_jhmBFAVaQ_2_8"/>
      <w:bookmarkStart w:id="2353" w:name="Tc_T4erQmgbK0m-6NAYG-Movw_1_2"/>
      <w:bookmarkStart w:id="2354" w:name="_f24350c0_bd4f_43ea_9ed1_4be6f6cf70d2"/>
      <w:bookmarkStart w:id="2355" w:name="Tc_BHht0jv-50uQHp3m5k9ALA_13_14"/>
      <w:bookmarkStart w:id="2356" w:name="Tc_hAg1Kn_Oy0eKYsbTkFkHvw_13_11"/>
      <w:bookmarkStart w:id="2357" w:name="Tc_qKK0iOwHRUGoi3i9YeshTQ_13_8"/>
      <w:bookmarkStart w:id="2358" w:name="Tc_myGY9xYrZUa5D4Fx3KsE8g_13_6"/>
      <w:bookmarkStart w:id="2359" w:name="Tc_L_xfgSYPT0amDshDdTDRWQ_13_5"/>
      <w:bookmarkStart w:id="2360" w:name="Tc_3fX-yeHXGEewYKJQBwg9rw_13_2"/>
      <w:bookmarkStart w:id="2361" w:name="Tc_chtI0dR9SUuxIwZoij9kiw_13_0"/>
      <w:bookmarkStart w:id="2362" w:name="Tc_o6qRcQwBqkCFfeIN65dFjw_12_6"/>
      <w:bookmarkStart w:id="2363" w:name="Tc_pertLFptkkmKoH5_pgueMQ_12_0"/>
      <w:bookmarkStart w:id="2364" w:name="Tc_yurB_B31m0K-34QuY4393w_11_15"/>
      <w:bookmarkStart w:id="2365" w:name="Tc_XG8xCD9XY0eF1cNTcuapUA_11_6"/>
      <w:bookmarkStart w:id="2366" w:name="Tc_7FWEIDedikmM36qarR4DnQ_11_0"/>
      <w:bookmarkStart w:id="2367" w:name="Tc_YJfL-P_6dEOXUJ1ycLeVJQ_10_9"/>
      <w:bookmarkStart w:id="2368" w:name="Tc_PYHGD9_z80S7fm7WFBmHHw_10_6"/>
      <w:bookmarkStart w:id="2369" w:name="Tc_8cafsNXtzkS1ymK6XYHprQ_10_0"/>
      <w:bookmarkStart w:id="2370" w:name="Tc_4_-kycaeI0uu7YNx4fNt_Q_9_0"/>
      <w:bookmarkStart w:id="2371" w:name="Tc_B8VShWUZ7kye-0NRB22G_w_8_6"/>
      <w:bookmarkStart w:id="2372" w:name="Tc_i0wTdbiW0EG3COOWFgsApg_8_0"/>
      <w:bookmarkStart w:id="2373" w:name="Tc_yOHQZMvHkECBG1V01S47kg_7_6"/>
      <w:bookmarkStart w:id="2374" w:name="Tc_4gsEJfU5gEWXAstMgDL3vg_7_0"/>
      <w:bookmarkStart w:id="2375" w:name="Tc_x5fExCcbAE2falskAbGEVA_6_14"/>
      <w:bookmarkStart w:id="2376" w:name="Tc_hOR5c9lH10uaD0T_QqrxGg_6_11"/>
      <w:bookmarkStart w:id="2377" w:name="Tc_HVThStFYo0Cb8iZrAm1org_6_9"/>
      <w:bookmarkStart w:id="2378" w:name="Tc_ZSIeoyEePkCiyZ78honIBw_6_8"/>
      <w:bookmarkStart w:id="2379" w:name="Tc_o2CdGkkdSkyb3GtK75ceOA_6_6"/>
      <w:bookmarkStart w:id="2380" w:name="Tc_3FaxDmFv4UuH01lCPcTbjw_6_5"/>
      <w:bookmarkStart w:id="2381" w:name="Tc_o4nJavv4AUOlnZ9JVuIXAg_6_2"/>
      <w:bookmarkStart w:id="2382" w:name="Tc_mY_nH9km1U60MSFa0-blmw_6_0"/>
      <w:bookmarkStart w:id="2383" w:name="Tc_5dQ1hxjz7UyERihr6BpgNA_5_0"/>
      <w:bookmarkStart w:id="2384" w:name="Tc_jkQ-RwB2IUKrLEdUuy6y8g_4_14"/>
      <w:bookmarkStart w:id="2385" w:name="Tc_ujRhhO3q9U-SqKYu1Y8uiw_4_11"/>
      <w:bookmarkStart w:id="2386" w:name="Tc_zaEbhqrT9kKSQkq4t0UC-g_4_8"/>
      <w:bookmarkStart w:id="2387" w:name="Tc_MNyFCcsvmE2v4UEEhmReQA_4_5"/>
      <w:bookmarkStart w:id="2388" w:name="Tc_OPvfdTkyUUqtxet1sLlJWQ_4_2"/>
      <w:bookmarkStart w:id="2389" w:name="Tc_DWNOtEJTHkak9jyrxqKbiA_4_0"/>
      <w:bookmarkStart w:id="2390" w:name="Tc_DXLzdHGNo06skiU1Jw5hbw_3_14"/>
      <w:bookmarkStart w:id="2391" w:name="Tc_uSiLAsr2LUONs5og5QNdoQ_2_2"/>
      <w:bookmarkStart w:id="2392" w:name="Tc_MkKrNbA8jU6n4dr3GADgCA_1_2"/>
      <w:bookmarkStart w:id="2393" w:name="Tc_zef2m20H_k6L_ycoByVkSg_16_8"/>
      <w:bookmarkStart w:id="2394" w:name="Tc_OTIt0n35KEGq8PGH4kOL_A_16_5"/>
      <w:bookmarkStart w:id="2395" w:name="Tc_IN-x5rUeA0iZrwAeqTdO8A_16_2"/>
      <w:bookmarkStart w:id="2396" w:name="Tc_EH-jl_33lUqsjxWhP32fKg_16_0"/>
      <w:bookmarkStart w:id="2397" w:name="Tc_iJe_dXCnoEW7AljJecnKbQ_15_9"/>
      <w:bookmarkStart w:id="2398" w:name="Tc_im3hinXyw0KuBEwQ6ro2vg_15_0"/>
      <w:bookmarkStart w:id="2399" w:name="Tc_lDNbPxPRMUmzSFR-wc2A-g_14_9"/>
      <w:bookmarkStart w:id="2400" w:name="Tc_k3jK3jr2tEejcKKWBIMi9A_14_6"/>
      <w:bookmarkStart w:id="2401" w:name="Tc_cIP_Vs5dDEWQW0ylVfNkdQ_14_3"/>
      <w:bookmarkStart w:id="2402" w:name="Tc_0Et_4hPbsECN-yH0Ujp0RA_14_0"/>
      <w:bookmarkStart w:id="2403" w:name="Tc_VnviM_vc9UW-Vl0XDi-gZw_13_9"/>
      <w:bookmarkStart w:id="2404" w:name="Tc_ZX-C_HFGNkeNmShZ08i5pw_13_0"/>
      <w:bookmarkStart w:id="2405" w:name="Tc_fSHQSFtvoEWYPx2f092Lzg_12_9"/>
      <w:bookmarkStart w:id="2406" w:name="Tc_5loZqwe1nkOcnZeCgKOQaw_12_0"/>
      <w:bookmarkStart w:id="2407" w:name="Tc_2j_QFFEXH0qRwyYJhaBgyA_11_0"/>
      <w:bookmarkStart w:id="2408" w:name="Tc_ahjeoRGugEawtxnbrnWztg_10_0"/>
      <w:bookmarkStart w:id="2409" w:name="Tc_FFXDfaw3aU-kbKHlQjMJ9Q_9_9"/>
      <w:bookmarkStart w:id="2410" w:name="Tc_-_uS7LTuZUOgK_F19jqJXg_9_0"/>
      <w:bookmarkStart w:id="2411" w:name="Tc_OClmE6E5yEmSxH6xzAITSA_8_9"/>
      <w:bookmarkStart w:id="2412" w:name="Tc_XfTJ8YAptUSL4LNunA4Elw_8_6"/>
      <w:bookmarkStart w:id="2413" w:name="Tc_Q3IzvsMxb0WsW_NcuGb8ow_8_3"/>
      <w:bookmarkStart w:id="2414" w:name="Tc_nHAZmgWdBkKUCXqNj62bPw_8_0"/>
      <w:bookmarkStart w:id="2415" w:name="Tc_9DMXCGy1JkKMmkMWBmC-Cg_7_8"/>
      <w:bookmarkStart w:id="2416" w:name="Tc__BMyFD1PjUaajmAnUKfQ6g_7_5"/>
      <w:bookmarkStart w:id="2417" w:name="Tc_UiQhptQXkUWYI8OY3-CW2A_7_2"/>
      <w:bookmarkStart w:id="2418" w:name="Tc_BECq3NXTZEu0KyV9C93jOQ_7_0"/>
      <w:bookmarkStart w:id="2419" w:name="Tc_0ztN6Lj2lEq4jSLAQC_LEg_6_0"/>
      <w:bookmarkStart w:id="2420" w:name="Tc_58MyaqdWkUqyWHN1z6s0Mg_5_8"/>
      <w:bookmarkStart w:id="2421" w:name="Tc_XzkKM6zfHk-XljqFQqDrXA_5_5"/>
      <w:bookmarkStart w:id="2422" w:name="Tc_IENurNG15Uui73Hc6EPogQ_5_2"/>
      <w:bookmarkStart w:id="2423" w:name="Tc_lQZETW8wwkWuMysL6yhvRg_5_0"/>
      <w:bookmarkStart w:id="2424" w:name="Tc_OZHW-yQIVUW0jad9Mr5L-g_4_8"/>
      <w:bookmarkStart w:id="2425" w:name="Tc_lvwVtTJPD02QmGON8SNM5w_4_2"/>
      <w:bookmarkStart w:id="2426" w:name="Tc_ywDJwYVBOUm7PzNtGiRZaQ_3_8"/>
      <w:bookmarkStart w:id="2427" w:name="Tc_RfV7cHIWtkaE7NnY4ScsrQ_3_2"/>
      <w:bookmarkStart w:id="2428" w:name="Tc_Zszg7uZhM0eo_jhmBFAVaQ_2_8"/>
      <w:bookmarkStart w:id="2429" w:name="Tc_T4erQmgbK0m-6NAYG-Movw_1_2"/>
      <w:bookmarkStart w:id="2430" w:name="_f24350c0_bd4f_43ea_9ed1_4be6f6cf70d2"/>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p>
    <w:tbl>
      <w:tblPr>
        <w:tblW w:w="6509" w:type="dxa"/>
        <w:jc w:val="left"/>
        <w:tblInd w:w="0" w:type="dxa"/>
        <w:tblLayout w:type="fixed"/>
        <w:tblCellMar>
          <w:top w:w="0" w:type="dxa"/>
          <w:left w:w="0" w:type="dxa"/>
          <w:bottom w:w="0" w:type="dxa"/>
          <w:right w:w="0" w:type="dxa"/>
        </w:tblCellMar>
      </w:tblPr>
      <w:tblGrid>
        <w:gridCol w:w="2671"/>
        <w:gridCol w:w="109"/>
        <w:gridCol w:w="493"/>
        <w:gridCol w:w="947"/>
        <w:gridCol w:w="109"/>
        <w:gridCol w:w="262"/>
        <w:gridCol w:w="684"/>
        <w:gridCol w:w="109"/>
        <w:gridCol w:w="324"/>
        <w:gridCol w:w="80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696085" cy="175260"/>
                      <wp:effectExtent l="0" t="0" r="0" b="0"/>
                      <wp:wrapNone/>
                      <wp:docPr id="269" name="Frame269"/>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13055" cy="175260"/>
                      <wp:effectExtent l="0" t="0" r="0" b="0"/>
                      <wp:wrapNone/>
                      <wp:docPr id="271" name="Frame271"/>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01345" cy="175260"/>
                      <wp:effectExtent l="0" t="0" r="0" b="0"/>
                      <wp:wrapNone/>
                      <wp:docPr id="272" name="Frame272"/>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3" name="Frame2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66370" cy="175260"/>
                      <wp:effectExtent l="0" t="0" r="0" b="0"/>
                      <wp:wrapNone/>
                      <wp:docPr id="274" name="Frame274"/>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34340" cy="175260"/>
                      <wp:effectExtent l="0" t="0" r="0" b="0"/>
                      <wp:wrapNone/>
                      <wp:docPr id="275" name="Frame275"/>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5740" cy="175260"/>
                      <wp:effectExtent l="0" t="0" r="0" b="0"/>
                      <wp:wrapNone/>
                      <wp:docPr id="277" name="Frame277"/>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08635" cy="175260"/>
                      <wp:effectExtent l="0" t="0" r="0" b="0"/>
                      <wp:wrapNone/>
                      <wp:docPr id="278" name="Frame278"/>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72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2023</w:t>
            </w:r>
          </w:p>
        </w:tc>
      </w:tr>
      <w:tr>
        <w:trPr/>
        <w:tc>
          <w:tcPr>
            <w:tcW w:w="26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40"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90 Days</w:t>
            </w:r>
          </w:p>
        </w:tc>
      </w:tr>
      <w:tr>
        <w:trPr/>
        <w:tc>
          <w:tcPr>
            <w:tcW w:w="26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More</w:t>
            </w:r>
          </w:p>
        </w:tc>
      </w:tr>
      <w:tr>
        <w:trPr/>
        <w:tc>
          <w:tcPr>
            <w:tcW w:w="26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no Allowance</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Past Due</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109" w:type="dxa"/>
            <w:tcBorders/>
            <w:vAlign w:val="center"/>
          </w:tcPr>
          <w:p>
            <w:pPr>
              <w:pStyle w:val="TableContents"/>
              <w:bidi w:val="0"/>
              <w:spacing w:before="0" w:after="1"/>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Credit Losses</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109" w:type="dxa"/>
            <w:tcBorders/>
            <w:vAlign w:val="center"/>
          </w:tcPr>
          <w:p>
            <w:pPr>
              <w:pStyle w:val="TableContents"/>
              <w:bidi w:val="0"/>
              <w:spacing w:before="0" w:after="1"/>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Accruing</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109" w:type="dxa"/>
            <w:tcBorders/>
            <w:shd w:fill="CCEEFF" w:val="clear"/>
            <w:vAlign w:val="center"/>
          </w:tcPr>
          <w:p>
            <w:pPr>
              <w:pStyle w:val="TableContents"/>
              <w:bidi w:val="0"/>
              <w:spacing w:before="0" w:after="1"/>
              <w:ind w:left="0" w:right="0" w:hanging="0"/>
              <w:jc w:val="left"/>
              <w:rPr/>
            </w:pPr>
            <w:r>
              <w:rPr/>
              <w:t>​</w:t>
            </w:r>
          </w:p>
        </w:tc>
        <w:tc>
          <w:tcPr>
            <w:tcW w:w="493" w:type="dxa"/>
            <w:tcBorders/>
            <w:shd w:fill="CCEEFF" w:val="clear"/>
            <w:vAlign w:val="center"/>
          </w:tcPr>
          <w:p>
            <w:pPr>
              <w:pStyle w:val="TableContents"/>
              <w:bidi w:val="0"/>
              <w:spacing w:before="0" w:after="1"/>
              <w:ind w:left="0" w:right="0" w:hanging="0"/>
              <w:jc w:val="left"/>
              <w:rPr/>
            </w:pPr>
            <w:r>
              <w:rPr/>
              <w:t>​</w:t>
            </w:r>
          </w:p>
        </w:tc>
        <w:tc>
          <w:tcPr>
            <w:tcW w:w="94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lef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109" w:type="dxa"/>
            <w:tcBorders/>
            <w:vAlign w:val="center"/>
          </w:tcPr>
          <w:p>
            <w:pPr>
              <w:pStyle w:val="TableContents"/>
              <w:bidi w:val="0"/>
              <w:spacing w:before="0" w:after="1"/>
              <w:ind w:left="0" w:right="0" w:hanging="0"/>
              <w:jc w:val="left"/>
              <w:rPr/>
            </w:pPr>
            <w:r>
              <w:rPr/>
              <w:t>​</w:t>
            </w:r>
          </w:p>
        </w:tc>
        <w:tc>
          <w:tcPr>
            <w:tcW w:w="4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6,595</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109" w:type="dxa"/>
            <w:tcBorders/>
            <w:shd w:fill="CCEEFF" w:val="clear"/>
            <w:vAlign w:val="center"/>
          </w:tcPr>
          <w:p>
            <w:pPr>
              <w:pStyle w:val="TableContents"/>
              <w:bidi w:val="0"/>
              <w:spacing w:before="0" w:after="1"/>
              <w:ind w:left="0" w:right="0" w:hanging="0"/>
              <w:jc w:val="left"/>
              <w:rPr/>
            </w:pPr>
            <w:r>
              <w:rPr/>
              <w:t>​</w:t>
            </w:r>
          </w:p>
        </w:tc>
        <w:tc>
          <w:tcPr>
            <w:tcW w:w="493" w:type="dxa"/>
            <w:tcBorders/>
            <w:shd w:fill="CCEEFF" w:val="clear"/>
            <w:vAlign w:val="center"/>
          </w:tcPr>
          <w:p>
            <w:pPr>
              <w:pStyle w:val="TableContents"/>
              <w:bidi w:val="0"/>
              <w:spacing w:before="0" w:after="1"/>
              <w:ind w:left="0" w:right="0" w:hanging="0"/>
              <w:jc w:val="left"/>
              <w:rPr/>
            </w:pPr>
            <w:r>
              <w:rPr/>
              <w:t>​</w:t>
            </w:r>
          </w:p>
        </w:tc>
        <w:tc>
          <w:tcPr>
            <w:tcW w:w="94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109" w:type="dxa"/>
            <w:tcBorders/>
            <w:vAlign w:val="center"/>
          </w:tcPr>
          <w:p>
            <w:pPr>
              <w:pStyle w:val="TableContents"/>
              <w:bidi w:val="0"/>
              <w:spacing w:before="0" w:after="1"/>
              <w:ind w:left="0" w:right="0" w:hanging="0"/>
              <w:jc w:val="left"/>
              <w:rPr/>
            </w:pPr>
            <w:r>
              <w:rPr/>
              <w:t>​</w:t>
            </w:r>
          </w:p>
        </w:tc>
        <w:tc>
          <w:tcPr>
            <w:tcW w:w="49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w:t>
            </w:r>
          </w:p>
        </w:tc>
        <w:tc>
          <w:tcPr>
            <w:tcW w:w="109"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1,115</w:t>
            </w:r>
          </w:p>
        </w:tc>
        <w:tc>
          <w:tcPr>
            <w:tcW w:w="109"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commercial</w:t>
            </w:r>
          </w:p>
        </w:tc>
        <w:tc>
          <w:tcPr>
            <w:tcW w:w="109" w:type="dxa"/>
            <w:tcBorders/>
            <w:shd w:fill="CCEEFF" w:val="clear"/>
            <w:vAlign w:val="center"/>
          </w:tcPr>
          <w:p>
            <w:pPr>
              <w:pStyle w:val="TableContents"/>
              <w:bidi w:val="0"/>
              <w:spacing w:before="0" w:after="1"/>
              <w:ind w:left="0" w:right="0" w:hanging="0"/>
              <w:jc w:val="left"/>
              <w:rPr/>
            </w:pPr>
            <w:r>
              <w:rPr/>
              <w:t>​</w:t>
            </w:r>
          </w:p>
        </w:tc>
        <w:tc>
          <w:tcPr>
            <w:tcW w:w="493" w:type="dxa"/>
            <w:tcBorders/>
            <w:shd w:fill="CCEEFF" w:val="clear"/>
            <w:vAlign w:val="center"/>
          </w:tcPr>
          <w:p>
            <w:pPr>
              <w:pStyle w:val="TableContents"/>
              <w:bidi w:val="0"/>
              <w:spacing w:before="0" w:after="1"/>
              <w:ind w:left="0" w:right="0" w:hanging="0"/>
              <w:jc w:val="left"/>
              <w:rPr/>
            </w:pPr>
            <w:r>
              <w:rPr/>
              <w:t>​</w:t>
            </w:r>
          </w:p>
        </w:tc>
        <w:tc>
          <w:tcPr>
            <w:tcW w:w="9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7,710</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w:t>
            </w:r>
          </w:p>
        </w:tc>
        <w:tc>
          <w:tcPr>
            <w:tcW w:w="109" w:type="dxa"/>
            <w:tcBorders/>
            <w:vAlign w:val="center"/>
          </w:tcPr>
          <w:p>
            <w:pPr>
              <w:pStyle w:val="TableContents"/>
              <w:bidi w:val="0"/>
              <w:spacing w:before="0" w:after="1"/>
              <w:ind w:left="0" w:right="0" w:hanging="0"/>
              <w:jc w:val="left"/>
              <w:rPr/>
            </w:pPr>
            <w:r>
              <w:rPr/>
              <w:t>​</w:t>
            </w:r>
          </w:p>
        </w:tc>
        <w:tc>
          <w:tcPr>
            <w:tcW w:w="493" w:type="dxa"/>
            <w:tcBorders/>
            <w:vAlign w:val="center"/>
          </w:tcPr>
          <w:p>
            <w:pPr>
              <w:pStyle w:val="TableContents"/>
              <w:bidi w:val="0"/>
              <w:spacing w:before="0" w:after="1"/>
              <w:ind w:left="0" w:right="0" w:hanging="0"/>
              <w:jc w:val="left"/>
              <w:rPr/>
            </w:pPr>
            <w:r>
              <w:rPr/>
              <w:t>​</w:t>
            </w:r>
          </w:p>
        </w:tc>
        <w:tc>
          <w:tcPr>
            <w:tcW w:w="94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lef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109" w:type="dxa"/>
            <w:tcBorders/>
            <w:shd w:fill="CCEEFF" w:val="clear"/>
            <w:vAlign w:val="center"/>
          </w:tcPr>
          <w:p>
            <w:pPr>
              <w:pStyle w:val="TableContents"/>
              <w:bidi w:val="0"/>
              <w:spacing w:before="0" w:after="1"/>
              <w:ind w:left="0" w:right="0" w:hanging="0"/>
              <w:jc w:val="left"/>
              <w:rPr/>
            </w:pPr>
            <w:r>
              <w:rPr/>
              <w:t>​</w:t>
            </w:r>
          </w:p>
        </w:tc>
        <w:tc>
          <w:tcPr>
            <w:tcW w:w="493" w:type="dxa"/>
            <w:tcBorders/>
            <w:shd w:fill="CCEEFF" w:val="clear"/>
            <w:vAlign w:val="center"/>
          </w:tcPr>
          <w:p>
            <w:pPr>
              <w:pStyle w:val="TableContents"/>
              <w:bidi w:val="0"/>
              <w:spacing w:before="0" w:after="1"/>
              <w:ind w:left="0" w:right="0" w:hanging="0"/>
              <w:jc w:val="left"/>
              <w:rPr/>
            </w:pPr>
            <w:r>
              <w:rPr/>
              <w:t>​</w:t>
            </w:r>
          </w:p>
        </w:tc>
        <w:tc>
          <w:tcPr>
            <w:tcW w:w="9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632</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638</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109" w:type="dxa"/>
            <w:tcBorders/>
            <w:vAlign w:val="center"/>
          </w:tcPr>
          <w:p>
            <w:pPr>
              <w:pStyle w:val="TableContents"/>
              <w:bidi w:val="0"/>
              <w:spacing w:before="0" w:after="1"/>
              <w:ind w:left="0" w:right="0" w:hanging="0"/>
              <w:jc w:val="left"/>
              <w:rPr/>
            </w:pPr>
            <w:r>
              <w:rPr/>
              <w:t>​</w:t>
            </w:r>
          </w:p>
        </w:tc>
        <w:tc>
          <w:tcPr>
            <w:tcW w:w="493" w:type="dxa"/>
            <w:tcBorders/>
            <w:vAlign w:val="center"/>
          </w:tcPr>
          <w:p>
            <w:pPr>
              <w:pStyle w:val="TableContents"/>
              <w:bidi w:val="0"/>
              <w:spacing w:before="0" w:after="1"/>
              <w:ind w:left="0" w:right="0" w:hanging="0"/>
              <w:jc w:val="left"/>
              <w:rPr/>
            </w:pPr>
            <w:r>
              <w:rPr/>
              <w:t>​</w:t>
            </w:r>
          </w:p>
        </w:tc>
        <w:tc>
          <w:tcPr>
            <w:tcW w:w="9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109" w:type="dxa"/>
            <w:tcBorders/>
            <w:shd w:fill="CCEEFF" w:val="clear"/>
            <w:vAlign w:val="center"/>
          </w:tcPr>
          <w:p>
            <w:pPr>
              <w:pStyle w:val="TableContents"/>
              <w:bidi w:val="0"/>
              <w:spacing w:before="0" w:after="1"/>
              <w:ind w:left="0" w:right="0" w:hanging="0"/>
              <w:jc w:val="left"/>
              <w:rPr/>
            </w:pPr>
            <w:r>
              <w:rPr/>
              <w:t>​</w:t>
            </w:r>
          </w:p>
        </w:tc>
        <w:tc>
          <w:tcPr>
            <w:tcW w:w="49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consumer</w:t>
            </w:r>
          </w:p>
        </w:tc>
        <w:tc>
          <w:tcPr>
            <w:tcW w:w="109" w:type="dxa"/>
            <w:tcBorders/>
            <w:vAlign w:val="center"/>
          </w:tcPr>
          <w:p>
            <w:pPr>
              <w:pStyle w:val="TableContents"/>
              <w:bidi w:val="0"/>
              <w:spacing w:before="0" w:after="1"/>
              <w:ind w:left="0" w:right="0" w:hanging="0"/>
              <w:jc w:val="left"/>
              <w:rPr/>
            </w:pPr>
            <w:r>
              <w:rPr/>
              <w:t>​</w:t>
            </w:r>
          </w:p>
        </w:tc>
        <w:tc>
          <w:tcPr>
            <w:tcW w:w="49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817</w:t>
            </w:r>
          </w:p>
        </w:tc>
        <w:tc>
          <w:tcPr>
            <w:tcW w:w="109"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886</w:t>
            </w:r>
          </w:p>
        </w:tc>
        <w:tc>
          <w:tcPr>
            <w:tcW w:w="109"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loans</w:t>
            </w:r>
          </w:p>
        </w:tc>
        <w:tc>
          <w:tcPr>
            <w:tcW w:w="109" w:type="dxa"/>
            <w:tcBorders/>
            <w:shd w:fill="CCEEFF" w:val="clear"/>
            <w:vAlign w:val="center"/>
          </w:tcPr>
          <w:p>
            <w:pPr>
              <w:pStyle w:val="TableContents"/>
              <w:bidi w:val="0"/>
              <w:spacing w:before="0" w:after="1"/>
              <w:ind w:left="0" w:right="0" w:hanging="0"/>
              <w:jc w:val="left"/>
              <w:rPr/>
            </w:pPr>
            <w:r>
              <w:rPr/>
              <w:t>​</w:t>
            </w:r>
          </w:p>
        </w:tc>
        <w:tc>
          <w:tcPr>
            <w:tcW w:w="49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991</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8,596</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139</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Interest income that would have been recognized if loans on nonaccrual status had been current in accordance with their original terms for the three months ended March 31, 2024 and 2023, is estimated to have been $651 thousand and $38 thousand, respectively.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policy is to reverse previously recorded interest income when a loan is placed on nonaccrual status. As a result, the Company did not record any interest income on its nonaccrual loans for the three months ended March 31, 2024 and 2023. At March 31, 2024 and December 31, 2023, total accrued interest receivable on loans, which had been excluded from reported amortized cost basis on loans, was $12.3 million and $12.2 million, respectively, and was reported within accrued interest receivable on the consolidated statements of condition. An allowance was not carried on the accrued interest receivable at either date.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cases where a borrower experiences financial difficulty, the Company may make certain concessions for which the terms of the loan are modified. Loans experiencing financial difficulty can include modifications for an interest rate reduction below current market rates, a forgiveness of principal balance, an extension of the loan term, an-other than significant payment delay, or some combination of similar types of modifications. During the three months ended March 31, 2024 and 2023, the Company did not provide any modifications to loans under these circumstances that were experiencing financial difficulty.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present the amortized cost basis of collateral dependent loans, by the primary collateral type, which are individually evaluated to determine expected credit losses, and the related ACL allocated to these loans, as of March 31, 2024 and December 31, 2023:</w:t>
      </w:r>
    </w:p>
    <w:p>
      <w:pPr>
        <w:pStyle w:val="TextBody"/>
        <w:bidi w:val="0"/>
        <w:spacing w:before="0" w:after="0"/>
        <w:ind w:left="0" w:right="0" w:hanging="0"/>
        <w:jc w:val="left"/>
        <w:rPr/>
      </w:pPr>
      <w:r>
        <w:rPr/>
        <w:t>​</w:t>
      </w:r>
    </w:p>
    <w:tbl>
      <w:tblPr>
        <w:tblW w:w="7600" w:type="dxa"/>
        <w:jc w:val="left"/>
        <w:tblInd w:w="0" w:type="dxa"/>
        <w:tblLayout w:type="fixed"/>
        <w:tblCellMar>
          <w:top w:w="0" w:type="dxa"/>
          <w:left w:w="0" w:type="dxa"/>
          <w:bottom w:w="0" w:type="dxa"/>
          <w:right w:w="0" w:type="dxa"/>
        </w:tblCellMar>
      </w:tblPr>
      <w:tblGrid>
        <w:gridCol w:w="2671"/>
        <w:gridCol w:w="109"/>
        <w:gridCol w:w="258"/>
        <w:gridCol w:w="672"/>
        <w:gridCol w:w="109"/>
        <w:gridCol w:w="352"/>
        <w:gridCol w:w="624"/>
        <w:gridCol w:w="109"/>
        <w:gridCol w:w="201"/>
        <w:gridCol w:w="355"/>
        <w:gridCol w:w="109"/>
        <w:gridCol w:w="196"/>
        <w:gridCol w:w="511"/>
        <w:gridCol w:w="109"/>
        <w:gridCol w:w="293"/>
        <w:gridCol w:w="922"/>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696085" cy="175260"/>
                      <wp:effectExtent l="0" t="0" r="0" b="0"/>
                      <wp:wrapNone/>
                      <wp:docPr id="279" name="Frame279"/>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63830" cy="175260"/>
                      <wp:effectExtent l="0" t="0" r="0" b="0"/>
                      <wp:wrapNone/>
                      <wp:docPr id="281" name="Frame28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26720" cy="175260"/>
                      <wp:effectExtent l="0" t="0" r="0" b="0"/>
                      <wp:wrapNone/>
                      <wp:docPr id="282" name="Frame282"/>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23520" cy="175260"/>
                      <wp:effectExtent l="0" t="0" r="0" b="0"/>
                      <wp:wrapNone/>
                      <wp:docPr id="284" name="Frame284"/>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96240" cy="175260"/>
                      <wp:effectExtent l="0" t="0" r="0" b="0"/>
                      <wp:wrapNone/>
                      <wp:docPr id="285" name="Frame285"/>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86"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27635" cy="175260"/>
                      <wp:effectExtent l="0" t="0" r="0" b="0"/>
                      <wp:wrapNone/>
                      <wp:docPr id="287" name="Frame287"/>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25425" cy="175260"/>
                      <wp:effectExtent l="0" t="0" r="0" b="0"/>
                      <wp:wrapNone/>
                      <wp:docPr id="288" name="Frame288"/>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9" name="Frame2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24460" cy="175260"/>
                      <wp:effectExtent l="0" t="0" r="0" b="0"/>
                      <wp:wrapNone/>
                      <wp:docPr id="290" name="Frame2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24485" cy="175260"/>
                      <wp:effectExtent l="0" t="0" r="0" b="0"/>
                      <wp:wrapNone/>
                      <wp:docPr id="291" name="Frame29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86055" cy="175260"/>
                      <wp:effectExtent l="0" t="0" r="0" b="0"/>
                      <wp:wrapNone/>
                      <wp:docPr id="293" name="Frame293"/>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85470" cy="175260"/>
                      <wp:effectExtent l="0" t="0" r="0" b="0"/>
                      <wp:wrapNone/>
                      <wp:docPr id="294" name="Frame294"/>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2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of March 31, 2024</w:t>
            </w:r>
          </w:p>
        </w:tc>
      </w:tr>
      <w:tr>
        <w:trPr/>
        <w:tc>
          <w:tcPr>
            <w:tcW w:w="2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2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Primary Type of Collateral</w:t>
            </w:r>
          </w:p>
        </w:tc>
      </w:tr>
      <w:tr>
        <w:trPr/>
        <w:tc>
          <w:tcPr>
            <w:tcW w:w="2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Allowance for</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Real estate</w:t>
            </w:r>
          </w:p>
        </w:tc>
        <w:tc>
          <w:tcPr>
            <w:tcW w:w="109"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Equipment</w:t>
            </w:r>
          </w:p>
        </w:tc>
        <w:tc>
          <w:tcPr>
            <w:tcW w:w="109" w:type="dxa"/>
            <w:tcBorders/>
            <w:vAlign w:val="center"/>
          </w:tcPr>
          <w:p>
            <w:pPr>
              <w:pStyle w:val="TableContents"/>
              <w:bidi w:val="0"/>
              <w:spacing w:before="0" w:after="0"/>
              <w:ind w:left="0" w:right="0" w:hanging="0"/>
              <w:jc w:val="left"/>
              <w:rPr/>
            </w:pPr>
            <w:r>
              <w:rPr/>
              <w:t>​</w:t>
            </w:r>
          </w:p>
        </w:tc>
        <w:tc>
          <w:tcPr>
            <w:tcW w:w="5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109"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09" w:type="dxa"/>
            <w:tcBorders/>
            <w:vAlign w:val="center"/>
          </w:tcPr>
          <w:p>
            <w:pPr>
              <w:pStyle w:val="TableContents"/>
              <w:bidi w:val="0"/>
              <w:spacing w:before="0" w:after="0"/>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Credit Losses</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lef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5,070</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5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5,070</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2,280</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515</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commercial</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5,585</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5,625</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2,646</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lef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429</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consumer</w:t>
            </w:r>
          </w:p>
        </w:tc>
        <w:tc>
          <w:tcPr>
            <w:tcW w:w="109"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1,056</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1,057</w:t>
            </w:r>
          </w:p>
        </w:tc>
        <w:tc>
          <w:tcPr>
            <w:tcW w:w="109"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6,641</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6,682</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2,649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431" w:name="Tc_BjEP35wki0iLks2vReZneg_15_14"/>
      <w:bookmarkStart w:id="2432" w:name="Tc_dWHjHa6yT0-3wWvHneE0ug_15_11"/>
      <w:bookmarkStart w:id="2433" w:name="Tc__TNTakQ95kafR0ZFeCGRxw_15_8"/>
      <w:bookmarkStart w:id="2434" w:name="Tc_pBZvgOOE2UyKz3WIW1Ejzw_15_5"/>
      <w:bookmarkStart w:id="2435" w:name="Tc_W4VmqC-fn0y-SU4s2BlQ4Q_15_2"/>
      <w:bookmarkStart w:id="2436" w:name="Tc_S_1SR-gyrkmmB0Xg_SpawA_15_0"/>
      <w:bookmarkStart w:id="2437" w:name="Tc_5Gz0NhW_9EK1X9ubttbZ_Q_14_0"/>
      <w:bookmarkStart w:id="2438" w:name="Tc_6Y8En6TPnUWigI7PsZLgfw_13_15"/>
      <w:bookmarkStart w:id="2439" w:name="Tc_MVvi8NEDaEaxZ-XtKWIaog_13_12"/>
      <w:bookmarkStart w:id="2440" w:name="Tc_PwM0BapmmE6WrYkbazFb7Q_13_9"/>
      <w:bookmarkStart w:id="2441" w:name="Tc_yGrnc9wDskSPzd84s0YDPg_13_6"/>
      <w:bookmarkStart w:id="2442" w:name="Tc_yMu0HLabrUiM7bl6VbE46g_13_3"/>
      <w:bookmarkStart w:id="2443" w:name="Tc_7ZRlAHslrku_6x07vylrYg_13_0"/>
      <w:bookmarkStart w:id="2444" w:name="Tc_ysxXO5wkokCI_AcrknI3JA_12_0"/>
      <w:bookmarkStart w:id="2445" w:name="Tc_2lirO79fd0W8ViC91r-gWw_11_9"/>
      <w:bookmarkStart w:id="2446" w:name="Tc_OG25-Ohw70OmItR4rfjAVQ_11_6"/>
      <w:bookmarkStart w:id="2447" w:name="Tc_8ZD-b_yAnUCGgvRwyO9gFA_11_0"/>
      <w:bookmarkStart w:id="2448" w:name="Tc_LkXdcMvSz0aLpGQH4-8_Tg_10_0"/>
      <w:bookmarkStart w:id="2449" w:name="Tc_hmiO5Jt22EKoecTdn0NcOQ_9_6"/>
      <w:bookmarkStart w:id="2450" w:name="Tc_o8nH_NBGBEC5vgHSUoO1YQ_9_0"/>
      <w:bookmarkStart w:id="2451" w:name="Tc_FhfTSA8GcUWCEl08NKJKzw_8_6"/>
      <w:bookmarkStart w:id="2452" w:name="Tc_FGQssqkrPk-A5imEgSLzOA_8_0"/>
      <w:bookmarkStart w:id="2453" w:name="Tc_fxvnCxJuRkqy9GJG8LY9BA_7_15"/>
      <w:bookmarkStart w:id="2454" w:name="Tc_7z69SPYja0yqSCEX2AMcVw_7_12"/>
      <w:bookmarkStart w:id="2455" w:name="Tc_AZi0bXV_nU-aOfjuObIlng_7_9"/>
      <w:bookmarkStart w:id="2456" w:name="Tc_zfNtywjdpU6DkKxs7736Ew_7_6"/>
      <w:bookmarkStart w:id="2457" w:name="Tc_9EiloBj8mkC6FZMzwnnJ7Q_7_3"/>
      <w:bookmarkStart w:id="2458" w:name="Tc_dBw_D7pUnkSDK81Pwbnweg_7_0"/>
      <w:bookmarkStart w:id="2459" w:name="Tc_H-1azueHwkSH0isClxF3eg_6_14"/>
      <w:bookmarkStart w:id="2460" w:name="Tc_i5tqXmHYaEmjysITC8fBQg_6_11"/>
      <w:bookmarkStart w:id="2461" w:name="Tc_oD4XLuk-2EmoXBXc_NXW-A_6_9"/>
      <w:bookmarkStart w:id="2462" w:name="Tc_awOmanUnD0WYki_08Js8ew_6_8"/>
      <w:bookmarkStart w:id="2463" w:name="Tc_jWmOb3MqmE672WFxpwCZhg_6_6"/>
      <w:bookmarkStart w:id="2464" w:name="Tc_GtLBzqeXGUux3sMcZwJr5w_6_5"/>
      <w:bookmarkStart w:id="2465" w:name="Tc_ag9S6LFdzUGPL6eqN0NspQ_6_2"/>
      <w:bookmarkStart w:id="2466" w:name="Tc_xPJspvL67U-tXuqs3KEudA_6_0"/>
      <w:bookmarkStart w:id="2467" w:name="Tc_m17MujLcx0-Hv-wCzofHtQ_5_0"/>
      <w:bookmarkStart w:id="2468" w:name="Tc_1DuEVyRHf0OVe-wH_KUssQ_4_14"/>
      <w:bookmarkStart w:id="2469" w:name="Tc_uTVSltpHqEaQghK0iVL_lw_4_11"/>
      <w:bookmarkStart w:id="2470" w:name="Tc_pPIlW4JE90WQy9Y7WS8nRw_4_8"/>
      <w:bookmarkStart w:id="2471" w:name="Tc_73tuClPcI0eg5Bv6qUjzqA_4_5"/>
      <w:bookmarkStart w:id="2472" w:name="Tc_10Gw9k7RyEOXO8fd_OgIfg_4_2"/>
      <w:bookmarkStart w:id="2473" w:name="Tc_f0AptOAaWk-tnQ3dwja3-Q_4_0"/>
      <w:bookmarkStart w:id="2474" w:name="Tc_2DYuatWLSUi9cLRXu_CVUw_3_14"/>
      <w:bookmarkStart w:id="2475" w:name="Tc_VMfnKuXlNEGAksDyP6GXmQ_2_2"/>
      <w:bookmarkStart w:id="2476" w:name="Tc_RO90iAbFC0itfx4IiXQ1Kw_1_2"/>
      <w:bookmarkStart w:id="2477" w:name="Tc_BjEP35wki0iLks2vReZneg_15_14"/>
      <w:bookmarkStart w:id="2478" w:name="Tc_dWHjHa6yT0-3wWvHneE0ug_15_11"/>
      <w:bookmarkStart w:id="2479" w:name="Tc__TNTakQ95kafR0ZFeCGRxw_15_8"/>
      <w:bookmarkStart w:id="2480" w:name="Tc_pBZvgOOE2UyKz3WIW1Ejzw_15_5"/>
      <w:bookmarkStart w:id="2481" w:name="Tc_W4VmqC-fn0y-SU4s2BlQ4Q_15_2"/>
      <w:bookmarkStart w:id="2482" w:name="Tc_S_1SR-gyrkmmB0Xg_SpawA_15_0"/>
      <w:bookmarkStart w:id="2483" w:name="Tc_5Gz0NhW_9EK1X9ubttbZ_Q_14_0"/>
      <w:bookmarkStart w:id="2484" w:name="Tc_6Y8En6TPnUWigI7PsZLgfw_13_15"/>
      <w:bookmarkStart w:id="2485" w:name="Tc_MVvi8NEDaEaxZ-XtKWIaog_13_12"/>
      <w:bookmarkStart w:id="2486" w:name="Tc_PwM0BapmmE6WrYkbazFb7Q_13_9"/>
      <w:bookmarkStart w:id="2487" w:name="Tc_yGrnc9wDskSPzd84s0YDPg_13_6"/>
      <w:bookmarkStart w:id="2488" w:name="Tc_yMu0HLabrUiM7bl6VbE46g_13_3"/>
      <w:bookmarkStart w:id="2489" w:name="Tc_7ZRlAHslrku_6x07vylrYg_13_0"/>
      <w:bookmarkStart w:id="2490" w:name="Tc_ysxXO5wkokCI_AcrknI3JA_12_0"/>
      <w:bookmarkStart w:id="2491" w:name="Tc_2lirO79fd0W8ViC91r-gWw_11_9"/>
      <w:bookmarkStart w:id="2492" w:name="Tc_OG25-Ohw70OmItR4rfjAVQ_11_6"/>
      <w:bookmarkStart w:id="2493" w:name="Tc_8ZD-b_yAnUCGgvRwyO9gFA_11_0"/>
      <w:bookmarkStart w:id="2494" w:name="Tc_LkXdcMvSz0aLpGQH4-8_Tg_10_0"/>
      <w:bookmarkStart w:id="2495" w:name="Tc_hmiO5Jt22EKoecTdn0NcOQ_9_6"/>
      <w:bookmarkStart w:id="2496" w:name="Tc_o8nH_NBGBEC5vgHSUoO1YQ_9_0"/>
      <w:bookmarkStart w:id="2497" w:name="Tc_FhfTSA8GcUWCEl08NKJKzw_8_6"/>
      <w:bookmarkStart w:id="2498" w:name="Tc_FGQssqkrPk-A5imEgSLzOA_8_0"/>
      <w:bookmarkStart w:id="2499" w:name="Tc_fxvnCxJuRkqy9GJG8LY9BA_7_15"/>
      <w:bookmarkStart w:id="2500" w:name="Tc_7z69SPYja0yqSCEX2AMcVw_7_12"/>
      <w:bookmarkStart w:id="2501" w:name="Tc_AZi0bXV_nU-aOfjuObIlng_7_9"/>
      <w:bookmarkStart w:id="2502" w:name="Tc_zfNtywjdpU6DkKxs7736Ew_7_6"/>
      <w:bookmarkStart w:id="2503" w:name="Tc_9EiloBj8mkC6FZMzwnnJ7Q_7_3"/>
      <w:bookmarkStart w:id="2504" w:name="Tc_dBw_D7pUnkSDK81Pwbnweg_7_0"/>
      <w:bookmarkStart w:id="2505" w:name="Tc_H-1azueHwkSH0isClxF3eg_6_14"/>
      <w:bookmarkStart w:id="2506" w:name="Tc_i5tqXmHYaEmjysITC8fBQg_6_11"/>
      <w:bookmarkStart w:id="2507" w:name="Tc_oD4XLuk-2EmoXBXc_NXW-A_6_9"/>
      <w:bookmarkStart w:id="2508" w:name="Tc_awOmanUnD0WYki_08Js8ew_6_8"/>
      <w:bookmarkStart w:id="2509" w:name="Tc_jWmOb3MqmE672WFxpwCZhg_6_6"/>
      <w:bookmarkStart w:id="2510" w:name="Tc_GtLBzqeXGUux3sMcZwJr5w_6_5"/>
      <w:bookmarkStart w:id="2511" w:name="Tc_ag9S6LFdzUGPL6eqN0NspQ_6_2"/>
      <w:bookmarkStart w:id="2512" w:name="Tc_xPJspvL67U-tXuqs3KEudA_6_0"/>
      <w:bookmarkStart w:id="2513" w:name="Tc_m17MujLcx0-Hv-wCzofHtQ_5_0"/>
      <w:bookmarkStart w:id="2514" w:name="Tc_1DuEVyRHf0OVe-wH_KUssQ_4_14"/>
      <w:bookmarkStart w:id="2515" w:name="Tc_uTVSltpHqEaQghK0iVL_lw_4_11"/>
      <w:bookmarkStart w:id="2516" w:name="Tc_pPIlW4JE90WQy9Y7WS8nRw_4_8"/>
      <w:bookmarkStart w:id="2517" w:name="Tc_73tuClPcI0eg5Bv6qUjzqA_4_5"/>
      <w:bookmarkStart w:id="2518" w:name="Tc_10Gw9k7RyEOXO8fd_OgIfg_4_2"/>
      <w:bookmarkStart w:id="2519" w:name="Tc_f0AptOAaWk-tnQ3dwja3-Q_4_0"/>
      <w:bookmarkStart w:id="2520" w:name="Tc_2DYuatWLSUi9cLRXu_CVUw_3_14"/>
      <w:bookmarkStart w:id="2521" w:name="Tc_VMfnKuXlNEGAksDyP6GXmQ_2_2"/>
      <w:bookmarkStart w:id="2522" w:name="Tc_RO90iAbFC0itfx4IiXQ1Kw_1_2"/>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p>
    <w:tbl>
      <w:tblPr>
        <w:tblW w:w="7616" w:type="dxa"/>
        <w:jc w:val="left"/>
        <w:tblInd w:w="0" w:type="dxa"/>
        <w:tblLayout w:type="fixed"/>
        <w:tblCellMar>
          <w:top w:w="0" w:type="dxa"/>
          <w:left w:w="0" w:type="dxa"/>
          <w:bottom w:w="0" w:type="dxa"/>
          <w:right w:w="0" w:type="dxa"/>
        </w:tblCellMar>
      </w:tblPr>
      <w:tblGrid>
        <w:gridCol w:w="2671"/>
        <w:gridCol w:w="109"/>
        <w:gridCol w:w="258"/>
        <w:gridCol w:w="672"/>
        <w:gridCol w:w="109"/>
        <w:gridCol w:w="352"/>
        <w:gridCol w:w="624"/>
        <w:gridCol w:w="109"/>
        <w:gridCol w:w="196"/>
        <w:gridCol w:w="376"/>
        <w:gridCol w:w="109"/>
        <w:gridCol w:w="196"/>
        <w:gridCol w:w="511"/>
        <w:gridCol w:w="109"/>
        <w:gridCol w:w="293"/>
        <w:gridCol w:w="922"/>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696085" cy="175260"/>
                      <wp:effectExtent l="0" t="0" r="0" b="0"/>
                      <wp:wrapNone/>
                      <wp:docPr id="295" name="Frame295"/>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6"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63830" cy="175260"/>
                      <wp:effectExtent l="0" t="0" r="0" b="0"/>
                      <wp:wrapNone/>
                      <wp:docPr id="297" name="Frame29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26720" cy="175260"/>
                      <wp:effectExtent l="0" t="0" r="0" b="0"/>
                      <wp:wrapNone/>
                      <wp:docPr id="298" name="Frame298"/>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23520" cy="175260"/>
                      <wp:effectExtent l="0" t="0" r="0" b="0"/>
                      <wp:wrapNone/>
                      <wp:docPr id="300" name="Frame300"/>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396240" cy="175260"/>
                      <wp:effectExtent l="0" t="0" r="0" b="0"/>
                      <wp:wrapNone/>
                      <wp:docPr id="301" name="Frame301"/>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24460" cy="175260"/>
                      <wp:effectExtent l="0" t="0" r="0" b="0"/>
                      <wp:wrapNone/>
                      <wp:docPr id="303" name="Frame3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38760" cy="175260"/>
                      <wp:effectExtent l="0" t="0" r="0" b="0"/>
                      <wp:wrapNone/>
                      <wp:docPr id="304" name="Frame30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5"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24460" cy="175260"/>
                      <wp:effectExtent l="0" t="0" r="0" b="0"/>
                      <wp:wrapNone/>
                      <wp:docPr id="306" name="Frame3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324485" cy="175260"/>
                      <wp:effectExtent l="0" t="0" r="0" b="0"/>
                      <wp:wrapNone/>
                      <wp:docPr id="307" name="Frame30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215" cy="175260"/>
                      <wp:effectExtent l="0" t="0" r="0" b="0"/>
                      <wp:wrapNone/>
                      <wp:docPr id="308" name="Frame3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86055" cy="175260"/>
                      <wp:effectExtent l="0" t="0" r="0" b="0"/>
                      <wp:wrapNone/>
                      <wp:docPr id="309" name="Frame309"/>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85470" cy="175260"/>
                      <wp:effectExtent l="0" t="0" r="0" b="0"/>
                      <wp:wrapNone/>
                      <wp:docPr id="310" name="Frame310"/>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3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of December 31, 2023</w:t>
            </w:r>
          </w:p>
        </w:tc>
      </w:tr>
      <w:tr>
        <w:trPr/>
        <w:tc>
          <w:tcPr>
            <w:tcW w:w="2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3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Primary Type of Collateral</w:t>
            </w:r>
          </w:p>
        </w:tc>
      </w:tr>
      <w:tr>
        <w:trPr/>
        <w:tc>
          <w:tcPr>
            <w:tcW w:w="2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Allowance for</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Real estate</w:t>
            </w:r>
          </w:p>
        </w:tc>
        <w:tc>
          <w:tcPr>
            <w:tcW w:w="109"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Equipment</w:t>
            </w:r>
          </w:p>
        </w:tc>
        <w:tc>
          <w:tcPr>
            <w:tcW w:w="109" w:type="dxa"/>
            <w:tcBorders/>
            <w:vAlign w:val="center"/>
          </w:tcPr>
          <w:p>
            <w:pPr>
              <w:pStyle w:val="TableContents"/>
              <w:bidi w:val="0"/>
              <w:spacing w:before="0" w:after="0"/>
              <w:ind w:left="0" w:right="0" w:hanging="0"/>
              <w:jc w:val="left"/>
              <w:rPr/>
            </w:pPr>
            <w:r>
              <w:rPr/>
              <w:t>​</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109"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09" w:type="dxa"/>
            <w:tcBorders/>
            <w:vAlign w:val="center"/>
          </w:tcPr>
          <w:p>
            <w:pPr>
              <w:pStyle w:val="TableContents"/>
              <w:bidi w:val="0"/>
              <w:spacing w:before="0" w:after="0"/>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Credit Losses</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lef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6,124</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6,124</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2,384</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109"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695</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791</w:t>
            </w:r>
          </w:p>
        </w:tc>
        <w:tc>
          <w:tcPr>
            <w:tcW w:w="109"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601</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commercial</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6,819</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6,915</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2,985</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lef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consumer</w:t>
            </w:r>
          </w:p>
        </w:tc>
        <w:tc>
          <w:tcPr>
            <w:tcW w:w="109"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772</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w:t>
            </w:r>
          </w:p>
        </w:tc>
        <w:tc>
          <w:tcPr>
            <w:tcW w:w="109"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7,591</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7,802</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2,994</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Collateral dependent loans are loans for which the repayment is expected to be provided substantially by the underlying collateral and there are no other available and reliable sources of repayment.</w:t>
      </w:r>
    </w:p>
    <w:p>
      <w:pPr>
        <w:pStyle w:val="TextBody"/>
        <w:bidi w:val="0"/>
        <w:spacing w:before="0" w:after="240"/>
        <w:ind w:left="0" w:right="0" w:hanging="0"/>
        <w:jc w:val="left"/>
        <w:rPr>
          <w:rFonts w:ascii="Times New Roman;Times;serif" w:hAnsi="Times New Roman;Times;serif"/>
          <w:b/>
          <w:sz w:val="20"/>
        </w:rPr>
      </w:pPr>
      <w:bookmarkStart w:id="2523" w:name="Tc_BQJ9WBJdYk2SZHmTQM5nTQ_5_17"/>
      <w:bookmarkStart w:id="2524" w:name="Tc_WZlmOOrGMUO7Ce89bivUkw_5_14"/>
      <w:bookmarkStart w:id="2525" w:name="Tc_jpKIpefl20y8Uj_4x8g4ZA_5_11"/>
      <w:bookmarkStart w:id="2526" w:name="Tc_1VBeLVXP90S9ASSp5VB6fg_5_8"/>
      <w:bookmarkStart w:id="2527" w:name="Tc_L93hccVem0SvHJ02US67SQ_5_5"/>
      <w:bookmarkStart w:id="2528" w:name="Tc_Ql6w1hAimE28j_wcSVlLMg_5_2"/>
      <w:bookmarkStart w:id="2529" w:name="Tc_72gp2P53NE-TSMBB6cbjeA_5_0"/>
      <w:bookmarkStart w:id="2530" w:name="Tc_uN0FigJELEKXQlzLcfEL9Q_4_0"/>
      <w:bookmarkStart w:id="2531" w:name="Tc_cNmagn135Ei7JmoZLn8qhw_3_17"/>
      <w:bookmarkStart w:id="2532" w:name="Tc_MaKKykVPa0ez3__BCeVJBQ_3_14"/>
      <w:bookmarkStart w:id="2533" w:name="Tc_HVwKVUXuv0WKS1y0JvJcTQ_3_11"/>
      <w:bookmarkStart w:id="2534" w:name="Tc_vs3T1QBj9EW1bHulveBFJg_3_8"/>
      <w:bookmarkStart w:id="2535" w:name="Tc_kVbTPjuarUCLmr99fQLtjw_3_5"/>
      <w:bookmarkStart w:id="2536" w:name="Tc_T4NksMnkgEGZQpaevV9Grg_3_2"/>
      <w:bookmarkStart w:id="2537" w:name="Tc_0cNa8sytwU6jue2U0rRTLw_3_0"/>
      <w:bookmarkStart w:id="2538" w:name="Tc_WqFYI1FA5UCKhNAdDXkDgA_2_17"/>
      <w:bookmarkStart w:id="2539" w:name="Tc_4Pb8hH-fW0eek92PqoBehQ_2_14"/>
      <w:bookmarkStart w:id="2540" w:name="Tc_lTkzSqR4IUyWXB1dbEyehA_2_11"/>
      <w:bookmarkStart w:id="2541" w:name="Tc_BgOdKwaej0WWaiOxjeCVcQ_2_8"/>
      <w:bookmarkStart w:id="2542" w:name="Tc_Ob2NLpcuNkWCzjTCoGhivg_2_5"/>
      <w:bookmarkStart w:id="2543" w:name="Tc_0SA9aHr0lkOiVoqj2HynHg_2_2"/>
      <w:bookmarkStart w:id="2544" w:name="Tc_ytiFaKRC9kKIlQymJSQOaw_2_0"/>
      <w:bookmarkStart w:id="2545" w:name="Tc_IkYUGRmmmUOs7xxNZ-aNpQ_1_11"/>
      <w:bookmarkStart w:id="2546" w:name="Tc_AMFuGsXTGkeBuBs_PEjdmg_1_2"/>
      <w:bookmarkStart w:id="2547" w:name="Tc_v6OnHk36Jk6ADA2VhIFcBQ_5_5"/>
      <w:bookmarkStart w:id="2548" w:name="Tc_JKFsVLfaTUKikpQuQxY_xw_5_2"/>
      <w:bookmarkStart w:id="2549" w:name="Tc_7t71rmL5_EuiYbBijL9L8Q_5_0"/>
      <w:bookmarkStart w:id="2550" w:name="Tc_eWzKfBvxO02yljeic9z7Ow_4_0"/>
      <w:bookmarkStart w:id="2551" w:name="Tc_m9dWHaVYOUqErQROYlsj2w_3_5"/>
      <w:bookmarkStart w:id="2552" w:name="Tc_6bqj2qkxXEqwqI435_yKWA_3_2"/>
      <w:bookmarkStart w:id="2553" w:name="Tc_BrLvtCeejEyZI4UnRpiJdw_3_0"/>
      <w:bookmarkStart w:id="2554" w:name="Tc_Chax9lVHWES0M07OuMofsw_2_5"/>
      <w:bookmarkStart w:id="2555" w:name="Tc_8JUD5kIjf0aZGKn_NUooNg_2_2"/>
      <w:bookmarkStart w:id="2556" w:name="Tc_jX4uEZMA506d2ZS5yS9U8g_2_0"/>
      <w:bookmarkStart w:id="2557" w:name="Tc_fZl4eC2tEESEG5wZlat8Og_1_5"/>
      <w:bookmarkStart w:id="2558" w:name="Tc_AbxhM4efB0aSfnlY0CiSeA_1_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r>
        <w:rPr>
          <w:rFonts w:ascii="Times New Roman;Times;serif" w:hAnsi="Times New Roman;Times;serif"/>
          <w:b/>
          <w:sz w:val="20"/>
        </w:rPr>
        <w:t>NOTE 5 Goodwill and Other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carrying amount of goodwill, by segment, as of March 31, 2024 and December 31, 2023:</w:t>
      </w:r>
    </w:p>
    <w:p>
      <w:pPr>
        <w:pStyle w:val="TextBody"/>
        <w:bidi w:val="0"/>
        <w:spacing w:before="0" w:after="0"/>
        <w:ind w:left="0" w:right="0" w:hanging="0"/>
        <w:jc w:val="left"/>
        <w:rPr/>
      </w:pPr>
      <w:r>
        <w:rPr/>
        <w:t>​</w:t>
      </w:r>
    </w:p>
    <w:tbl>
      <w:tblPr>
        <w:tblW w:w="5063" w:type="dxa"/>
        <w:jc w:val="left"/>
        <w:tblInd w:w="0" w:type="dxa"/>
        <w:tblLayout w:type="fixed"/>
        <w:tblCellMar>
          <w:top w:w="0" w:type="dxa"/>
          <w:left w:w="0" w:type="dxa"/>
          <w:bottom w:w="0" w:type="dxa"/>
          <w:right w:w="0" w:type="dxa"/>
        </w:tblCellMar>
      </w:tblPr>
      <w:tblGrid>
        <w:gridCol w:w="2326"/>
        <w:gridCol w:w="326"/>
        <w:gridCol w:w="221"/>
        <w:gridCol w:w="679"/>
        <w:gridCol w:w="326"/>
        <w:gridCol w:w="257"/>
        <w:gridCol w:w="928"/>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477010" cy="175260"/>
                      <wp:effectExtent l="0" t="0" r="0" b="0"/>
                      <wp:wrapNone/>
                      <wp:docPr id="311" name="Frame311"/>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40335" cy="175260"/>
                      <wp:effectExtent l="0" t="0" r="0" b="0"/>
                      <wp:wrapNone/>
                      <wp:docPr id="313" name="Frame31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31165" cy="175260"/>
                      <wp:effectExtent l="0" t="0" r="0" b="0"/>
                      <wp:wrapNone/>
                      <wp:docPr id="314" name="Frame314"/>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5"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63195" cy="175260"/>
                      <wp:effectExtent l="0" t="0" r="0" b="0"/>
                      <wp:wrapNone/>
                      <wp:docPr id="316" name="Frame316"/>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89280" cy="175260"/>
                      <wp:effectExtent l="0" t="0" r="0" b="0"/>
                      <wp:wrapNone/>
                      <wp:docPr id="317" name="Frame317"/>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Banking</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35,260</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35,260</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Retirement and benefit services</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11,523</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11,523</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46,783</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46,783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Goodwill is evaluated for impairment on an annual basis, at a minimum, and more frequently when the economic environment warrants. The Company determined that there was no goodwill impairment as of March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gross carrying amount and accumulated amortization for each type of identifiable intangible asset, as of March 31, 2024 and December 31, 2023,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6"/>
        <w:gridCol w:w="326"/>
        <w:gridCol w:w="284"/>
        <w:gridCol w:w="872"/>
        <w:gridCol w:w="326"/>
        <w:gridCol w:w="322"/>
        <w:gridCol w:w="1088"/>
        <w:gridCol w:w="326"/>
        <w:gridCol w:w="196"/>
        <w:gridCol w:w="601"/>
        <w:gridCol w:w="326"/>
        <w:gridCol w:w="284"/>
        <w:gridCol w:w="872"/>
        <w:gridCol w:w="326"/>
        <w:gridCol w:w="322"/>
        <w:gridCol w:w="1088"/>
        <w:gridCol w:w="326"/>
        <w:gridCol w:w="196"/>
        <w:gridCol w:w="708"/>
      </w:tblGrid>
      <w:tr>
        <w:trPr/>
        <w:tc>
          <w:tcPr>
            <w:tcW w:w="1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8"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80340" cy="175260"/>
                      <wp:effectExtent l="0" t="0" r="0" b="0"/>
                      <wp:wrapNone/>
                      <wp:docPr id="319" name="Frame31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53720" cy="175260"/>
                      <wp:effectExtent l="0" t="0" r="0" b="0"/>
                      <wp:wrapNone/>
                      <wp:docPr id="320" name="Frame320"/>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4470" cy="175260"/>
                      <wp:effectExtent l="0" t="0" r="0" b="0"/>
                      <wp:wrapNone/>
                      <wp:docPr id="322" name="Frame322"/>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0880" cy="175260"/>
                      <wp:effectExtent l="0" t="0" r="0" b="0"/>
                      <wp:wrapNone/>
                      <wp:docPr id="323" name="Frame323"/>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24460" cy="175260"/>
                      <wp:effectExtent l="0" t="0" r="0" b="0"/>
                      <wp:wrapNone/>
                      <wp:docPr id="325" name="Frame3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81635" cy="175260"/>
                      <wp:effectExtent l="0" t="0" r="0" b="0"/>
                      <wp:wrapNone/>
                      <wp:docPr id="326" name="Frame32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80340" cy="175260"/>
                      <wp:effectExtent l="0" t="0" r="0" b="0"/>
                      <wp:wrapNone/>
                      <wp:docPr id="328" name="Frame32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53720" cy="175260"/>
                      <wp:effectExtent l="0" t="0" r="0" b="0"/>
                      <wp:wrapNone/>
                      <wp:docPr id="329" name="Frame329"/>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4470" cy="175260"/>
                      <wp:effectExtent l="0" t="0" r="0" b="0"/>
                      <wp:wrapNone/>
                      <wp:docPr id="331" name="Frame331"/>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0880" cy="175260"/>
                      <wp:effectExtent l="0" t="0" r="0" b="0"/>
                      <wp:wrapNone/>
                      <wp:docPr id="332" name="Frame332"/>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24460" cy="175260"/>
                      <wp:effectExtent l="0" t="0" r="0" b="0"/>
                      <wp:wrapNone/>
                      <wp:docPr id="334" name="Frame3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49580" cy="175260"/>
                      <wp:effectExtent l="0" t="0" r="0" b="0"/>
                      <wp:wrapNone/>
                      <wp:docPr id="335" name="Frame335"/>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1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1"/>
              <w:ind w:left="0" w:right="0" w:hanging="0"/>
              <w:jc w:val="left"/>
              <w:rPr/>
            </w:pPr>
            <w:r>
              <w:rPr/>
              <w:t>​</w:t>
            </w:r>
          </w:p>
        </w:tc>
        <w:tc>
          <w:tcPr>
            <w:tcW w:w="412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41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326" w:type="dxa"/>
            <w:tcBorders/>
            <w:vAlign w:val="center"/>
          </w:tcPr>
          <w:p>
            <w:pPr>
              <w:pStyle w:val="TableContents"/>
              <w:bidi w:val="0"/>
              <w:spacing w:before="0" w:after="1"/>
              <w:ind w:left="0" w:right="0" w:hanging="0"/>
              <w:jc w:val="left"/>
              <w:rPr/>
            </w:pPr>
            <w:r>
              <w:rPr/>
              <w:t>    </w:t>
            </w:r>
          </w:p>
        </w:tc>
        <w:tc>
          <w:tcPr>
            <w:tcW w:w="14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326" w:type="dxa"/>
            <w:tcBorders/>
            <w:vAlign w:val="center"/>
          </w:tcPr>
          <w:p>
            <w:pPr>
              <w:pStyle w:val="TableContents"/>
              <w:bidi w:val="0"/>
              <w:spacing w:before="0" w:after="1"/>
              <w:ind w:left="0" w:right="0" w:hanging="0"/>
              <w:jc w:val="left"/>
              <w:rPr/>
            </w:pPr>
            <w:r>
              <w:rPr/>
              <w:t>    </w:t>
            </w:r>
          </w:p>
        </w:tc>
        <w:tc>
          <w:tcPr>
            <w:tcW w:w="14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326" w:type="dxa"/>
            <w:tcBorders/>
            <w:vAlign w:val="center"/>
          </w:tcPr>
          <w:p>
            <w:pPr>
              <w:pStyle w:val="TableContents"/>
              <w:bidi w:val="0"/>
              <w:spacing w:before="0" w:after="1"/>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Identifiable customer intangibles</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41,423</w:t>
            </w:r>
          </w:p>
        </w:tc>
        <w:tc>
          <w:tcPr>
            <w:tcW w:w="326" w:type="dxa"/>
            <w:tcBorders/>
            <w:shd w:fill="CCEEFF" w:val="clear"/>
            <w:vAlign w:val="center"/>
          </w:tcPr>
          <w:p>
            <w:pPr>
              <w:pStyle w:val="TableContents"/>
              <w:bidi w:val="0"/>
              <w:spacing w:before="0" w:after="1"/>
              <w:ind w:left="0" w:right="0" w:hanging="0"/>
              <w:jc w:val="left"/>
              <w:rPr/>
            </w:pPr>
            <w:r>
              <w:rPr/>
              <w:t>​</w:t>
            </w:r>
          </w:p>
        </w:tc>
        <w:tc>
          <w:tcPr>
            <w:tcW w:w="3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(30,967)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10,456</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41,423</w:t>
            </w:r>
          </w:p>
        </w:tc>
        <w:tc>
          <w:tcPr>
            <w:tcW w:w="326" w:type="dxa"/>
            <w:tcBorders/>
            <w:shd w:fill="CCEEFF" w:val="clear"/>
            <w:vAlign w:val="center"/>
          </w:tcPr>
          <w:p>
            <w:pPr>
              <w:pStyle w:val="TableContents"/>
              <w:bidi w:val="0"/>
              <w:spacing w:before="0" w:after="1"/>
              <w:ind w:left="0" w:right="0" w:hanging="0"/>
              <w:jc w:val="left"/>
              <w:rPr/>
            </w:pPr>
            <w:r>
              <w:rPr/>
              <w:t>​</w:t>
            </w:r>
          </w:p>
        </w:tc>
        <w:tc>
          <w:tcPr>
            <w:tcW w:w="3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11,464</w:t>
            </w:r>
          </w:p>
        </w:tc>
      </w:tr>
      <w:tr>
        <w:trPr/>
        <w:tc>
          <w:tcPr>
            <w:tcW w:w="14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Core deposit intangible assets</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7,592</w:t>
            </w:r>
          </w:p>
        </w:tc>
        <w:tc>
          <w:tcPr>
            <w:tcW w:w="326" w:type="dxa"/>
            <w:tcBorders/>
            <w:vAlign w:val="center"/>
          </w:tcPr>
          <w:p>
            <w:pPr>
              <w:pStyle w:val="TableContents"/>
              <w:bidi w:val="0"/>
              <w:spacing w:before="0" w:after="1"/>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5,378</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7,592</w:t>
            </w:r>
          </w:p>
        </w:tc>
        <w:tc>
          <w:tcPr>
            <w:tcW w:w="326" w:type="dxa"/>
            <w:tcBorders/>
            <w:vAlign w:val="center"/>
          </w:tcPr>
          <w:p>
            <w:pPr>
              <w:pStyle w:val="TableContents"/>
              <w:bidi w:val="0"/>
              <w:spacing w:before="0" w:after="1"/>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5,694</w:t>
            </w:r>
          </w:p>
        </w:tc>
      </w:tr>
      <w:tr>
        <w:trPr/>
        <w:tc>
          <w:tcPr>
            <w:tcW w:w="14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49,015</w:t>
            </w:r>
          </w:p>
        </w:tc>
        <w:tc>
          <w:tcPr>
            <w:tcW w:w="326" w:type="dxa"/>
            <w:tcBorders/>
            <w:shd w:fill="CCEEFF" w:val="clear"/>
            <w:vAlign w:val="center"/>
          </w:tcPr>
          <w:p>
            <w:pPr>
              <w:pStyle w:val="TableContents"/>
              <w:bidi w:val="0"/>
              <w:spacing w:before="0" w:after="1"/>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(33,181)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15,834</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49,015</w:t>
            </w:r>
          </w:p>
        </w:tc>
        <w:tc>
          <w:tcPr>
            <w:tcW w:w="326" w:type="dxa"/>
            <w:tcBorders/>
            <w:shd w:fill="CCEEFF" w:val="clear"/>
            <w:vAlign w:val="center"/>
          </w:tcPr>
          <w:p>
            <w:pPr>
              <w:pStyle w:val="TableContents"/>
              <w:bidi w:val="0"/>
              <w:spacing w:before="0" w:after="1"/>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(31,857)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17,158</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Amortization of intangible assets was $1.3 million for both the three months ended March 31, 2024 and 2023. </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Loan Servicing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Loans serviced for others are not included in the accompanying consolidated balance sheets. The unpaid principal balances of loans serviced for others totaled $185.7 million and $190.0 million as of March 31, 2024 and December 31, 2023, respectively. Servicing loans for others generally consists of collecting mortgage payments, maintaining escrow accounts, disbursing payments to investors and collection and foreclosure processing. Loan servicing income is recorded on an accrual basis and includes servicing fees from investors and certain charges collected from borrowers, such as late payment fees, and is net of fair value adjustments to capitalized mortgage servicing rights.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2559" w:name="Tc_81RihkLrDUe5r1f-a28RdQ_6_7"/>
      <w:bookmarkStart w:id="2560" w:name="Tc_aEiTbSK4kEeYSYd5aR_JNQ_6_4"/>
      <w:bookmarkStart w:id="2561" w:name="Tc_s8hno69m0Uu5T1JebH2RVQ_6_0"/>
      <w:bookmarkStart w:id="2562" w:name="Tc_xKDuhdiKy0yXB1suPlg00A_5_7"/>
      <w:bookmarkStart w:id="2563" w:name="Tc_6hDYjCGdgUKxMdRHE8kl-g_5_4"/>
      <w:bookmarkStart w:id="2564" w:name="Tc_DegDXCxfgk62D3muqlR0pA_5_0"/>
      <w:bookmarkStart w:id="2565" w:name="Tc_lqum82T-X0uGdv0ORQL-_Q_4_0"/>
      <w:bookmarkStart w:id="2566" w:name="Tc_lfv3wmeBY0uj6fhofRrIhQ_3_5"/>
      <w:bookmarkStart w:id="2567" w:name="Tc__4HbFRcEo0iB9C9CeqO84A_3_2"/>
      <w:bookmarkStart w:id="2568" w:name="Tc_fCtwrQ3j9UirUw1lKI7spA_3_0"/>
      <w:bookmarkStart w:id="2569" w:name="Tc_JgfYdNHtFkG_8ux_J5dk4w_2_5"/>
      <w:bookmarkStart w:id="2570" w:name="Tc_suR9bNbZpkqgEOP7eHZ6og_2_2"/>
      <w:bookmarkStart w:id="2571" w:name="Tc_CnM34QFl50yHR01kcKGOfg_2_0"/>
      <w:bookmarkStart w:id="2572" w:name="Tc_HpJOHV1pIUu6fYSCB0ZepQ_1_5"/>
      <w:bookmarkStart w:id="2573" w:name="Tc_GW_i_FYrek6GDOR5Edvwiw_1_2"/>
      <w:bookmarkStart w:id="2574" w:name="Tc_60xWTL6GDUyyiKDFzsIJzA_12_5"/>
      <w:bookmarkStart w:id="2575" w:name="Tc_8jtm9F0ysUKuhxWwe9tIVA_12_2"/>
      <w:bookmarkStart w:id="2576" w:name="Tc_oJuWjzmeuk-7vBEG50cr9A_12_0"/>
      <w:bookmarkStart w:id="2577" w:name="Tc_QAQ6QoXpsU-DVvFi8tVDzw_11_5"/>
      <w:bookmarkStart w:id="2578" w:name="Tc_Q1Cv46mJWkqukcAbpXceRg_11_2"/>
      <w:bookmarkStart w:id="2579" w:name="Tc_jA6lY6_9hU2Mx_u4uLRpQw_11_0"/>
      <w:bookmarkStart w:id="2580" w:name="Tc_NPLg59x_C0abMICUqqDBNg_10_5"/>
      <w:bookmarkStart w:id="2581" w:name="Tc_OfQ1K_4eRUq6ZLcVsb4tRQ_10_2"/>
      <w:bookmarkStart w:id="2582" w:name="Tc_MM71du1aWUeBPaX3F21lGA_10_0"/>
      <w:bookmarkStart w:id="2583" w:name="Tc_UZ_BqG-huEadtq6XM-MjPA_9_0"/>
      <w:bookmarkStart w:id="2584" w:name="Tc_eIcna93zWUauGJpBpJl31Q_8_0"/>
      <w:bookmarkStart w:id="2585" w:name="Tc_S9DDJVYWeUWG7JqeRSt_XQ_7_0"/>
      <w:bookmarkStart w:id="2586" w:name="Tc_r8_E0eMik0qX5SJRSUsFNQ_6_0"/>
      <w:bookmarkStart w:id="2587" w:name="Tc_SqiHqjhZ9EyhhCs0Uf0y2g_5_5"/>
      <w:bookmarkStart w:id="2588" w:name="Tc_nTLDbp_qUEiTX1QBM7gZ5g_5_2"/>
      <w:bookmarkStart w:id="2589" w:name="Tc_3hVK7THsPECs6rnn1xfV0w_5_0"/>
      <w:bookmarkStart w:id="2590" w:name="Tc_bwa2-jAjXEKI6HIaQySYpg_4_0"/>
      <w:bookmarkStart w:id="2591" w:name="Tc_I0p9rRifxUedTz2-G7C5Gw_3_5"/>
      <w:bookmarkStart w:id="2592" w:name="Tc_apr0l5oRIEW9OCFkfkgiiw_3_2"/>
      <w:bookmarkStart w:id="2593" w:name="Tc_sSOsqf4KiUqxHsuv8XitYQ_3_0"/>
      <w:bookmarkStart w:id="2594" w:name="Tc_Y7ZKMlkNrEefC_87KiM3EQ_2_2"/>
      <w:bookmarkStart w:id="2595" w:name="Tc_J2AbVqOYIUmgzs8ey5w-ig_1_2"/>
      <w:bookmarkStart w:id="2596" w:name="_8c2c6b97_2d25_4202_8435_d2afbfef3680"/>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r>
        <w:rPr>
          <w:rFonts w:ascii="Times New Roman;Times;serif" w:hAnsi="Times New Roman;Times;serif"/>
          <w:sz w:val="20"/>
        </w:rPr>
        <w:t>The following table summarizes the Company’s activity related to servicing rights for the three months ended March 31, 2024 and 2023:</w:t>
      </w:r>
    </w:p>
    <w:p>
      <w:pPr>
        <w:pStyle w:val="TextBody"/>
        <w:bidi w:val="0"/>
        <w:spacing w:before="0" w:after="0"/>
        <w:ind w:left="0" w:right="0" w:hanging="0"/>
        <w:jc w:val="left"/>
        <w:rPr/>
      </w:pPr>
      <w:r>
        <w:rPr/>
        <w:t>​</w:t>
      </w:r>
    </w:p>
    <w:tbl>
      <w:tblPr>
        <w:tblW w:w="5592" w:type="dxa"/>
        <w:jc w:val="left"/>
        <w:tblInd w:w="0" w:type="dxa"/>
        <w:tblLayout w:type="fixed"/>
        <w:tblCellMar>
          <w:top w:w="0" w:type="dxa"/>
          <w:left w:w="0" w:type="dxa"/>
          <w:bottom w:w="0" w:type="dxa"/>
          <w:right w:w="0" w:type="dxa"/>
        </w:tblCellMar>
      </w:tblPr>
      <w:tblGrid>
        <w:gridCol w:w="3421"/>
        <w:gridCol w:w="326"/>
        <w:gridCol w:w="196"/>
        <w:gridCol w:w="511"/>
        <w:gridCol w:w="326"/>
        <w:gridCol w:w="196"/>
        <w:gridCol w:w="616"/>
      </w:tblGrid>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24460" cy="175260"/>
                      <wp:effectExtent l="0" t="0" r="0" b="0"/>
                      <wp:wrapNone/>
                      <wp:docPr id="337" name="Frame3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24485" cy="175260"/>
                      <wp:effectExtent l="0" t="0" r="0" b="0"/>
                      <wp:wrapNone/>
                      <wp:docPr id="338" name="Frame33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24460" cy="175260"/>
                      <wp:effectExtent l="0" t="0" r="0" b="0"/>
                      <wp:wrapNone/>
                      <wp:docPr id="340" name="Frame3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91160" cy="175260"/>
                      <wp:effectExtent l="0" t="0" r="0" b="0"/>
                      <wp:wrapNone/>
                      <wp:docPr id="341" name="Frame34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Servicing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2,643</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Additions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w:t>
            </w:r>
          </w:p>
        </w:tc>
      </w:tr>
      <w:tr>
        <w:trPr/>
        <w:tc>
          <w:tcPr>
            <w:tcW w:w="3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Amortization </w:t>
            </w: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end of year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2,721</w:t>
            </w:r>
          </w:p>
        </w:tc>
      </w:tr>
      <w:tr>
        <w:trPr/>
        <w:tc>
          <w:tcPr>
            <w:tcW w:w="3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Less valuation reserve </w:t>
            </w: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end of year, net of valuation reserve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2,421</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Fair value,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2,314</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Fair value, end of year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2,236</w:t>
            </w:r>
          </w:p>
        </w:tc>
      </w:tr>
    </w:tbl>
    <w:tbl>
      <w:tblPr>
        <w:tblW w:w="8297" w:type="dxa"/>
        <w:jc w:val="left"/>
        <w:tblInd w:w="0" w:type="dxa"/>
        <w:tblLayout w:type="fixed"/>
        <w:tblCellMar>
          <w:top w:w="0" w:type="dxa"/>
          <w:left w:w="0" w:type="dxa"/>
          <w:bottom w:w="0" w:type="dxa"/>
          <w:right w:w="0" w:type="dxa"/>
        </w:tblCellMar>
      </w:tblPr>
      <w:tblGrid>
        <w:gridCol w:w="331"/>
        <w:gridCol w:w="796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79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Associated income was reported within mortgage banking income, net on the consolidated statements of income.</w:t>
            </w:r>
          </w:p>
        </w:tc>
      </w:tr>
    </w:tbl>
    <w:tbl>
      <w:tblPr>
        <w:tblW w:w="8852" w:type="dxa"/>
        <w:jc w:val="left"/>
        <w:tblInd w:w="0" w:type="dxa"/>
        <w:tblLayout w:type="fixed"/>
        <w:tblCellMar>
          <w:top w:w="0" w:type="dxa"/>
          <w:left w:w="0" w:type="dxa"/>
          <w:bottom w:w="0" w:type="dxa"/>
          <w:right w:w="0" w:type="dxa"/>
        </w:tblCellMar>
      </w:tblPr>
      <w:tblGrid>
        <w:gridCol w:w="331"/>
        <w:gridCol w:w="852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85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Associated amortization expense was reported within other noninterest income on the consolidated statements of income.</w:t>
            </w:r>
          </w:p>
        </w:tc>
      </w:tr>
    </w:tbl>
    <w:tbl>
      <w:tblPr>
        <w:tblW w:w="9032" w:type="dxa"/>
        <w:jc w:val="left"/>
        <w:tblInd w:w="0" w:type="dxa"/>
        <w:tblLayout w:type="fixed"/>
        <w:tblCellMar>
          <w:top w:w="0" w:type="dxa"/>
          <w:left w:w="0" w:type="dxa"/>
          <w:bottom w:w="0" w:type="dxa"/>
          <w:right w:w="0" w:type="dxa"/>
        </w:tblCellMar>
      </w:tblPr>
      <w:tblGrid>
        <w:gridCol w:w="331"/>
        <w:gridCol w:w="870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8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Associated valuation reserve was reported within mortgage and lending expenses on the consolidated statements of income.</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key data and assumptions used in the valuation of servicing rights as of March 31, 2024 and December 31, 2023. Increases or decreases in any one of these assumptions would result in lower or higher fair value measurements.</w:t>
      </w:r>
    </w:p>
    <w:p>
      <w:pPr>
        <w:pStyle w:val="TextBody"/>
        <w:bidi w:val="0"/>
        <w:spacing w:before="0" w:after="0"/>
        <w:ind w:left="0" w:right="0" w:hanging="0"/>
        <w:jc w:val="left"/>
        <w:rPr/>
      </w:pPr>
      <w:r>
        <w:rPr/>
        <w:t>​</w:t>
      </w:r>
    </w:p>
    <w:tbl>
      <w:tblPr>
        <w:tblW w:w="5984" w:type="dxa"/>
        <w:jc w:val="left"/>
        <w:tblInd w:w="0" w:type="dxa"/>
        <w:tblLayout w:type="fixed"/>
        <w:tblCellMar>
          <w:top w:w="0" w:type="dxa"/>
          <w:left w:w="0" w:type="dxa"/>
          <w:bottom w:w="0" w:type="dxa"/>
          <w:right w:w="0" w:type="dxa"/>
        </w:tblCellMar>
      </w:tblPr>
      <w:tblGrid>
        <w:gridCol w:w="2971"/>
        <w:gridCol w:w="326"/>
        <w:gridCol w:w="248"/>
        <w:gridCol w:w="652"/>
        <w:gridCol w:w="346"/>
        <w:gridCol w:w="315"/>
        <w:gridCol w:w="825"/>
        <w:gridCol w:w="30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886585" cy="175260"/>
                      <wp:effectExtent l="0" t="0" r="0" b="0"/>
                      <wp:wrapNone/>
                      <wp:docPr id="342" name="Frame342"/>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57480" cy="175260"/>
                      <wp:effectExtent l="0" t="0" r="0" b="0"/>
                      <wp:wrapNone/>
                      <wp:docPr id="344" name="Frame344"/>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14020" cy="175260"/>
                      <wp:effectExtent l="0" t="0" r="0" b="0"/>
                      <wp:wrapNone/>
                      <wp:docPr id="345" name="Frame345"/>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0025" cy="175260"/>
                      <wp:effectExtent l="0" t="0" r="0" b="0"/>
                      <wp:wrapNone/>
                      <wp:docPr id="347" name="Frame347"/>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23875" cy="175260"/>
                      <wp:effectExtent l="0" t="0" r="0" b="0"/>
                      <wp:wrapNone/>
                      <wp:docPr id="348" name="Frame348"/>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91135" cy="175260"/>
                      <wp:effectExtent l="0" t="0" r="0" b="0"/>
                      <wp:wrapNone/>
                      <wp:docPr id="349" name="Frame34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left"/>
              <w:rPr/>
            </w:pPr>
            <w:r>
              <w:rPr/>
              <w:t>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01" w:type="dxa"/>
            <w:tcBorders/>
            <w:vAlign w:val="center"/>
          </w:tcPr>
          <w:p>
            <w:pPr>
              <w:pStyle w:val="TableContents"/>
              <w:bidi w:val="0"/>
              <w:spacing w:before="0" w:after="1"/>
              <w:ind w:left="0" w:right="0" w:hanging="0"/>
              <w:jc w:val="left"/>
              <w:rPr/>
            </w:pPr>
            <w:r>
              <w:rPr/>
              <w:t> </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01" w:type="dxa"/>
            <w:tcBorders/>
            <w:vAlign w:val="center"/>
          </w:tcPr>
          <w:p>
            <w:pPr>
              <w:pStyle w:val="TableContents"/>
              <w:bidi w:val="0"/>
              <w:spacing w:before="0" w:after="1"/>
              <w:ind w:left="0" w:right="0" w:hanging="0"/>
              <w:jc w:val="left"/>
              <w:rPr/>
            </w:pPr>
            <w:r>
              <w:rPr/>
              <w:t>​</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Fair value of servicing rights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2,083</w:t>
            </w:r>
          </w:p>
        </w:tc>
        <w:tc>
          <w:tcPr>
            <w:tcW w:w="34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2,062</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Weighted-average remaining term, years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6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w:t>
            </w:r>
          </w:p>
        </w:tc>
        <w:tc>
          <w:tcPr>
            <w:tcW w:w="34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w:t>
            </w:r>
          </w:p>
        </w:tc>
        <w:tc>
          <w:tcPr>
            <w:tcW w:w="301" w:type="dxa"/>
            <w:tcBorders/>
            <w:vAlign w:val="center"/>
          </w:tcPr>
          <w:p>
            <w:pPr>
              <w:pStyle w:val="TableContents"/>
              <w:bidi w:val="0"/>
              <w:spacing w:before="0" w:after="1"/>
              <w:ind w:left="0" w:right="0" w:hanging="0"/>
              <w:jc w:val="left"/>
              <w:rPr/>
            </w:pPr>
            <w:r>
              <w:rPr/>
              <w:t>​</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Prepayment speeds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15" w:type="dxa"/>
            <w:tcBorders/>
            <w:shd w:fill="CCEEFF" w:val="clear"/>
            <w:vAlign w:val="center"/>
          </w:tcPr>
          <w:p>
            <w:pPr>
              <w:pStyle w:val="TableContents"/>
              <w:bidi w:val="0"/>
              <w:spacing w:before="0" w:after="1"/>
              <w:ind w:left="0" w:right="0" w:hanging="0"/>
              <w:jc w:val="left"/>
              <w:rPr/>
            </w:pPr>
            <w:r>
              <w:rPr/>
              <w:t> </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Discount rate</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6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315"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lease is defined as a contract, or part of a contract, that conveys the right to control the use of an identified property, plant or equipment for a period of time in exchange for consideration. Substantially all of the leases in which the Company is the lessee are comprised of real property for offices and office equipment rentals with terms extending through 2037. Portions of certain properties are subleased for terms extending through 2024. Substantially all of the Company’s leases are classified as operating leases. The Company has no existing finance leases.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2597" w:name="Tc_oUCzuS-CU0OSA5WchZWxug_15_0"/>
      <w:bookmarkStart w:id="2598" w:name="Tc_Dl8zDzjU8kWQgqcVnfjnNg_14_5"/>
      <w:bookmarkStart w:id="2599" w:name="Tc_sMg0ra-aIES5gsrVoCRKrQ_14_2"/>
      <w:bookmarkStart w:id="2600" w:name="Tc_Rg_VHRLk6Eudp770als2jA_14_0"/>
      <w:bookmarkStart w:id="2601" w:name="Tc_J6Y6l66eBEmXmD9M9AuZ2Q_13_0"/>
      <w:bookmarkStart w:id="2602" w:name="Tc_-QGTFGqkpkq2TZYB3k9QcA_12_5"/>
      <w:bookmarkStart w:id="2603" w:name="Tc_FyHtaHQlFUazQnsr5o4n8Q_12_2"/>
      <w:bookmarkStart w:id="2604" w:name="Tc_l-NPNBTrzkeGXDpnSFkVhQ_12_0"/>
      <w:bookmarkStart w:id="2605" w:name="Tc_nF5uwXjkV0OZOj38sBkE8g_11_0"/>
      <w:bookmarkStart w:id="2606" w:name="Tc_OBHS3uAvakakEzUv3dpYKg_10_6"/>
      <w:bookmarkStart w:id="2607" w:name="Tc_2jCjxI0fLUuGPH5-NdcZCQ_10_3"/>
      <w:bookmarkStart w:id="2608" w:name="Tc_YGbQM_vCKkGDunT5jum8Dg_10_0"/>
      <w:bookmarkStart w:id="2609" w:name="Tc_WZ__hdGYzUCKfZ8KQhcjww_9_6"/>
      <w:bookmarkStart w:id="2610" w:name="Tc_5VjFuyioJkqil2XQq-KZdQ_9_3"/>
      <w:bookmarkStart w:id="2611" w:name="Tc_epImDYIS2kSNNTkpmQ3Cng_9_0"/>
      <w:bookmarkStart w:id="2612" w:name="Tc_-YQxXKzEKESyeiEc5SDAEw_8_0"/>
      <w:bookmarkStart w:id="2613" w:name="Tc_sMGC_Tl4Rk2VAnwcQZu_PQ_7_0"/>
      <w:bookmarkStart w:id="2614" w:name="Tc_XVL9q1Qjx0-hZXMs86WaUg_6_0"/>
      <w:bookmarkStart w:id="2615" w:name="Tc_CSkPzt7SIkm4kbo8AM4yzw_5_5"/>
      <w:bookmarkStart w:id="2616" w:name="Tc_yBHpRz_VbU2xpCGxWN_mvA_5_2"/>
      <w:bookmarkStart w:id="2617" w:name="Tc_1KmsmkDzJk6lVcKe-vw7HQ_5_0"/>
      <w:bookmarkStart w:id="2618" w:name="Tc_Xgco6161p0GkrjpYJtrinw_4_0"/>
      <w:bookmarkStart w:id="2619" w:name="Tc_h2VCF4i2LU6rhnHCgIYYPA_3_5"/>
      <w:bookmarkStart w:id="2620" w:name="Tc_Dpg6Ho5p-U6dtoXxQPDiig_3_2"/>
      <w:bookmarkStart w:id="2621" w:name="Tc_ie2ldSAnx0KGkgjgG6DS0A_3_0"/>
      <w:bookmarkStart w:id="2622" w:name="Tc_33n_tQYMbk-98bX27RV-dw_2_2"/>
      <w:bookmarkStart w:id="2623" w:name="Tc_NZKeXLwxK0eS1_-CP0y3Rw_1_2"/>
      <w:bookmarkStart w:id="2624" w:name="Tc_M2OuTV5iUEi0eos4FPafwQ_6_5"/>
      <w:bookmarkStart w:id="2625" w:name="Tc_0IqZbt4TSEuw8UlZm5R5og_6_3"/>
      <w:bookmarkStart w:id="2626" w:name="Tc_cQu9PEPf_U-yLcE7AReTng_6_0"/>
      <w:bookmarkStart w:id="2627" w:name="Tc_FParr6AzIEmBhXgCM3bvJw_5_0"/>
      <w:bookmarkStart w:id="2628" w:name="Tc_Xn00TipJfk-xRPe8Xok0Tg_4_0"/>
      <w:bookmarkStart w:id="2629" w:name="Tc_u47ZXIMkOUq-pDvQmGLY0Q_3_0"/>
      <w:bookmarkStart w:id="2630" w:name="Tc_zr3PsgfvM0-3aQeOH4_OHw_2_4"/>
      <w:bookmarkStart w:id="2631" w:name="Tc_lxXWxXaBJ0alpdiLrCkkBg_2_2"/>
      <w:bookmarkStart w:id="2632" w:name="Tc_wqar3QCHtU-ynrZBRzeARQ_1_4"/>
      <w:bookmarkStart w:id="2633" w:name="Tc_A31WjAqxE0KvypgLQS73iQ_1_2"/>
      <w:bookmarkStart w:id="2634" w:name="Tc_sFrGMzP480CtNLVzThJAgA_6_7"/>
      <w:bookmarkStart w:id="2635" w:name="Tc_CB6hwV0LTkauq3BLLp9J3Q_6_4"/>
      <w:bookmarkStart w:id="2636" w:name="Tc_U0cHLcXwFUuaQHxL3BeoQg_6_2"/>
      <w:bookmarkStart w:id="2637" w:name="Tc_pstSB9qcFEusBqliC2JIVA_6_0"/>
      <w:bookmarkStart w:id="2638" w:name="Tc_VtL_DsPuIUysEoNMe-riEA_5_0"/>
      <w:bookmarkStart w:id="2639" w:name="Tc_01AaLIc5FEKddwj72EqZ6A_4_7"/>
      <w:bookmarkStart w:id="2640" w:name="Tc_z46nqNTRSkqWonXXt950_w_4_4"/>
      <w:bookmarkStart w:id="2641" w:name="Tc_burTnii0TU6bx3LNZT5onw_4_2"/>
      <w:bookmarkStart w:id="2642" w:name="Tc_Eb9cIjVqyUu6guFCU41STQ_4_0"/>
      <w:bookmarkStart w:id="2643" w:name="Tc_g4S7ceOOVEyL0oaiHnVSYA_3_2"/>
      <w:bookmarkStart w:id="2644" w:name="Tc_0lzv7fxm8kWSe09Y_VyJTQ_3_0"/>
      <w:bookmarkStart w:id="2645" w:name="Tc_vsgJ6F32A0ivBqxrINMEQA_2_7"/>
      <w:bookmarkStart w:id="2646" w:name="Tc_2bTweSJRpUuHzX9lK5xRWQ_2_4"/>
      <w:bookmarkStart w:id="2647" w:name="Tc_mWBf2U_S-EKBmMQMg2JfsA_2_0"/>
      <w:bookmarkStart w:id="2648" w:name="Tc_yPZBFkP4u0a_PsX6fnhxBg_1_7"/>
      <w:bookmarkStart w:id="2649" w:name="Tc_MMtYaPhqV0uco1NUZ7TheA_1_4"/>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r>
        <w:rPr>
          <w:rFonts w:ascii="Times New Roman;Times;serif" w:hAnsi="Times New Roman;Times;serif"/>
          <w:sz w:val="20"/>
        </w:rPr>
        <w:t>The Company elected not to include short-term leases (i.e., leases with initial terms of twelve months or less), or equipment leases (deemed immaterial) on the consolidated financial statements. The following table presents the classification of the Company’s right-of-use, or ROU, assets and lease liabilities on the consolidated financial statements as of March 31, 2024 and December 31, 2023:</w:t>
      </w:r>
    </w:p>
    <w:p>
      <w:pPr>
        <w:pStyle w:val="TextBody"/>
        <w:bidi w:val="0"/>
        <w:spacing w:before="0" w:after="0"/>
        <w:ind w:left="0" w:right="0" w:hanging="0"/>
        <w:jc w:val="left"/>
        <w:rPr/>
      </w:pPr>
      <w:r>
        <w:rPr/>
        <w:t>​</w:t>
      </w:r>
    </w:p>
    <w:tbl>
      <w:tblPr>
        <w:tblW w:w="8180" w:type="dxa"/>
        <w:jc w:val="left"/>
        <w:tblInd w:w="0" w:type="dxa"/>
        <w:tblLayout w:type="fixed"/>
        <w:tblCellMar>
          <w:top w:w="0" w:type="dxa"/>
          <w:left w:w="0" w:type="dxa"/>
          <w:bottom w:w="0" w:type="dxa"/>
          <w:right w:w="0" w:type="dxa"/>
        </w:tblCellMar>
      </w:tblPr>
      <w:tblGrid>
        <w:gridCol w:w="2566"/>
        <w:gridCol w:w="326"/>
        <w:gridCol w:w="2551"/>
        <w:gridCol w:w="326"/>
        <w:gridCol w:w="248"/>
        <w:gridCol w:w="652"/>
        <w:gridCol w:w="326"/>
        <w:gridCol w:w="285"/>
        <w:gridCol w:w="900"/>
      </w:tblGrid>
      <w:tr>
        <w:trPr/>
        <w:tc>
          <w:tcPr>
            <w:tcW w:w="25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57480" cy="175260"/>
                      <wp:effectExtent l="0" t="0" r="0" b="0"/>
                      <wp:wrapNone/>
                      <wp:docPr id="352" name="Frame352"/>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14020" cy="175260"/>
                      <wp:effectExtent l="0" t="0" r="0" b="0"/>
                      <wp:wrapNone/>
                      <wp:docPr id="353" name="Frame353"/>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80975" cy="175260"/>
                      <wp:effectExtent l="0" t="0" r="0" b="0"/>
                      <wp:wrapNone/>
                      <wp:docPr id="355" name="Frame35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71500" cy="175260"/>
                      <wp:effectExtent l="0" t="0" r="0" b="0"/>
                      <wp:wrapNone/>
                      <wp:docPr id="356" name="Frame356"/>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5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Classification</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26" w:type="dxa"/>
            <w:tcBorders/>
            <w:vAlign w:val="center"/>
          </w:tcPr>
          <w:p>
            <w:pPr>
              <w:pStyle w:val="TableContents"/>
              <w:bidi w:val="0"/>
              <w:spacing w:before="0" w:after="0"/>
              <w:ind w:left="0" w:right="0" w:hanging="0"/>
              <w:jc w:val="left"/>
              <w:rPr/>
            </w:pPr>
            <w:r>
              <w:rPr/>
              <w:t> </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5,112</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5,436</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55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  </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26" w:type="dxa"/>
            <w:tcBorders/>
            <w:vAlign w:val="center"/>
          </w:tcPr>
          <w:p>
            <w:pPr>
              <w:pStyle w:val="TableContents"/>
              <w:bidi w:val="0"/>
              <w:spacing w:before="0" w:after="0"/>
              <w:ind w:left="0" w:right="0" w:hanging="0"/>
              <w:jc w:val="left"/>
              <w:rPr/>
            </w:pPr>
            <w:r>
              <w:rPr/>
              <w:t> </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5,420</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5,751</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calculated amount of the ROU assets and lease liabilities in the table above are impacted by the length of the lease term and the discount rate used to present value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 asset and lease liability. The Company utilizes its incremental borrowing rate at lease inception, on a collateralized basis, over a similar term for the discount rate. For the Company’s only finance lease, the Company utilized its incremental borrowing rate at lease inception.</w:t>
      </w:r>
    </w:p>
    <w:p>
      <w:pPr>
        <w:pStyle w:val="TextBody"/>
        <w:bidi w:val="0"/>
        <w:spacing w:before="0" w:after="0"/>
        <w:ind w:left="0" w:right="0" w:hanging="0"/>
        <w:jc w:val="left"/>
        <w:rPr/>
      </w:pPr>
      <w:r>
        <w:rPr/>
        <w:t>​</w:t>
      </w:r>
    </w:p>
    <w:tbl>
      <w:tblPr>
        <w:tblW w:w="6626" w:type="dxa"/>
        <w:jc w:val="left"/>
        <w:tblInd w:w="0" w:type="dxa"/>
        <w:tblLayout w:type="fixed"/>
        <w:tblCellMar>
          <w:top w:w="0" w:type="dxa"/>
          <w:left w:w="0" w:type="dxa"/>
          <w:bottom w:w="0" w:type="dxa"/>
          <w:right w:w="0" w:type="dxa"/>
        </w:tblCellMar>
      </w:tblPr>
      <w:tblGrid>
        <w:gridCol w:w="3631"/>
        <w:gridCol w:w="326"/>
        <w:gridCol w:w="901"/>
        <w:gridCol w:w="326"/>
        <w:gridCol w:w="1141"/>
        <w:gridCol w:w="301"/>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305685" cy="175260"/>
                      <wp:effectExtent l="0" t="0" r="0" b="0"/>
                      <wp:wrapNone/>
                      <wp:docPr id="357" name="Frame357"/>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72135" cy="175260"/>
                      <wp:effectExtent l="0" t="0" r="0" b="0"/>
                      <wp:wrapNone/>
                      <wp:docPr id="359" name="Frame35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724535" cy="175260"/>
                      <wp:effectExtent l="0" t="0" r="0" b="0"/>
                      <wp:wrapNone/>
                      <wp:docPr id="361" name="Frame36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91135" cy="175260"/>
                      <wp:effectExtent l="0" t="0" r="0" b="0"/>
                      <wp:wrapNone/>
                      <wp:docPr id="362" name="Frame362"/>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01" w:type="dxa"/>
            <w:tcBorders/>
            <w:vAlign w:val="center"/>
          </w:tcPr>
          <w:p>
            <w:pPr>
              <w:pStyle w:val="TableContents"/>
              <w:bidi w:val="0"/>
              <w:spacing w:before="0" w:after="1"/>
              <w:ind w:left="0" w:right="0" w:hanging="0"/>
              <w:jc w:val="left"/>
              <w:rPr/>
            </w:pPr>
            <w:r>
              <w:rPr/>
              <w:t> </w:t>
            </w:r>
          </w:p>
        </w:tc>
      </w:tr>
      <w:tr>
        <w:trPr/>
        <w:tc>
          <w:tcPr>
            <w:tcW w:w="3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01" w:type="dxa"/>
            <w:tcBorders/>
            <w:vAlign w:val="center"/>
          </w:tcPr>
          <w:p>
            <w:pPr>
              <w:pStyle w:val="TableContents"/>
              <w:bidi w:val="0"/>
              <w:spacing w:before="0" w:after="1"/>
              <w:ind w:left="0" w:right="0" w:hanging="0"/>
              <w:jc w:val="left"/>
              <w:rPr/>
            </w:pPr>
            <w:r>
              <w:rPr/>
              <w:t>​</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Weighted-average remaining lease term, years</w:t>
            </w:r>
          </w:p>
        </w:tc>
        <w:tc>
          <w:tcPr>
            <w:tcW w:w="3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leases</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w:t>
            </w:r>
          </w:p>
        </w:tc>
        <w:tc>
          <w:tcPr>
            <w:tcW w:w="301" w:type="dxa"/>
            <w:tcBorders/>
            <w:vAlign w:val="center"/>
          </w:tcPr>
          <w:p>
            <w:pPr>
              <w:pStyle w:val="TableContents"/>
              <w:bidi w:val="0"/>
              <w:spacing w:before="0" w:after="1"/>
              <w:ind w:left="0" w:right="0" w:hanging="0"/>
              <w:jc w:val="left"/>
              <w:rPr/>
            </w:pPr>
            <w:r>
              <w:rPr/>
              <w:t>​</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Weighted-average discount rate</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  </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leases</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the Company elected, for all classes of underlying assets, not to separate lease and non-lease components and instead to account for them as a single lease component, the variable lease cost primarily represents variable payments such as common area maintenance and utilities. Variable lease cost also includes payments for usage or maintenance of those capitalized equipment operating leases.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lease costs and other lease information for the three months ended March 31, 2024 and 2023:</w:t>
      </w:r>
    </w:p>
    <w:p>
      <w:pPr>
        <w:pStyle w:val="TextBody"/>
        <w:bidi w:val="0"/>
        <w:spacing w:before="0" w:after="0"/>
        <w:ind w:left="0" w:right="0" w:hanging="0"/>
        <w:jc w:val="left"/>
        <w:rPr/>
      </w:pPr>
      <w:r>
        <w:rPr/>
        <w:t>​</w:t>
      </w:r>
    </w:p>
    <w:tbl>
      <w:tblPr>
        <w:tblW w:w="10091" w:type="dxa"/>
        <w:jc w:val="left"/>
        <w:tblInd w:w="0" w:type="dxa"/>
        <w:tblLayout w:type="fixed"/>
        <w:tblCellMar>
          <w:top w:w="0" w:type="dxa"/>
          <w:left w:w="0" w:type="dxa"/>
          <w:bottom w:w="0" w:type="dxa"/>
          <w:right w:w="0" w:type="dxa"/>
        </w:tblCellMar>
      </w:tblPr>
      <w:tblGrid>
        <w:gridCol w:w="8116"/>
        <w:gridCol w:w="326"/>
        <w:gridCol w:w="233"/>
        <w:gridCol w:w="482"/>
        <w:gridCol w:w="129"/>
        <w:gridCol w:w="233"/>
        <w:gridCol w:w="572"/>
      </w:tblGrid>
      <w:tr>
        <w:trPr/>
        <w:tc>
          <w:tcPr>
            <w:tcW w:w="8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47955" cy="175260"/>
                      <wp:effectExtent l="0" t="0" r="0" b="0"/>
                      <wp:wrapNone/>
                      <wp:docPr id="364" name="Frame36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06070" cy="175260"/>
                      <wp:effectExtent l="0" t="0" r="0" b="0"/>
                      <wp:wrapNone/>
                      <wp:docPr id="365" name="Frame365"/>
                      <a:graphic xmlns:a="http://schemas.openxmlformats.org/drawingml/2006/main">
                        <a:graphicData uri="http://schemas.microsoft.com/office/word/2010/wordprocessingShape">
                          <wps:wsp>
                            <wps:cNvSpPr txBox="1"/>
                            <wps:spPr>
                              <a:xfrm>
                                <a:off x="0" y="0"/>
                                <a:ext cx="306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81915" cy="175260"/>
                      <wp:effectExtent l="0" t="0" r="0" b="0"/>
                      <wp:wrapNone/>
                      <wp:docPr id="366" name="Frame366"/>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47955" cy="175260"/>
                      <wp:effectExtent l="0" t="0" r="0" b="0"/>
                      <wp:wrapNone/>
                      <wp:docPr id="367" name="Frame36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363220" cy="175260"/>
                      <wp:effectExtent l="0" t="0" r="0" b="0"/>
                      <wp:wrapNone/>
                      <wp:docPr id="368" name="Frame368"/>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4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8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811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9" w:type="dxa"/>
            <w:tcBorders/>
            <w:vAlign w:val="center"/>
          </w:tcPr>
          <w:p>
            <w:pPr>
              <w:pStyle w:val="TableContents"/>
              <w:bidi w:val="0"/>
              <w:spacing w:before="0" w:after="0"/>
              <w:ind w:left="0" w:right="0" w:hanging="0"/>
              <w:jc w:val="left"/>
              <w:rPr/>
            </w:pPr>
            <w:r>
              <w:rPr/>
              <w:t>​</w:t>
            </w:r>
          </w:p>
        </w:tc>
        <w:tc>
          <w:tcPr>
            <w:tcW w:w="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8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costs</w:t>
            </w:r>
          </w:p>
        </w:tc>
        <w:tc>
          <w:tcPr>
            <w:tcW w:w="32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pPr>
            <w:r>
              <w:rPr/>
              <w:t>  </w:t>
            </w:r>
          </w:p>
        </w:tc>
      </w:tr>
      <w:tr>
        <w:trPr/>
        <w:tc>
          <w:tcPr>
            <w:tcW w:w="8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cost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461</w:t>
            </w:r>
          </w:p>
        </w:tc>
        <w:tc>
          <w:tcPr>
            <w:tcW w:w="12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w:t>
            </w:r>
          </w:p>
        </w:tc>
      </w:tr>
      <w:tr>
        <w:trPr/>
        <w:tc>
          <w:tcPr>
            <w:tcW w:w="8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4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w:t>
            </w:r>
          </w:p>
        </w:tc>
        <w:tc>
          <w:tcPr>
            <w:tcW w:w="12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w:t>
            </w:r>
          </w:p>
        </w:tc>
      </w:tr>
      <w:tr>
        <w:trPr/>
        <w:tc>
          <w:tcPr>
            <w:tcW w:w="8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lease cost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4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12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r>
      <w:tr>
        <w:trPr/>
        <w:tc>
          <w:tcPr>
            <w:tcW w:w="8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482" w:type="dxa"/>
            <w:tcBorders/>
            <w:shd w:fill="CCEEFF" w:val="clear"/>
            <w:vAlign w:val="center"/>
          </w:tcPr>
          <w:p>
            <w:pPr>
              <w:pStyle w:val="TableContents"/>
              <w:bidi w:val="0"/>
              <w:spacing w:before="0" w:after="0"/>
              <w:ind w:left="0" w:right="0" w:hanging="0"/>
              <w:jc w:val="right"/>
              <w:rPr/>
            </w:pPr>
            <w:r>
              <w:rPr/>
              <w:t>  </w:t>
            </w:r>
          </w:p>
        </w:tc>
        <w:tc>
          <w:tcPr>
            <w:tcW w:w="12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pPr>
            <w:r>
              <w:rPr/>
              <w:t>  </w:t>
            </w:r>
          </w:p>
        </w:tc>
      </w:tr>
      <w:tr>
        <w:trPr/>
        <w:tc>
          <w:tcPr>
            <w:tcW w:w="8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on lease liabilities</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482"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pPr>
            <w:r>
              <w:rPr/>
              <w:t>—</w:t>
            </w:r>
          </w:p>
        </w:tc>
      </w:tr>
      <w:tr>
        <w:trPr/>
        <w:tc>
          <w:tcPr>
            <w:tcW w:w="8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482" w:type="dxa"/>
            <w:tcBorders/>
            <w:shd w:fill="CCEEFF" w:val="clear"/>
            <w:vAlign w:val="center"/>
          </w:tcPr>
          <w:p>
            <w:pPr>
              <w:pStyle w:val="TableContents"/>
              <w:bidi w:val="0"/>
              <w:spacing w:before="0" w:after="0"/>
              <w:ind w:left="0" w:right="0" w:hanging="0"/>
              <w:jc w:val="righ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72" w:type="dxa"/>
            <w:tcBorders/>
            <w:shd w:fill="CCEEFF" w:val="clear"/>
            <w:vAlign w:val="center"/>
          </w:tcPr>
          <w:p>
            <w:pPr>
              <w:pStyle w:val="TableContents"/>
              <w:bidi w:val="0"/>
              <w:spacing w:before="0" w:after="0"/>
              <w:ind w:left="0" w:right="0" w:hanging="0"/>
              <w:jc w:val="right"/>
              <w:rPr/>
            </w:pPr>
            <w:r>
              <w:rPr/>
              <w:t>—</w:t>
            </w:r>
          </w:p>
        </w:tc>
      </w:tr>
      <w:tr>
        <w:trPr/>
        <w:tc>
          <w:tcPr>
            <w:tcW w:w="8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Sublease income</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12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r>
      <w:tr>
        <w:trPr/>
        <w:tc>
          <w:tcPr>
            <w:tcW w:w="8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715</w:t>
            </w:r>
          </w:p>
        </w:tc>
        <w:tc>
          <w:tcPr>
            <w:tcW w:w="12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789</w:t>
            </w:r>
          </w:p>
        </w:tc>
      </w:tr>
      <w:tr>
        <w:trPr/>
        <w:tc>
          <w:tcPr>
            <w:tcW w:w="8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information</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72" w:type="dxa"/>
            <w:tcBorders/>
            <w:vAlign w:val="center"/>
          </w:tcPr>
          <w:p>
            <w:pPr>
              <w:pStyle w:val="TableContents"/>
              <w:bidi w:val="0"/>
              <w:spacing w:before="0" w:after="0"/>
              <w:ind w:left="0" w:right="0" w:hanging="0"/>
              <w:jc w:val="right"/>
              <w:rPr/>
            </w:pPr>
            <w:r>
              <w:rPr/>
              <w:t>  </w:t>
            </w:r>
          </w:p>
        </w:tc>
      </w:tr>
      <w:tr>
        <w:trPr/>
        <w:tc>
          <w:tcPr>
            <w:tcW w:w="8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amounts included in the measurement of lease liabilities operating cash flows from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w:t>
            </w:r>
          </w:p>
        </w:tc>
        <w:tc>
          <w:tcPr>
            <w:tcW w:w="12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w:t>
            </w:r>
          </w:p>
        </w:tc>
      </w:tr>
      <w:tr>
        <w:trPr/>
        <w:tc>
          <w:tcPr>
            <w:tcW w:w="8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obtained in exchange for new operating lease liabilities</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c>
          <w:tcPr>
            <w:tcW w:w="12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257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2650" w:name="Tc_J9pBgMTutEOE-a_IcsSXfw_12_2"/>
      <w:bookmarkStart w:id="2651" w:name="Tc_RQBXdAtqtUaYlodTIxWqzg_12_0"/>
      <w:bookmarkStart w:id="2652" w:name="Tc_B3R6atkYBEyDSicakmNdHQ_11_0"/>
      <w:bookmarkStart w:id="2653" w:name="Tc_mHQ1D73Vtkmo8WSRA1Cb8Q_10_2"/>
      <w:bookmarkStart w:id="2654" w:name="Tc_ZgyEhcE9vkOKVHhBaNQ7KA_10_0"/>
      <w:bookmarkStart w:id="2655" w:name="Tc_5ojlXcQaBUygOVvNr-obaA_9_0"/>
      <w:bookmarkStart w:id="2656" w:name="Tc__DqasDWvkU6hL_YWH8onCw_8_0"/>
      <w:bookmarkStart w:id="2657" w:name="Tc_uNqJeExhQEifj_n9XiHrVg_7_0"/>
      <w:bookmarkStart w:id="2658" w:name="Tc_YF2IKxwIYEqEtL-22y_cuQ_6_0"/>
      <w:bookmarkStart w:id="2659" w:name="Tc_znQ3B8YW0Ee7kbRdyfdcMw_5_0"/>
      <w:bookmarkStart w:id="2660" w:name="Tc_4FaJ2qvE_kiBsj-b3w7Beg_4_2"/>
      <w:bookmarkStart w:id="2661" w:name="Tc_izMiYAqs3Eq_sIjrBn8xyA_4_0"/>
      <w:bookmarkStart w:id="2662" w:name="Tc_bXDZEoAKaE6fA1E4P6TjzA_3_0"/>
      <w:bookmarkStart w:id="2663" w:name="Tc_-pMIBylLrUOfSYoAT0kmig_2_2"/>
      <w:bookmarkStart w:id="2664" w:name="Tc_miAgSUpWEE-cx7EXXS5Wbw_2_0"/>
      <w:bookmarkStart w:id="2665" w:name="Tc_b5CDuaI-5ku0iufNPJZfEg_1_2"/>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r>
        <w:rPr>
          <w:rFonts w:ascii="Times New Roman;Times;serif" w:hAnsi="Times New Roman;Times;serif"/>
          <w:sz w:val="20"/>
        </w:rPr>
        <w:t>Future minimum payments for finance and operating leases with initial or remaining terms of one year or more as of March 31, 2024 were as follows:</w:t>
      </w:r>
    </w:p>
    <w:p>
      <w:pPr>
        <w:pStyle w:val="TextBody"/>
        <w:bidi w:val="0"/>
        <w:spacing w:before="0" w:after="0"/>
        <w:ind w:left="0" w:right="0" w:hanging="0"/>
        <w:jc w:val="left"/>
        <w:rPr/>
      </w:pPr>
      <w:r>
        <w:rPr/>
        <w:t>​</w:t>
      </w:r>
    </w:p>
    <w:tbl>
      <w:tblPr>
        <w:tblW w:w="4003" w:type="dxa"/>
        <w:jc w:val="left"/>
        <w:tblInd w:w="0" w:type="dxa"/>
        <w:tblLayout w:type="fixed"/>
        <w:tblCellMar>
          <w:top w:w="0" w:type="dxa"/>
          <w:left w:w="0" w:type="dxa"/>
          <w:bottom w:w="0" w:type="dxa"/>
          <w:right w:w="0" w:type="dxa"/>
        </w:tblCellMar>
      </w:tblPr>
      <w:tblGrid>
        <w:gridCol w:w="2776"/>
        <w:gridCol w:w="326"/>
        <w:gridCol w:w="217"/>
        <w:gridCol w:w="684"/>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762760" cy="175260"/>
                      <wp:effectExtent l="0" t="0" r="0" b="0"/>
                      <wp:wrapNone/>
                      <wp:docPr id="369" name="Frame369"/>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7795" cy="175260"/>
                      <wp:effectExtent l="0" t="0" r="0" b="0"/>
                      <wp:wrapNone/>
                      <wp:docPr id="371" name="Frame37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34340" cy="175260"/>
                      <wp:effectExtent l="0" t="0" r="0" b="0"/>
                      <wp:wrapNone/>
                      <wp:docPr id="372" name="Frame372"/>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Twelve months ended</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center"/>
              <w:rPr/>
            </w:pPr>
            <w:r>
              <w:rPr/>
              <w:t>​</w:t>
            </w:r>
          </w:p>
        </w:tc>
        <w:tc>
          <w:tcPr>
            <w:tcW w:w="684" w:type="dxa"/>
            <w:tcBorders/>
            <w:shd w:fill="CCEEFF" w:val="clear"/>
            <w:vAlign w:val="center"/>
          </w:tcPr>
          <w:p>
            <w:pPr>
              <w:pStyle w:val="TableContents"/>
              <w:bidi w:val="0"/>
              <w:spacing w:before="0" w:after="0"/>
              <w:ind w:left="0" w:right="0" w:hanging="0"/>
              <w:jc w:val="center"/>
              <w:rPr/>
            </w:pPr>
            <w:r>
              <w:rPr/>
              <w:t>​</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31, 2025</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1,641</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1,267</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31, 2026</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1,088</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31, 2027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31, 2028</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1,832</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future minimum lease payments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6,703</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Amounts representing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lease liabilities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5,420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666" w:name="Tc_i1BQL7EqjUC2F-_kiKk9JA_10_5"/>
      <w:bookmarkStart w:id="2667" w:name="Tc_H3Vt4vBLXEWCoqkAnGnZLw_10_2"/>
      <w:bookmarkStart w:id="2668" w:name="Tc_JQciLyMVXkCQ2yfsW294aw_10_0"/>
      <w:bookmarkStart w:id="2669" w:name="Tc_Q2OtkevGEU6JP1PFT07rmQ_9_0"/>
      <w:bookmarkStart w:id="2670" w:name="Tc_M-OBMz_SbUK71_OIEVGQVg_8_0"/>
      <w:bookmarkStart w:id="2671" w:name="Tc_Pbsj9_ytGUeGPlF8YyobRQ_7_0"/>
      <w:bookmarkStart w:id="2672" w:name="Tc_1PceAUMRNUqgU-yrBiB0VQ_6_0"/>
      <w:bookmarkStart w:id="2673" w:name="Tc_Wl80lvDTkEqgfb-2goIvlg_5_0"/>
      <w:bookmarkStart w:id="2674" w:name="Tc_rZWhEHOlz0-W5GEVqRR9UQ_4_0"/>
      <w:bookmarkStart w:id="2675" w:name="Tc_YOSAncvH5kW8a_fj4exSVQ_3_5"/>
      <w:bookmarkStart w:id="2676" w:name="Tc_2lduzv3sC0CzCyPjoGnIRA_3_2"/>
      <w:bookmarkStart w:id="2677" w:name="Tc_iK7eCeGUaEWBVXZ-8lYwYQ_3_0"/>
      <w:bookmarkStart w:id="2678" w:name="Tc_DJxkNFzF9UuJCgzQFZ2lBA_2_5"/>
      <w:bookmarkStart w:id="2679" w:name="Tc_XerGYpkNK0KfQaf8rClzXQ_2_2"/>
      <w:bookmarkStart w:id="2680" w:name="Tc_8Zz3w_usYUWkogbhD_2QBA_2_0"/>
      <w:bookmarkStart w:id="2681" w:name="Tc_xURsas33RUKyAQme8rpHXw_1_5"/>
      <w:bookmarkStart w:id="2682" w:name="Tc_Haa-HynPGkqK_sSgHRkDGg_1_2"/>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r>
        <w:rPr>
          <w:rFonts w:ascii="Times New Roman;Times;serif" w:hAnsi="Times New Roman;Times;serif"/>
          <w:b/>
          <w:sz w:val="20"/>
        </w:rPr>
        <w:t>NOTE 8 Deposits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components of deposits in the consolidated balance sheets as of March 31, 2024 and December 31, 2023 were as follows:</w:t>
      </w:r>
    </w:p>
    <w:p>
      <w:pPr>
        <w:pStyle w:val="TextBody"/>
        <w:bidi w:val="0"/>
        <w:spacing w:before="0" w:after="0"/>
        <w:ind w:left="0" w:right="0" w:hanging="0"/>
        <w:jc w:val="left"/>
        <w:rPr/>
      </w:pPr>
      <w:r>
        <w:rPr/>
        <w:t>​</w:t>
      </w:r>
    </w:p>
    <w:tbl>
      <w:tblPr>
        <w:tblW w:w="4690" w:type="dxa"/>
        <w:jc w:val="left"/>
        <w:tblInd w:w="0" w:type="dxa"/>
        <w:tblLayout w:type="fixed"/>
        <w:tblCellMar>
          <w:top w:w="0" w:type="dxa"/>
          <w:left w:w="0" w:type="dxa"/>
          <w:bottom w:w="0" w:type="dxa"/>
          <w:right w:w="0" w:type="dxa"/>
        </w:tblCellMar>
      </w:tblPr>
      <w:tblGrid>
        <w:gridCol w:w="1831"/>
        <w:gridCol w:w="326"/>
        <w:gridCol w:w="196"/>
        <w:gridCol w:w="826"/>
        <w:gridCol w:w="326"/>
        <w:gridCol w:w="206"/>
        <w:gridCol w:w="979"/>
      </w:tblGrid>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3"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24460" cy="175260"/>
                      <wp:effectExtent l="0" t="0" r="0" b="0"/>
                      <wp:wrapNone/>
                      <wp:docPr id="374" name="Frame3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24510" cy="175260"/>
                      <wp:effectExtent l="0" t="0" r="0" b="0"/>
                      <wp:wrapNone/>
                      <wp:docPr id="375" name="Frame37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0810" cy="175260"/>
                      <wp:effectExtent l="0" t="0" r="0" b="0"/>
                      <wp:wrapNone/>
                      <wp:docPr id="377" name="Frame37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21665" cy="175260"/>
                      <wp:effectExtent l="0" t="0" r="0" b="0"/>
                      <wp:wrapNone/>
                      <wp:docPr id="378" name="Frame378"/>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Noninterest-bearing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692,500</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728,082</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pPr>
            <w:r>
              <w:rPr/>
              <w:t>  </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demand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938,751</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840,711</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Savings accounts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82,727</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82,485</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Money market savings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1,114,262</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1,032,771</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Time deposits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456,729</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411,562</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interest-bearing</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2,592,469</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2,367,529</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deposits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3,284,969</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3,095,611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Certificates of deposit in excess of $250,000 totaled $150.8 million and $121.8 million at March 31, 2024 and December 31, 2023, respectively.</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683" w:name="Tc_AF90uFMoEEaQkTT3cYcWnA_6_5"/>
      <w:bookmarkStart w:id="2684" w:name="Tc_S_i1qfFxw0eFtjLs5bS2ZA_6_2"/>
      <w:bookmarkStart w:id="2685" w:name="Tc_-cgAz3pc8kiOoMzUWTYLjw_6_0"/>
      <w:bookmarkStart w:id="2686" w:name="Tc_SQxe3SF8UUmJQYoBYAsJgA_5_0"/>
      <w:bookmarkStart w:id="2687" w:name="Tc_BEUJiIYi0ECuc88RPPoKOw_4_6"/>
      <w:bookmarkStart w:id="2688" w:name="Tc_2duvo0T9dUirs3tE-pv2Zw_4_0"/>
      <w:bookmarkStart w:id="2689" w:name="Tc_jz54ODzmEka95RLynSxFrw_3_5"/>
      <w:bookmarkStart w:id="2690" w:name="Tc_Ei3a1NhoNE-9OPbx71Caww_3_3"/>
      <w:bookmarkStart w:id="2691" w:name="Tc_exkOBybTcE2z-8gyFuRZnA_3_2"/>
      <w:bookmarkStart w:id="2692" w:name="Tc_rBWDAiNfCkegzbN2Yhhhxw_3_0"/>
      <w:bookmarkStart w:id="2693" w:name="Tc_uvMJMD0xFUahyfHMoJnh9Q_2_5"/>
      <w:bookmarkStart w:id="2694" w:name="Tc_9gLKApdftEKl2Hl825eJIQ_2_2"/>
      <w:bookmarkStart w:id="2695" w:name="Tc_gLNwYqUR2k64c8ldSC929Q_2_0"/>
      <w:bookmarkStart w:id="2696" w:name="Tc_aYScNPJgekGzdA7_L08Vsw_1_5"/>
      <w:bookmarkStart w:id="2697" w:name="Tc_xUgOsWqHNkitVwNT0a_K2A_1_2"/>
      <w:bookmarkStart w:id="2698" w:name="_f81f04fc_d6c3_4a44_8fdd_cb91226d2a78"/>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r>
        <w:rPr>
          <w:rFonts w:ascii="Times New Roman;Times;serif" w:hAnsi="Times New Roman;Times;serif"/>
          <w:b/>
          <w:sz w:val="20"/>
        </w:rPr>
        <w:t>NOTE 9 Short-Term Borrowings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Short-term borrowings at March 31, 2024 and December 31, 2023 consisted of the following:</w:t>
      </w:r>
    </w:p>
    <w:p>
      <w:pPr>
        <w:pStyle w:val="TextBody"/>
        <w:bidi w:val="0"/>
        <w:spacing w:before="0" w:after="0"/>
        <w:ind w:left="0" w:right="0" w:hanging="0"/>
        <w:jc w:val="left"/>
        <w:rPr/>
      </w:pPr>
      <w:r>
        <w:rPr/>
        <w:t>​</w:t>
      </w:r>
    </w:p>
    <w:tbl>
      <w:tblPr>
        <w:tblW w:w="5168" w:type="dxa"/>
        <w:jc w:val="left"/>
        <w:tblInd w:w="0" w:type="dxa"/>
        <w:tblLayout w:type="fixed"/>
        <w:tblCellMar>
          <w:top w:w="0" w:type="dxa"/>
          <w:left w:w="0" w:type="dxa"/>
          <w:bottom w:w="0" w:type="dxa"/>
          <w:right w:w="0" w:type="dxa"/>
        </w:tblCellMar>
      </w:tblPr>
      <w:tblGrid>
        <w:gridCol w:w="2431"/>
        <w:gridCol w:w="326"/>
        <w:gridCol w:w="199"/>
        <w:gridCol w:w="701"/>
        <w:gridCol w:w="326"/>
        <w:gridCol w:w="233"/>
        <w:gridCol w:w="952"/>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543685" cy="175260"/>
                      <wp:effectExtent l="0" t="0" r="0" b="0"/>
                      <wp:wrapNone/>
                      <wp:docPr id="379" name="Frame379"/>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26365" cy="175260"/>
                      <wp:effectExtent l="0" t="0" r="0" b="0"/>
                      <wp:wrapNone/>
                      <wp:docPr id="381" name="Frame381"/>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45135" cy="175260"/>
                      <wp:effectExtent l="0" t="0" r="0" b="0"/>
                      <wp:wrapNone/>
                      <wp:docPr id="382" name="Frame382"/>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47955" cy="175260"/>
                      <wp:effectExtent l="0" t="0" r="0" b="0"/>
                      <wp:wrapNone/>
                      <wp:docPr id="384" name="Frame38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04520" cy="175260"/>
                      <wp:effectExtent l="0" t="0" r="0" b="0"/>
                      <wp:wrapNone/>
                      <wp:docPr id="385" name="Frame385"/>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Fed funds purchased</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114,170</w:t>
            </w:r>
          </w:p>
        </w:tc>
      </w:tr>
      <w:tr>
        <w:trPr/>
        <w:tc>
          <w:tcPr>
            <w:tcW w:w="243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Bank Term Funding Program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355,000</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pPr>
            <w:r>
              <w:rPr/>
              <w:t>—</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FHLB short-term advances</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555,000</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314,170</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 the first quarter of 2024, the Company borrowed $355.0</w:t>
            </w:r>
            <w:r>
              <w:rPr>
                <w:caps w:val="false"/>
                <w:smallCaps w:val="false"/>
              </w:rPr>
              <w:t xml:space="preserve"> </w:t>
            </w:r>
            <w:r>
              <w:rPr>
                <w:rFonts w:ascii="Times New Roman;Times;serif" w:hAnsi="Times New Roman;Times;serif"/>
                <w:b w:val="false"/>
                <w:i w:val="false"/>
                <w:caps w:val="false"/>
                <w:smallCaps w:val="false"/>
                <w:sz w:val="16"/>
              </w:rPr>
              <w:t>million from the Bank Term Funding Program, or BTFP, for a period of up to one year</w:t>
            </w:r>
            <w:r>
              <w:rPr>
                <w:caps w:val="false"/>
                <w:smallCaps w:val="false"/>
              </w:rPr>
              <w:t xml:space="preserve"> </w:t>
            </w:r>
            <w:r>
              <w:rPr>
                <w:rFonts w:ascii="Times New Roman;Times;serif" w:hAnsi="Times New Roman;Times;serif"/>
                <w:b w:val="false"/>
                <w:i w:val="false"/>
                <w:caps w:val="false"/>
                <w:smallCaps w:val="false"/>
                <w:sz w:val="16"/>
              </w:rPr>
              <w:t>at a fixed rate of 4.88%. Under the program, the Company may prepay this borrowing at any time without penalty and the borrowing is secured by the Company’s pledged collateral of investment securities.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699" w:name="Tc_Ga2uOTmfQUy31hLsl9EOUQ_8_5"/>
      <w:bookmarkStart w:id="2700" w:name="Tc_nU8kG0zif0qHRUdGv58yLA_8_2"/>
      <w:bookmarkStart w:id="2701" w:name="Tc_lfP0leml70egGDfd9q5iOA_8_0"/>
      <w:bookmarkStart w:id="2702" w:name="Tc_9rtPhB-UWESIqXzCWENKmQ_7_14"/>
      <w:bookmarkStart w:id="2703" w:name="Tc_XcGuHZfPF0CyDch1Sct9-g_7_12"/>
      <w:bookmarkStart w:id="2704" w:name="Tc_S8X5s-YBckWZvPz1LLvS5Q_7_11"/>
      <w:bookmarkStart w:id="2705" w:name="Tc_sWFA9AmMxky2ccLx7Y2Lcw_7_8"/>
      <w:bookmarkStart w:id="2706" w:name="Tc_5PmD-4SZ_UyVz-qyP56xvw_7_0"/>
      <w:bookmarkStart w:id="2707" w:name="Tc_ioUiY5F-ck2sJADwLmQi8w_6_14"/>
      <w:bookmarkStart w:id="2708" w:name="Tc_6Vn5YbmSjUeTXcv5MWiKyg_6_12"/>
      <w:bookmarkStart w:id="2709" w:name="Tc_6YBRoblGmUaMfidtGcTA2Q_6_11"/>
      <w:bookmarkStart w:id="2710" w:name="Tc_S9MQhYPB2ECI3L-UhrbCIg_6_8"/>
      <w:bookmarkStart w:id="2711" w:name="Tc_eOFsaXeh5E-aErCuTcxlHA_6_0"/>
      <w:bookmarkStart w:id="2712" w:name="Tc_LWXAUyu4jUiQC2QPedZVhQ_5_14"/>
      <w:bookmarkStart w:id="2713" w:name="Tc_EJz0dE08O0CqbAF38GlCTA_5_12"/>
      <w:bookmarkStart w:id="2714" w:name="Tc_MD4arxuliEmSB6-pQ7Grpg_5_11"/>
      <w:bookmarkStart w:id="2715" w:name="Tc_Zw_pqefe_02acooyiJTtKA_5_8"/>
      <w:bookmarkStart w:id="2716" w:name="Tc_AS0UKYQoHUa14qH1s2AMxA_5_5"/>
      <w:bookmarkStart w:id="2717" w:name="Tc_4dLP4EMQxU6nkOyJIlwFlw_5_2"/>
      <w:bookmarkStart w:id="2718" w:name="Tc_sOi-L1UzLEisXAhNSRCxyw_5_0"/>
      <w:bookmarkStart w:id="2719" w:name="Tc_tYDDeW0c5U-KsU3RSe9l4w_4_14"/>
      <w:bookmarkStart w:id="2720" w:name="Tc_AYdyMPDVhkWcI6Jytqzv4Q_4_12"/>
      <w:bookmarkStart w:id="2721" w:name="Tc_lXSEX2Q-uEOv8Y6t6vnkHg_4_10"/>
      <w:bookmarkStart w:id="2722" w:name="Tc_QNllIC9fakykUEkWVmddPA_4_8"/>
      <w:bookmarkStart w:id="2723" w:name="Tc_QTiV34qCsk6D7sDmha7cuQ_4_5"/>
      <w:bookmarkStart w:id="2724" w:name="Tc_-94nbKIvb0yCTJjSDCBWeQ_4_2"/>
      <w:bookmarkStart w:id="2725" w:name="Tc_lSqmvVZZtk6n2BfHcOeNew_4_0"/>
      <w:bookmarkStart w:id="2726" w:name="Tc_Dz0YiZJdsUSRNODfDrj7mQ_3_12"/>
      <w:bookmarkStart w:id="2727" w:name="Tc_wPX9GKvOtkOe_zQbiQ0mfA_3_10"/>
      <w:bookmarkStart w:id="2728" w:name="Tc_Dm92C8KLJkqfiar12DMo7Q_3_5"/>
      <w:bookmarkStart w:id="2729" w:name="Tc_SzQLdJgPqEG1v647ondG-Q_3_2"/>
      <w:bookmarkStart w:id="2730" w:name="Tc_tkdNOwfqXkiyM-rovplDIw_2_10"/>
      <w:bookmarkStart w:id="2731" w:name="Tc_t_sYZamGV0OKRBhcbUp2fw_1_2"/>
      <w:bookmarkStart w:id="2732" w:name="_b31be90a_53a7_470d_babe_e2b18bcb3c3c"/>
      <w:bookmarkStart w:id="2733" w:name="Tc_GpHOOvLOx0-ILln5OUVOvw_8_5"/>
      <w:bookmarkStart w:id="2734" w:name="Tc_G16m1xAV7U-OCEIACYCqOQ_8_2"/>
      <w:bookmarkStart w:id="2735" w:name="Tc_aUuWRQwlzEGFNVmLrx1uPw_8_0"/>
      <w:bookmarkStart w:id="2736" w:name="Tc_qGTbddVBC0CwYG2x1csXlg_7_14"/>
      <w:bookmarkStart w:id="2737" w:name="Tc_lfIpQY6iS0GWOK3VQPYB5g_7_12"/>
      <w:bookmarkStart w:id="2738" w:name="Tc_Kz1erHZ_JUO8SrBSxYNQIQ_7_11"/>
      <w:bookmarkStart w:id="2739" w:name="Tc_p53atgOhHkKwKK4g-X5RZA_7_8"/>
      <w:bookmarkStart w:id="2740" w:name="Tc_ST18_9O6m06PggeZ-fRmXQ_7_0"/>
      <w:bookmarkStart w:id="2741" w:name="Tc_DOsRnIQvPEO-Yj814EcwDQ_6_14"/>
      <w:bookmarkStart w:id="2742" w:name="Tc_G0lZOOJjFkmIHvXBM1D0RA_6_12"/>
      <w:bookmarkStart w:id="2743" w:name="Tc_SA_fYlTxs0OzoP9FfBRXFw_6_11"/>
      <w:bookmarkStart w:id="2744" w:name="Tc_y0hR5UQmOk-V_XZbsTpE6A_6_8"/>
      <w:bookmarkStart w:id="2745" w:name="Tc_rJq-9cYwCU6fF43qeuICmw_6_0"/>
      <w:bookmarkStart w:id="2746" w:name="Tc_QBV7q6iTRESgXWH9VO-NRA_5_14"/>
      <w:bookmarkStart w:id="2747" w:name="Tc_7NoiV5BKQEK-Zyo9_GZAsQ_5_12"/>
      <w:bookmarkStart w:id="2748" w:name="Tc_XLm15QxHN0yLNjBqEB7_2Q_5_11"/>
      <w:bookmarkStart w:id="2749" w:name="Tc_kd862s5rQkarAb-H23DWZw_5_8"/>
      <w:bookmarkStart w:id="2750" w:name="Tc_k7wDdXXhXEWDMxWBAYCfew_5_5"/>
      <w:bookmarkStart w:id="2751" w:name="Tc_7StQMW9EvUSgj5tA3Ev-2A_5_2"/>
      <w:bookmarkStart w:id="2752" w:name="Tc_-cDduZf9mkW30sh92XvaRg_5_0"/>
      <w:bookmarkStart w:id="2753" w:name="Tc_GLtG8p3QXkiXtpTXQiFx5Q_4_14"/>
      <w:bookmarkStart w:id="2754" w:name="Tc_6YI7LyZpF0yhcVJG9zNDTA_4_12"/>
      <w:bookmarkStart w:id="2755" w:name="Tc_h0bQ848d9kucxYicslzOuA_4_10"/>
      <w:bookmarkStart w:id="2756" w:name="Tc_7vdHROdN4UessYNWK_QW4A_4_8"/>
      <w:bookmarkStart w:id="2757" w:name="Tc_7K1RaDtcukmbgH1FMnSMGA_4_5"/>
      <w:bookmarkStart w:id="2758" w:name="Tc_DavwaOboHU2MLZ-rNXjuYw_4_2"/>
      <w:bookmarkStart w:id="2759" w:name="Tc_An_88IzjbE-glKpWFNjb0A_4_0"/>
      <w:bookmarkStart w:id="2760" w:name="Tc_f01carU7Nkivk1KcLx9pWA_3_12"/>
      <w:bookmarkStart w:id="2761" w:name="Tc__ZveiI-s7EiCTS4AeGJw3A_3_10"/>
      <w:bookmarkStart w:id="2762" w:name="Tc_uzeRySvkLEis2FtPk82Jvg_3_5"/>
      <w:bookmarkStart w:id="2763" w:name="Tc_kFzvhHD_10ubyNLE_B8sww_3_2"/>
      <w:bookmarkStart w:id="2764" w:name="Tc_gvC1Dp6-bkqCdkuq-3z87g_2_10"/>
      <w:bookmarkStart w:id="2765" w:name="Tc_w3kfCqcJck2tJ-LLj4smMg_1_2"/>
      <w:bookmarkStart w:id="2766" w:name="_89db7782_cdbe_458b_a054_ae9def39f8f6"/>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r>
        <w:rPr>
          <w:rFonts w:ascii="Times New Roman;Times;serif" w:hAnsi="Times New Roman;Times;serif"/>
          <w:b/>
          <w:sz w:val="20"/>
        </w:rPr>
        <w:t>NOTE 10 Long-Term Debt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Long-term debt as of March 31, 2024 and December 31, 2023 consisted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19"/>
        <w:gridCol w:w="326"/>
        <w:gridCol w:w="196"/>
        <w:gridCol w:w="601"/>
        <w:gridCol w:w="326"/>
        <w:gridCol w:w="196"/>
        <w:gridCol w:w="601"/>
        <w:gridCol w:w="326"/>
        <w:gridCol w:w="2151"/>
        <w:gridCol w:w="326"/>
        <w:gridCol w:w="916"/>
        <w:gridCol w:w="346"/>
        <w:gridCol w:w="792"/>
        <w:gridCol w:w="326"/>
        <w:gridCol w:w="857"/>
      </w:tblGrid>
      <w:tr>
        <w:trPr/>
        <w:tc>
          <w:tcPr>
            <w:tcW w:w="1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218565" cy="175260"/>
                      <wp:effectExtent l="0" t="0" r="0" b="0"/>
                      <wp:wrapNone/>
                      <wp:docPr id="386" name="Frame386"/>
                      <a:graphic xmlns:a="http://schemas.openxmlformats.org/drawingml/2006/main">
                        <a:graphicData uri="http://schemas.microsoft.com/office/word/2010/wordprocessingShape">
                          <wps:wsp>
                            <wps:cNvSpPr txBox="1"/>
                            <wps:spPr>
                              <a:xfrm>
                                <a:off x="0" y="0"/>
                                <a:ext cx="1218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24460" cy="175260"/>
                      <wp:effectExtent l="0" t="0" r="0" b="0"/>
                      <wp:wrapNone/>
                      <wp:docPr id="388" name="Frame3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81635" cy="175260"/>
                      <wp:effectExtent l="0" t="0" r="0" b="0"/>
                      <wp:wrapNone/>
                      <wp:docPr id="389" name="Frame38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24460" cy="175260"/>
                      <wp:effectExtent l="0" t="0" r="0" b="0"/>
                      <wp:wrapNone/>
                      <wp:docPr id="391" name="Frame3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381635" cy="175260"/>
                      <wp:effectExtent l="0" t="0" r="0" b="0"/>
                      <wp:wrapNone/>
                      <wp:docPr id="392" name="Frame39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65885" cy="175260"/>
                      <wp:effectExtent l="0" t="0" r="0" b="0"/>
                      <wp:wrapNone/>
                      <wp:docPr id="394" name="Frame394"/>
                      <a:graphic xmlns:a="http://schemas.openxmlformats.org/drawingml/2006/main">
                        <a:graphicData uri="http://schemas.microsoft.com/office/word/2010/wordprocessingShape">
                          <wps:wsp>
                            <wps:cNvSpPr txBox="1"/>
                            <wps:spPr>
                              <a:xfrm>
                                <a:off x="0" y="0"/>
                                <a:ext cx="1365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81660" cy="175260"/>
                      <wp:effectExtent l="0" t="0" r="0" b="0"/>
                      <wp:wrapNone/>
                      <wp:docPr id="396" name="Frame39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7"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502920" cy="175260"/>
                      <wp:effectExtent l="0" t="0" r="0" b="0"/>
                      <wp:wrapNone/>
                      <wp:docPr id="398" name="Frame398"/>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44195" cy="175260"/>
                      <wp:effectExtent l="0" t="0" r="0" b="0"/>
                      <wp:wrapNone/>
                      <wp:docPr id="400" name="Frame400"/>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0"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19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 End</w:t>
            </w:r>
          </w:p>
        </w:tc>
        <w:tc>
          <w:tcPr>
            <w:tcW w:w="346"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center"/>
              <w:rPr/>
            </w:pPr>
            <w:r>
              <w:rPr/>
              <w:t>​</w:t>
            </w:r>
          </w:p>
        </w:tc>
      </w:tr>
      <w:tr>
        <w:trPr/>
        <w:tc>
          <w:tcPr>
            <w:tcW w:w="19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Face</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1"/>
              <w:ind w:left="0" w:right="0" w:hanging="0"/>
              <w:jc w:val="left"/>
              <w:rPr/>
            </w:pPr>
            <w:r>
              <w:rPr/>
              <w:t>​</w:t>
            </w:r>
          </w:p>
        </w:tc>
        <w:tc>
          <w:tcPr>
            <w:tcW w:w="21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center"/>
              <w:rPr/>
            </w:pPr>
            <w:r>
              <w:rPr/>
              <w:t>​</w:t>
            </w:r>
          </w:p>
        </w:tc>
      </w:tr>
      <w:tr>
        <w:trPr/>
        <w:tc>
          <w:tcPr>
            <w:tcW w:w="1919"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    </w:t>
            </w:r>
          </w:p>
        </w:tc>
        <w:tc>
          <w:tcPr>
            <w:tcW w:w="21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1"/>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Call Date</w:t>
            </w:r>
          </w:p>
        </w:tc>
      </w:tr>
      <w:tr>
        <w:trPr/>
        <w:tc>
          <w:tcPr>
            <w:tcW w:w="191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Subordinated notes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50,000</w:t>
            </w:r>
          </w:p>
        </w:tc>
        <w:tc>
          <w:tcPr>
            <w:tcW w:w="326" w:type="dxa"/>
            <w:tcBorders/>
            <w:shd w:fill="CCEEFF" w:val="clear"/>
            <w:vAlign w:val="center"/>
          </w:tcPr>
          <w:p>
            <w:pPr>
              <w:pStyle w:val="TableContents"/>
              <w:bidi w:val="0"/>
              <w:spacing w:before="0" w:after="1"/>
              <w:ind w:left="0" w:right="0" w:hanging="0"/>
              <w:jc w:val="left"/>
              <w:rPr/>
            </w:pPr>
            <w:r>
              <w:rPr/>
              <w:t>​</w:t>
            </w:r>
          </w:p>
        </w:tc>
        <w:tc>
          <w:tcPr>
            <w:tcW w:w="21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Fixed</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9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3/30/2031</w:t>
            </w:r>
          </w:p>
        </w:tc>
        <w:tc>
          <w:tcPr>
            <w:tcW w:w="32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3/31/2026</w:t>
            </w:r>
          </w:p>
        </w:tc>
      </w:tr>
      <w:tr>
        <w:trPr/>
        <w:tc>
          <w:tcPr>
            <w:tcW w:w="191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Junior subordinated debenture (Trust I)</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3,594</w:t>
            </w:r>
          </w:p>
        </w:tc>
        <w:tc>
          <w:tcPr>
            <w:tcW w:w="326" w:type="dxa"/>
            <w:tcBorders/>
            <w:vAlign w:val="center"/>
          </w:tcPr>
          <w:p>
            <w:pPr>
              <w:pStyle w:val="TableContents"/>
              <w:bidi w:val="0"/>
              <w:spacing w:before="0" w:after="1"/>
              <w:ind w:left="0" w:right="0" w:hanging="0"/>
              <w:jc w:val="left"/>
              <w:rPr/>
            </w:pPr>
            <w:r>
              <w:rPr/>
              <w:t> </w:t>
            </w:r>
          </w:p>
        </w:tc>
        <w:tc>
          <w:tcPr>
            <w:tcW w:w="21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Three-month CME SOFR + 0.26% + 3.10%</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9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6/26/2033</w:t>
            </w:r>
          </w:p>
        </w:tc>
        <w:tc>
          <w:tcPr>
            <w:tcW w:w="326" w:type="dxa"/>
            <w:tcBorders/>
            <w:vAlign w:val="center"/>
          </w:tcPr>
          <w:p>
            <w:pPr>
              <w:pStyle w:val="TableContents"/>
              <w:bidi w:val="0"/>
              <w:spacing w:before="0" w:after="1"/>
              <w:ind w:left="0" w:right="0" w:hanging="0"/>
              <w:jc w:val="left"/>
              <w:rPr/>
            </w:pPr>
            <w:r>
              <w:rPr/>
              <w:t> </w:t>
            </w:r>
          </w:p>
        </w:tc>
        <w:tc>
          <w:tcPr>
            <w:tcW w:w="857"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6/26/2008</w:t>
            </w:r>
          </w:p>
        </w:tc>
      </w:tr>
      <w:tr>
        <w:trPr/>
        <w:tc>
          <w:tcPr>
            <w:tcW w:w="191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Junior subordinated debenture (Trust II)</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6,186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5,391</w:t>
            </w:r>
          </w:p>
        </w:tc>
        <w:tc>
          <w:tcPr>
            <w:tcW w:w="326" w:type="dxa"/>
            <w:tcBorders/>
            <w:shd w:fill="CCEEFF" w:val="clear"/>
            <w:vAlign w:val="center"/>
          </w:tcPr>
          <w:p>
            <w:pPr>
              <w:pStyle w:val="TableContents"/>
              <w:bidi w:val="0"/>
              <w:spacing w:before="0" w:after="1"/>
              <w:ind w:left="0" w:right="0" w:hanging="0"/>
              <w:jc w:val="left"/>
              <w:rPr/>
            </w:pPr>
            <w:r>
              <w:rPr/>
              <w:t> </w:t>
            </w:r>
          </w:p>
        </w:tc>
        <w:tc>
          <w:tcPr>
            <w:tcW w:w="21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Three-month CME SOFR + 0.26% + 1.80%</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9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9/15/2036</w:t>
            </w:r>
          </w:p>
        </w:tc>
        <w:tc>
          <w:tcPr>
            <w:tcW w:w="326" w:type="dxa"/>
            <w:tcBorders/>
            <w:shd w:fill="CCEEFF" w:val="clear"/>
            <w:vAlign w:val="center"/>
          </w:tcPr>
          <w:p>
            <w:pPr>
              <w:pStyle w:val="TableContents"/>
              <w:bidi w:val="0"/>
              <w:spacing w:before="0" w:after="1"/>
              <w:ind w:left="0" w:right="0" w:hanging="0"/>
              <w:jc w:val="left"/>
              <w:rPr/>
            </w:pPr>
            <w:r>
              <w:rPr/>
              <w:t> </w:t>
            </w:r>
          </w:p>
        </w:tc>
        <w:tc>
          <w:tcPr>
            <w:tcW w:w="85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9/15/2011</w:t>
            </w:r>
          </w:p>
        </w:tc>
      </w:tr>
      <w:tr>
        <w:trPr/>
        <w:tc>
          <w:tcPr>
            <w:tcW w:w="191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long-term debt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60,310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58,985</w:t>
            </w:r>
          </w:p>
        </w:tc>
        <w:tc>
          <w:tcPr>
            <w:tcW w:w="326" w:type="dxa"/>
            <w:tcBorders/>
            <w:vAlign w:val="center"/>
          </w:tcPr>
          <w:p>
            <w:pPr>
              <w:pStyle w:val="TableContents"/>
              <w:bidi w:val="0"/>
              <w:spacing w:before="0" w:after="1"/>
              <w:ind w:left="0" w:right="0" w:hanging="0"/>
              <w:jc w:val="left"/>
              <w:rPr/>
            </w:pPr>
            <w:r>
              <w:rPr/>
              <w:t> </w:t>
            </w:r>
          </w:p>
        </w:tc>
        <w:tc>
          <w:tcPr>
            <w:tcW w:w="215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92"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857" w:type="dxa"/>
            <w:tcBorders/>
            <w:vAlign w:val="center"/>
          </w:tcPr>
          <w:p>
            <w:pPr>
              <w:pStyle w:val="TableContents"/>
              <w:bidi w:val="0"/>
              <w:spacing w:before="0" w:after="1"/>
              <w:ind w:left="0" w:right="0" w:hanging="0"/>
              <w:jc w:val="right"/>
              <w:rPr/>
            </w:pPr>
            <w:r>
              <w:rPr/>
              <w:t>  </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19"/>
        <w:gridCol w:w="326"/>
        <w:gridCol w:w="196"/>
        <w:gridCol w:w="601"/>
        <w:gridCol w:w="326"/>
        <w:gridCol w:w="196"/>
        <w:gridCol w:w="601"/>
        <w:gridCol w:w="326"/>
        <w:gridCol w:w="2151"/>
        <w:gridCol w:w="326"/>
        <w:gridCol w:w="916"/>
        <w:gridCol w:w="346"/>
        <w:gridCol w:w="792"/>
        <w:gridCol w:w="326"/>
        <w:gridCol w:w="857"/>
      </w:tblGrid>
      <w:tr>
        <w:trPr/>
        <w:tc>
          <w:tcPr>
            <w:tcW w:w="1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218565" cy="175260"/>
                      <wp:effectExtent l="0" t="0" r="0" b="0"/>
                      <wp:wrapNone/>
                      <wp:docPr id="401" name="Frame401"/>
                      <a:graphic xmlns:a="http://schemas.openxmlformats.org/drawingml/2006/main">
                        <a:graphicData uri="http://schemas.microsoft.com/office/word/2010/wordprocessingShape">
                          <wps:wsp>
                            <wps:cNvSpPr txBox="1"/>
                            <wps:spPr>
                              <a:xfrm>
                                <a:off x="0" y="0"/>
                                <a:ext cx="1218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24460" cy="175260"/>
                      <wp:effectExtent l="0" t="0" r="0" b="0"/>
                      <wp:wrapNone/>
                      <wp:docPr id="403" name="Frame4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381635" cy="175260"/>
                      <wp:effectExtent l="0" t="0" r="0" b="0"/>
                      <wp:wrapNone/>
                      <wp:docPr id="404" name="Frame40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24460" cy="175260"/>
                      <wp:effectExtent l="0" t="0" r="0" b="0"/>
                      <wp:wrapNone/>
                      <wp:docPr id="406" name="Frame4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81635" cy="175260"/>
                      <wp:effectExtent l="0" t="0" r="0" b="0"/>
                      <wp:wrapNone/>
                      <wp:docPr id="407" name="Frame40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65885" cy="175260"/>
                      <wp:effectExtent l="0" t="0" r="0" b="0"/>
                      <wp:wrapNone/>
                      <wp:docPr id="409" name="Frame409"/>
                      <a:graphic xmlns:a="http://schemas.openxmlformats.org/drawingml/2006/main">
                        <a:graphicData uri="http://schemas.microsoft.com/office/word/2010/wordprocessingShape">
                          <wps:wsp>
                            <wps:cNvSpPr txBox="1"/>
                            <wps:spPr>
                              <a:xfrm>
                                <a:off x="0" y="0"/>
                                <a:ext cx="1365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10"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81660" cy="175260"/>
                      <wp:effectExtent l="0" t="0" r="0" b="0"/>
                      <wp:wrapNone/>
                      <wp:docPr id="411" name="Frame41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02920" cy="175260"/>
                      <wp:effectExtent l="0" t="0" r="0" b="0"/>
                      <wp:wrapNone/>
                      <wp:docPr id="413" name="Frame413"/>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44195" cy="175260"/>
                      <wp:effectExtent l="0" t="0" r="0" b="0"/>
                      <wp:wrapNone/>
                      <wp:docPr id="415" name="Frame415"/>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0"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9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 End</w:t>
            </w:r>
          </w:p>
        </w:tc>
        <w:tc>
          <w:tcPr>
            <w:tcW w:w="346"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center"/>
              <w:rPr/>
            </w:pPr>
            <w:r>
              <w:rPr/>
              <w:t>​</w:t>
            </w:r>
          </w:p>
        </w:tc>
      </w:tr>
      <w:tr>
        <w:trPr/>
        <w:tc>
          <w:tcPr>
            <w:tcW w:w="19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Face</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1"/>
              <w:ind w:left="0" w:right="0" w:hanging="0"/>
              <w:jc w:val="left"/>
              <w:rPr/>
            </w:pPr>
            <w:r>
              <w:rPr/>
              <w:t>​</w:t>
            </w:r>
          </w:p>
        </w:tc>
        <w:tc>
          <w:tcPr>
            <w:tcW w:w="21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center"/>
              <w:rPr/>
            </w:pPr>
            <w:r>
              <w:rPr/>
              <w:t>​</w:t>
            </w:r>
          </w:p>
        </w:tc>
      </w:tr>
      <w:tr>
        <w:trPr/>
        <w:tc>
          <w:tcPr>
            <w:tcW w:w="1919"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    </w:t>
            </w:r>
          </w:p>
        </w:tc>
        <w:tc>
          <w:tcPr>
            <w:tcW w:w="21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1"/>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Call Date</w:t>
            </w:r>
          </w:p>
        </w:tc>
      </w:tr>
      <w:tr>
        <w:trPr/>
        <w:tc>
          <w:tcPr>
            <w:tcW w:w="191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Subordinated notes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50,000</w:t>
            </w:r>
          </w:p>
        </w:tc>
        <w:tc>
          <w:tcPr>
            <w:tcW w:w="326" w:type="dxa"/>
            <w:tcBorders/>
            <w:shd w:fill="CCEEFF" w:val="clear"/>
            <w:vAlign w:val="center"/>
          </w:tcPr>
          <w:p>
            <w:pPr>
              <w:pStyle w:val="TableContents"/>
              <w:bidi w:val="0"/>
              <w:spacing w:before="0" w:after="1"/>
              <w:ind w:left="0" w:right="0" w:hanging="0"/>
              <w:jc w:val="left"/>
              <w:rPr/>
            </w:pPr>
            <w:r>
              <w:rPr/>
              <w:t> </w:t>
            </w:r>
          </w:p>
        </w:tc>
        <w:tc>
          <w:tcPr>
            <w:tcW w:w="21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Fixed</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9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3/30/2031</w:t>
            </w:r>
          </w:p>
        </w:tc>
        <w:tc>
          <w:tcPr>
            <w:tcW w:w="326" w:type="dxa"/>
            <w:tcBorders/>
            <w:shd w:fill="CCEEFF" w:val="clear"/>
            <w:vAlign w:val="center"/>
          </w:tcPr>
          <w:p>
            <w:pPr>
              <w:pStyle w:val="TableContents"/>
              <w:bidi w:val="0"/>
              <w:spacing w:before="0" w:after="1"/>
              <w:ind w:left="0" w:right="0" w:hanging="0"/>
              <w:jc w:val="left"/>
              <w:rPr/>
            </w:pPr>
            <w:r>
              <w:rPr/>
              <w:t> </w:t>
            </w:r>
          </w:p>
        </w:tc>
        <w:tc>
          <w:tcPr>
            <w:tcW w:w="85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3/31/2026</w:t>
            </w:r>
          </w:p>
        </w:tc>
      </w:tr>
      <w:tr>
        <w:trPr/>
        <w:tc>
          <w:tcPr>
            <w:tcW w:w="191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Junior subordinated debenture (Trust I)</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3,583</w:t>
            </w:r>
          </w:p>
        </w:tc>
        <w:tc>
          <w:tcPr>
            <w:tcW w:w="326" w:type="dxa"/>
            <w:tcBorders/>
            <w:vAlign w:val="center"/>
          </w:tcPr>
          <w:p>
            <w:pPr>
              <w:pStyle w:val="TableContents"/>
              <w:bidi w:val="0"/>
              <w:spacing w:before="0" w:after="1"/>
              <w:ind w:left="0" w:right="0" w:hanging="0"/>
              <w:jc w:val="left"/>
              <w:rPr/>
            </w:pPr>
            <w:r>
              <w:rPr/>
              <w:t> </w:t>
            </w:r>
          </w:p>
        </w:tc>
        <w:tc>
          <w:tcPr>
            <w:tcW w:w="21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Three-month CME SOFR + 0.26% + 3.10%</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9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6/26/2033</w:t>
            </w:r>
          </w:p>
        </w:tc>
        <w:tc>
          <w:tcPr>
            <w:tcW w:w="326" w:type="dxa"/>
            <w:tcBorders/>
            <w:vAlign w:val="center"/>
          </w:tcPr>
          <w:p>
            <w:pPr>
              <w:pStyle w:val="TableContents"/>
              <w:bidi w:val="0"/>
              <w:spacing w:before="0" w:after="1"/>
              <w:ind w:left="0" w:right="0" w:hanging="0"/>
              <w:jc w:val="left"/>
              <w:rPr/>
            </w:pPr>
            <w:r>
              <w:rPr/>
              <w:t> </w:t>
            </w:r>
          </w:p>
        </w:tc>
        <w:tc>
          <w:tcPr>
            <w:tcW w:w="857"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6/26/2008</w:t>
            </w:r>
          </w:p>
        </w:tc>
      </w:tr>
      <w:tr>
        <w:trPr/>
        <w:tc>
          <w:tcPr>
            <w:tcW w:w="191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Junior subordinated debenture (Trust II)</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6,186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5,373</w:t>
            </w:r>
          </w:p>
        </w:tc>
        <w:tc>
          <w:tcPr>
            <w:tcW w:w="326" w:type="dxa"/>
            <w:tcBorders/>
            <w:shd w:fill="CCEEFF" w:val="clear"/>
            <w:vAlign w:val="center"/>
          </w:tcPr>
          <w:p>
            <w:pPr>
              <w:pStyle w:val="TableContents"/>
              <w:bidi w:val="0"/>
              <w:spacing w:before="0" w:after="1"/>
              <w:ind w:left="0" w:right="0" w:hanging="0"/>
              <w:jc w:val="left"/>
              <w:rPr/>
            </w:pPr>
            <w:r>
              <w:rPr/>
              <w:t> </w:t>
            </w:r>
          </w:p>
        </w:tc>
        <w:tc>
          <w:tcPr>
            <w:tcW w:w="21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Three-month CME SOFR + 0.26% + 1.80%</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9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9/15/2036</w:t>
            </w:r>
          </w:p>
        </w:tc>
        <w:tc>
          <w:tcPr>
            <w:tcW w:w="326" w:type="dxa"/>
            <w:tcBorders/>
            <w:shd w:fill="CCEEFF" w:val="clear"/>
            <w:vAlign w:val="center"/>
          </w:tcPr>
          <w:p>
            <w:pPr>
              <w:pStyle w:val="TableContents"/>
              <w:bidi w:val="0"/>
              <w:spacing w:before="0" w:after="1"/>
              <w:ind w:left="0" w:right="0" w:hanging="0"/>
              <w:jc w:val="left"/>
              <w:rPr/>
            </w:pPr>
            <w:r>
              <w:rPr/>
              <w:t> </w:t>
            </w:r>
          </w:p>
        </w:tc>
        <w:tc>
          <w:tcPr>
            <w:tcW w:w="85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9/15/2011</w:t>
            </w:r>
          </w:p>
        </w:tc>
      </w:tr>
      <w:tr>
        <w:trPr/>
        <w:tc>
          <w:tcPr>
            <w:tcW w:w="191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long-term debt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60,310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58,956</w:t>
            </w:r>
          </w:p>
        </w:tc>
        <w:tc>
          <w:tcPr>
            <w:tcW w:w="326" w:type="dxa"/>
            <w:tcBorders/>
            <w:vAlign w:val="center"/>
          </w:tcPr>
          <w:p>
            <w:pPr>
              <w:pStyle w:val="TableContents"/>
              <w:bidi w:val="0"/>
              <w:spacing w:before="0" w:after="1"/>
              <w:ind w:left="0" w:right="0" w:hanging="0"/>
              <w:jc w:val="left"/>
              <w:rPr/>
            </w:pPr>
            <w:r>
              <w:rPr/>
              <w:t> </w:t>
            </w:r>
          </w:p>
        </w:tc>
        <w:tc>
          <w:tcPr>
            <w:tcW w:w="215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92"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857" w:type="dxa"/>
            <w:tcBorders/>
            <w:vAlign w:val="center"/>
          </w:tcPr>
          <w:p>
            <w:pPr>
              <w:pStyle w:val="TableContents"/>
              <w:bidi w:val="0"/>
              <w:spacing w:before="0" w:after="1"/>
              <w:ind w:left="0" w:right="0" w:hanging="0"/>
              <w:jc w:val="right"/>
              <w:rPr/>
            </w:pPr>
            <w:r>
              <w:rPr/>
              <w:t>  </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767" w:name="Tc_uRrue_vP9USCVrtdEzJj7g_5_5"/>
      <w:bookmarkStart w:id="2768" w:name="Tc_OvTP7JVKO0u8HWWMqVafHg_5_2"/>
      <w:bookmarkStart w:id="2769" w:name="Tc_czqDwhkhKUqzlZQ9UG2TWA_5_0"/>
      <w:bookmarkStart w:id="2770" w:name="Tc_Tw46Pz_OT0yog98l0T26Yg_4_0"/>
      <w:bookmarkStart w:id="2771" w:name="Tc_-ANJIuZY4k6-DLlTWKKiug_3_5"/>
      <w:bookmarkStart w:id="2772" w:name="Tc_zGncE-Agv0ai3w17ZkOPqA_3_2"/>
      <w:bookmarkStart w:id="2773" w:name="Tc_mNNOtIYLTUCjuDJ53bevkA_3_0"/>
      <w:bookmarkStart w:id="2774" w:name="Tc_euKfDRpub0qTAYJ1JE5mFA_2_5"/>
      <w:bookmarkStart w:id="2775" w:name="Tc_wLk2xOgw50OMJtURfF87bg_2_2"/>
      <w:bookmarkStart w:id="2776" w:name="Tc_hipvjBgYKk-hrqykRu-pTg_2_0"/>
      <w:bookmarkStart w:id="2777" w:name="Tc_uyVaImJXBk6wFm4_XSBKeg_1_5"/>
      <w:bookmarkStart w:id="2778" w:name="Tc_JHDJfSmaA0eJ9Z5IpkZAKQ_1_2"/>
      <w:bookmarkEnd w:id="2767"/>
      <w:bookmarkEnd w:id="2768"/>
      <w:bookmarkEnd w:id="2769"/>
      <w:bookmarkEnd w:id="2770"/>
      <w:bookmarkEnd w:id="2771"/>
      <w:bookmarkEnd w:id="2772"/>
      <w:bookmarkEnd w:id="2773"/>
      <w:bookmarkEnd w:id="2774"/>
      <w:bookmarkEnd w:id="2775"/>
      <w:bookmarkEnd w:id="2776"/>
      <w:bookmarkEnd w:id="2777"/>
      <w:bookmarkEnd w:id="2778"/>
      <w:r>
        <w:rPr>
          <w:rFonts w:ascii="Times New Roman;Times;serif" w:hAnsi="Times New Roman;Times;serif"/>
          <w:b/>
          <w:sz w:val="20"/>
        </w:rPr>
        <w:t>NOTE 11 Commitments and Contingencies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normal course of business, the Company has outstanding commitments and contingent liabilities, such as commitments to extend credit and standby letters of credit, which are not included in the accompanying consolidated financial statements. The Company exposure to credit loss in the event of nonperformance by the other party to the financial instruments for commitments to extend credit and standby letters of credit is represented by the contractual or notional amount of those instruments. The Company uses the same credit policies in making such commitments as it does for instruments that are included in the statements of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summary of the contractual amounts of the Company’s exposure to off-balance sheet risk as of March 31, 2024 and December 31, 2023, respectively, was as follows:</w:t>
      </w:r>
    </w:p>
    <w:p>
      <w:pPr>
        <w:pStyle w:val="TextBody"/>
        <w:bidi w:val="0"/>
        <w:spacing w:before="0" w:after="0"/>
        <w:ind w:left="0" w:right="0" w:hanging="0"/>
        <w:jc w:val="left"/>
        <w:rPr/>
      </w:pPr>
      <w:r>
        <w:rPr/>
        <w:t>​</w:t>
      </w:r>
    </w:p>
    <w:tbl>
      <w:tblPr>
        <w:tblW w:w="4973" w:type="dxa"/>
        <w:jc w:val="left"/>
        <w:tblInd w:w="0" w:type="dxa"/>
        <w:tblLayout w:type="fixed"/>
        <w:tblCellMar>
          <w:top w:w="0" w:type="dxa"/>
          <w:left w:w="0" w:type="dxa"/>
          <w:bottom w:w="0" w:type="dxa"/>
          <w:right w:w="0" w:type="dxa"/>
        </w:tblCellMar>
      </w:tblPr>
      <w:tblGrid>
        <w:gridCol w:w="2236"/>
        <w:gridCol w:w="326"/>
        <w:gridCol w:w="199"/>
        <w:gridCol w:w="701"/>
        <w:gridCol w:w="326"/>
        <w:gridCol w:w="233"/>
        <w:gridCol w:w="952"/>
      </w:tblGrid>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26365" cy="175260"/>
                      <wp:effectExtent l="0" t="0" r="0" b="0"/>
                      <wp:wrapNone/>
                      <wp:docPr id="417" name="Frame417"/>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45135" cy="175260"/>
                      <wp:effectExtent l="0" t="0" r="0" b="0"/>
                      <wp:wrapNone/>
                      <wp:docPr id="418" name="Frame418"/>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47955" cy="175260"/>
                      <wp:effectExtent l="0" t="0" r="0" b="0"/>
                      <wp:wrapNone/>
                      <wp:docPr id="420" name="Frame420"/>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04520" cy="175260"/>
                      <wp:effectExtent l="0" t="0" r="0" b="0"/>
                      <wp:wrapNone/>
                      <wp:docPr id="421" name="Frame421"/>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to extend credit</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916,200</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942,413</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Standby letters of credit</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12,755</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10,045</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928,955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952,458</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establishes an ACL on unfunded commitments, except those that are unconditionally cancellable by the Company. As of March 31, 2024 and December 31, 2023, the ACL on unfunded commitments was $6.6 million and $7.4 million, respectively. The ACL on unfunded commitments was presented within accrued expenses and other liabilities on the consolidated balance sheet. For the three months ended March 31, 2024 and 2023, the provision (recovery) for credit losses on unfunded commitments was ($794) thousand and $230 thousand, respectively.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Commitments to extend credit are agreements to lend to a client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client’s creditworthiness on a case by case basis. The amount of collateral obtained, if deemed necessary by the Company upon extension of credit, is based on management’s credit evaluation. Collateral held varies but may include accounts receivable, inventory, property and equipment, and income producing commercial properties.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was not required to perform on any financial guarantees and did not incur any losses on its commitments during the past two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utilizes standby letters of credit issued by either the FHLB or the Bank of North Dakota to secure public unit deposits. The Company had no letters of credit outstanding with the FHLB as of March 31, 2024 or December 31, 2023. With the Bank of North Dakota, the Company had letters of credit outstanding in the amount of $200.0 million and $182.0 million as of March 31, 2024 and December 31, 2023, respectively. Letters of credit with the Bank of North Dakota were collateralized by loans pledged to the Bank of North Dakota in the amount of $460.9 million and $454.6 million as of March 31, 2024 and December 31, 2023,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Contingencies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normal course of business, the Company and its subsidiaries are subject to pending and threatened litigation, claims investigations and legal and administrative cases and proceedings. Although the Company is not able to predict the outcome of such actions, after reviewing pending and threatened actions with counsel, management believes that, based on the information currently available, the outcome of such actions, individually or in the aggregate, will not have a material adverse effect on the Company’s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Reserves are established for legal claims only when losses associated with the claims are judged to be probable, and the loss can be reasonably estimated. Assessments of litigation exposure are difficult because they involve inherently unpredictable factors including, but not limited to: whether the proceeding is in the early stages; whether damages are unspecified, unsupported or uncertain; whether there is a potential for punitive or other pecuniary damages; whether the matter involves legal uncertainties, including novel issues of law; whether the matter involves multiple parties and/or jurisdictions; whether discovery has begun or is not complete; whether meaningful settlement discussions have commenced; and whether the lawsuit involves class allegations. In many lawsuits and arbitrations, it is not possible to determine whether a liability has been incurred or to estimate the ultimate or minimum amount of that liability until the case is close to resolution, in which case a reserve will not be recognized until that time. Assessments of class action litigation, which is generally more complex than other types of litigation, are particularly difficult, especially in the early stages of the proceeding when it is not known whether a class will be certified or how a potential class, if certified, will be defined. As a result, the Company may be unable to estimate reasonably possible losses with respect to every litigation matter it faces.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did not have any material loss contingencies that were provided for and/or that are required to be disclosed as of March 31, 2024 and December 31, 2023, respectively.</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779" w:name="Tc_wUHVQ4H5wU-tL0HWfoEKJQ_11_9"/>
      <w:bookmarkStart w:id="2780" w:name="Tc_0dcxoGa01kqs7qIEAMk02Q_11_4"/>
      <w:bookmarkStart w:id="2781" w:name="Tc_A9r6X6moXk6Ay5KhuQ8JRQ_11_0"/>
      <w:bookmarkStart w:id="2782" w:name="Tc_Rk3LMyZMcU2fjyhxsC8d1g_10_5"/>
      <w:bookmarkStart w:id="2783" w:name="Tc_NhKAencsEECnzlD1lFhLZg_10_2"/>
      <w:bookmarkStart w:id="2784" w:name="Tc_KHCaUCExwUyW7nF2eLDPuw_10_0"/>
      <w:bookmarkStart w:id="2785" w:name="Tc_yF4RIqNyYkijJ-0Cnd8Fyw_9_0"/>
      <w:bookmarkStart w:id="2786" w:name="Tc_fgKRFPGYcE-D1B9DuUPSUQ_8_0"/>
      <w:bookmarkStart w:id="2787" w:name="Tc_Ql5oLGKRxkmgZxCM-w277w_7_9"/>
      <w:bookmarkStart w:id="2788" w:name="Tc_99gr3oghHUKzMEGPZMrXXg_7_4"/>
      <w:bookmarkStart w:id="2789" w:name="Tc_VZRJhMFg80iWn9qsElnNyA_7_0"/>
      <w:bookmarkStart w:id="2790" w:name="Tc_hAs4wY_YikScO7E07NQrEg_6_0"/>
      <w:bookmarkStart w:id="2791" w:name="Tc_BbbMQOk2nU29ec4_kmQ9mQ_5_9"/>
      <w:bookmarkStart w:id="2792" w:name="Tc_wgLVXEuVHEGiudW4ndhxWQ_5_7"/>
      <w:bookmarkStart w:id="2793" w:name="Tc_NXlliv3_QEuNr69OqENmEA_5_4"/>
      <w:bookmarkStart w:id="2794" w:name="Tc_1pAwuvZo3kykoq36W1WYVg_5_2"/>
      <w:bookmarkStart w:id="2795" w:name="Tc_c1JkfkM-zUecE7rUc3E6UQ_4_9"/>
      <w:bookmarkStart w:id="2796" w:name="Tc_FqDAR3nNgEqplKUwHMTf4w_4_4"/>
      <w:bookmarkStart w:id="2797" w:name="Tc_cBxHRfCybUS6fUlLprlqbw_3_9"/>
      <w:bookmarkStart w:id="2798" w:name="Tc_ZYlYvMjHB0GECJY8Vkjtlg_3_4"/>
      <w:bookmarkStart w:id="2799" w:name="Tc_iZL5Ybl4OEuNEy5oY0METg_2_7"/>
      <w:bookmarkStart w:id="2800" w:name="Tc_WPE9nAJT-ka9Ah9KNQuRyQ_2_2"/>
      <w:bookmarkStart w:id="2801" w:name="Tc_8iBh3eXnk0yim8Ceg2lN0w_1_2"/>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r>
        <w:rPr>
          <w:rFonts w:ascii="Times New Roman;Times;serif" w:hAnsi="Times New Roman;Times;serif"/>
          <w:b/>
          <w:sz w:val="20"/>
        </w:rPr>
        <w:t>NOTE 12 Share-Based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6, 2019, the Company’s stockholders approved the Alerus Financial Corporation 2019 Equity Incentive Plan. This plan allows the compensation committee the ability to grant a wide variety of equity awards, including stock options, stock appreciation rights, restricted stock, restricted stock units, and cash incentive awards in such forms and amounts as it deems appropriate to accomplish the goals of the plan. Since inception, all awards issued under the plan have been restricted stock and restricted stock units. Any shares subject to an award that is cancelled, forfeited, or expires prior to exercise or realization, either in full or in part, shall again become available for issuance under the plan. However, shares subject to an award shall not again be made available for issuance or delivery under the plan if such shares are (a) tendered in payment of the exercise price of a stock option, (b) delivered to, or withheld by, the Company to satisfy any tax withholding obligation, or (c) covered by a stock-settled stock appreciation right or other awards that were not issued upon the settlement of the award. Restricted stock units issued do not participate in dividends and recipients are not entitled to vote these restricted stock units until shares of the Company’s common stock are delivered after vesting of the restricted stock units. Shares vest, become exercisable and contain such other terms and conditions as determined by the compensation committee and set forth in individual agreements with the participant receiving the award. Awards issued to Company directors are not subject to any service requirements and vest immediately. The plan authorizes the issuance of up to 1,100,000 shares of common stock. As of March 31, 2024, 716,917 shares of common stock are still available for issuance under the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compensation expense relating to awards under these plans was $593 thousand and $159 thousand for the three months ended March 31, 2024 and 2023,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activity in the stock plans for the three months ended March 31, 2024 and 2023:</w:t>
      </w:r>
    </w:p>
    <w:p>
      <w:pPr>
        <w:pStyle w:val="TextBody"/>
        <w:bidi w:val="0"/>
        <w:spacing w:before="0" w:after="0"/>
        <w:ind w:left="0" w:right="0" w:hanging="0"/>
        <w:jc w:val="left"/>
        <w:rPr/>
      </w:pPr>
      <w:r>
        <w:rPr/>
        <w:t>​</w:t>
      </w:r>
    </w:p>
    <w:tbl>
      <w:tblPr>
        <w:tblW w:w="9092" w:type="dxa"/>
        <w:jc w:val="left"/>
        <w:tblInd w:w="0" w:type="dxa"/>
        <w:tblLayout w:type="fixed"/>
        <w:tblCellMar>
          <w:top w:w="0" w:type="dxa"/>
          <w:left w:w="0" w:type="dxa"/>
          <w:bottom w:w="0" w:type="dxa"/>
          <w:right w:w="0" w:type="dxa"/>
        </w:tblCellMar>
      </w:tblPr>
      <w:tblGrid>
        <w:gridCol w:w="3751"/>
        <w:gridCol w:w="326"/>
        <w:gridCol w:w="721"/>
        <w:gridCol w:w="326"/>
        <w:gridCol w:w="351"/>
        <w:gridCol w:w="924"/>
        <w:gridCol w:w="326"/>
        <w:gridCol w:w="721"/>
        <w:gridCol w:w="326"/>
        <w:gridCol w:w="318"/>
        <w:gridCol w:w="1002"/>
      </w:tblGrid>
      <w:tr>
        <w:trPr/>
        <w:tc>
          <w:tcPr>
            <w:tcW w:w="3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2"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57835" cy="175260"/>
                      <wp:effectExtent l="0" t="0" r="0" b="0"/>
                      <wp:wrapNone/>
                      <wp:docPr id="423" name="Frame42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22885" cy="175260"/>
                      <wp:effectExtent l="0" t="0" r="0" b="0"/>
                      <wp:wrapNone/>
                      <wp:docPr id="425" name="Frame425"/>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86740" cy="175260"/>
                      <wp:effectExtent l="0" t="0" r="0" b="0"/>
                      <wp:wrapNone/>
                      <wp:docPr id="426" name="Frame426"/>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57835" cy="175260"/>
                      <wp:effectExtent l="0" t="0" r="0" b="0"/>
                      <wp:wrapNone/>
                      <wp:docPr id="428" name="Frame42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1930" cy="175260"/>
                      <wp:effectExtent l="0" t="0" r="0" b="0"/>
                      <wp:wrapNone/>
                      <wp:docPr id="430" name="Frame430"/>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36270" cy="175260"/>
                      <wp:effectExtent l="0" t="0" r="0" b="0"/>
                      <wp:wrapNone/>
                      <wp:docPr id="431" name="Frame431"/>
                      <a:graphic xmlns:a="http://schemas.openxmlformats.org/drawingml/2006/main">
                        <a:graphicData uri="http://schemas.microsoft.com/office/word/2010/wordprocessingShape">
                          <wps:wsp>
                            <wps:cNvSpPr txBox="1"/>
                            <wps:spPr>
                              <a:xfrm>
                                <a:off x="0" y="0"/>
                                <a:ext cx="636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15"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236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3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0"/>
              <w:ind w:left="0" w:right="0" w:hanging="0"/>
              <w:jc w:val="left"/>
              <w:rPr/>
            </w:pPr>
            <w:r>
              <w:rPr/>
              <w:t>    </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Stock and Restricted Stock Unit Awards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51"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8" w:type="dxa"/>
            <w:tcBorders/>
            <w:shd w:fill="CCEEFF" w:val="clear"/>
            <w:vAlign w:val="center"/>
          </w:tcPr>
          <w:p>
            <w:pPr>
              <w:pStyle w:val="TableContents"/>
              <w:bidi w:val="0"/>
              <w:spacing w:before="0" w:after="0"/>
              <w:ind w:left="0" w:right="0" w:hanging="0"/>
              <w:jc w:val="left"/>
              <w:rPr/>
            </w:pPr>
            <w:r>
              <w:rPr/>
              <w:t>​</w:t>
            </w:r>
          </w:p>
        </w:tc>
        <w:tc>
          <w:tcPr>
            <w:tcW w:w="1002" w:type="dxa"/>
            <w:tcBorders/>
            <w:shd w:fill="CCEEFF" w:val="clear"/>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at beginning of period</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231,657</w:t>
            </w:r>
          </w:p>
        </w:tc>
        <w:tc>
          <w:tcPr>
            <w:tcW w:w="326"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22.96</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238,929</w:t>
            </w:r>
          </w:p>
        </w:tc>
        <w:tc>
          <w:tcPr>
            <w:tcW w:w="32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23.66</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60,976</w:t>
            </w:r>
          </w:p>
        </w:tc>
        <w:tc>
          <w:tcPr>
            <w:tcW w:w="326" w:type="dxa"/>
            <w:tcBorders/>
            <w:shd w:fill="CCEEFF" w:val="clear"/>
            <w:vAlign w:val="center"/>
          </w:tcPr>
          <w:p>
            <w:pPr>
              <w:pStyle w:val="TableContents"/>
              <w:bidi w:val="0"/>
              <w:spacing w:before="0" w:after="0"/>
              <w:ind w:left="0" w:right="0" w:hanging="0"/>
              <w:jc w:val="left"/>
              <w:rPr/>
            </w:pPr>
            <w:r>
              <w:rPr/>
              <w:t> </w:t>
            </w:r>
          </w:p>
        </w:tc>
        <w:tc>
          <w:tcPr>
            <w:tcW w:w="351"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21.83</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82,810</w:t>
            </w:r>
          </w:p>
        </w:tc>
        <w:tc>
          <w:tcPr>
            <w:tcW w:w="326" w:type="dxa"/>
            <w:tcBorders/>
            <w:shd w:fill="CCEEFF" w:val="clear"/>
            <w:vAlign w:val="center"/>
          </w:tcPr>
          <w:p>
            <w:pPr>
              <w:pStyle w:val="TableContents"/>
              <w:bidi w:val="0"/>
              <w:spacing w:before="0" w:after="0"/>
              <w:ind w:left="0" w:right="0" w:hanging="0"/>
              <w:jc w:val="left"/>
              <w:rPr/>
            </w:pPr>
            <w:r>
              <w:rPr/>
              <w:t> </w:t>
            </w:r>
          </w:p>
        </w:tc>
        <w:tc>
          <w:tcPr>
            <w:tcW w:w="318" w:type="dxa"/>
            <w:tcBorders/>
            <w:shd w:fill="CCEEFF" w:val="clear"/>
            <w:vAlign w:val="center"/>
          </w:tcPr>
          <w:p>
            <w:pPr>
              <w:pStyle w:val="TableContents"/>
              <w:bidi w:val="0"/>
              <w:spacing w:before="0" w:after="0"/>
              <w:ind w:left="0" w:right="0" w:hanging="0"/>
              <w:jc w:val="left"/>
              <w:rPr/>
            </w:pPr>
            <w:r>
              <w:rPr/>
              <w:t>​</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20.85</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Vested</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(38,149)</w:t>
            </w:r>
          </w:p>
        </w:tc>
        <w:tc>
          <w:tcPr>
            <w:tcW w:w="326" w:type="dxa"/>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26.05</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(91,867)</w:t>
            </w:r>
          </w:p>
        </w:tc>
        <w:tc>
          <w:tcPr>
            <w:tcW w:w="32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21.29</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 or cancelled</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51"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(22,204)</w:t>
            </w:r>
          </w:p>
        </w:tc>
        <w:tc>
          <w:tcPr>
            <w:tcW w:w="326" w:type="dxa"/>
            <w:tcBorders/>
            <w:shd w:fill="CCEEFF" w:val="clear"/>
            <w:vAlign w:val="center"/>
          </w:tcPr>
          <w:p>
            <w:pPr>
              <w:pStyle w:val="TableContents"/>
              <w:bidi w:val="0"/>
              <w:spacing w:before="0" w:after="0"/>
              <w:ind w:left="0" w:right="0" w:hanging="0"/>
              <w:jc w:val="left"/>
              <w:rPr/>
            </w:pPr>
            <w:r>
              <w:rPr/>
              <w:t> </w:t>
            </w:r>
          </w:p>
        </w:tc>
        <w:tc>
          <w:tcPr>
            <w:tcW w:w="318" w:type="dxa"/>
            <w:tcBorders/>
            <w:shd w:fill="CCEEFF" w:val="clear"/>
            <w:vAlign w:val="center"/>
          </w:tcPr>
          <w:p>
            <w:pPr>
              <w:pStyle w:val="TableContents"/>
              <w:bidi w:val="0"/>
              <w:spacing w:before="0" w:after="0"/>
              <w:ind w:left="0" w:right="0" w:hanging="0"/>
              <w:jc w:val="left"/>
              <w:rPr/>
            </w:pPr>
            <w:r>
              <w:rPr/>
              <w:t>​</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21.39</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at end of period</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254,484</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22.18</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207,668</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2"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23.83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2024, there was $3.6 million of unrecognized compensation expense related to non-vested awards granted under the plans. The expense is expected to be recognized over a weighted-average period of 2.4 years.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802" w:name="Tc_kuv1rL4TAEWfuqFVv54EQA_10_12"/>
      <w:bookmarkStart w:id="2803" w:name="Tc_5sa5dLyx1UKx-NCNV32NQQ_10_8"/>
      <w:bookmarkStart w:id="2804" w:name="Tc_JNpZU8_44UKQDCfB2zJpfA_10_6"/>
      <w:bookmarkStart w:id="2805" w:name="Tc_SmGnhrpPpEa6u5CdrifF9g_10_2"/>
      <w:bookmarkStart w:id="2806" w:name="Tc_GBh1deCti0WS5iWAhQqutA_10_0"/>
      <w:bookmarkStart w:id="2807" w:name="Tc_XYKCRRao7UGG4roD2CVL-g_9_12"/>
      <w:bookmarkStart w:id="2808" w:name="Tc_gzXXHEH_UU60laxS5bAGzw_9_6"/>
      <w:bookmarkStart w:id="2809" w:name="Tc_-Fq4zeUk60aET_--zmItug_9_0"/>
      <w:bookmarkStart w:id="2810" w:name="Tc_Y6KjyHjXAU2dKxrQsMj3fg_8_12"/>
      <w:bookmarkStart w:id="2811" w:name="Tc_9xss84WYkkC1QFtTskaIzQ_8_6"/>
      <w:bookmarkStart w:id="2812" w:name="Tc_3tJyDNW1NU-VT68eL-h2fQ_8_0"/>
      <w:bookmarkStart w:id="2813" w:name="Tc_N-_0yHFwuUemftwA9hBAoQ_7_12"/>
      <w:bookmarkStart w:id="2814" w:name="Tc_76L8WfqMx0eSN_OtWSsu6g_7_6"/>
      <w:bookmarkStart w:id="2815" w:name="Tc_36663JCwlkKob6Cxw8OJAw_7_0"/>
      <w:bookmarkStart w:id="2816" w:name="Tc_lJJHeQk150achyjt6AjCag_6_0"/>
      <w:bookmarkStart w:id="2817" w:name="Tc_pokyZp1gOkKwyrdmgnEzsg_5_12"/>
      <w:bookmarkStart w:id="2818" w:name="Tc_faq7nVNuR0CrbNAUdeRuQg_5_8"/>
      <w:bookmarkStart w:id="2819" w:name="Tc_HHyXODmc30Kj61gHItV5mw_5_6"/>
      <w:bookmarkStart w:id="2820" w:name="Tc_2bFu83Z6wEGLhuFYf2a6mg_5_2"/>
      <w:bookmarkStart w:id="2821" w:name="Tc_pGlAopHeqkKq7_nwJrzScA_5_0"/>
      <w:bookmarkStart w:id="2822" w:name="Tc_Ba2mwfSxFUyRY7mDAyyTfw_4_11"/>
      <w:bookmarkStart w:id="2823" w:name="Tc_F8_7TCJUrk--LertDxsG9g_4_8"/>
      <w:bookmarkStart w:id="2824" w:name="Tc_19nn6RTD_UaRfhDWqACVYA_4_5"/>
      <w:bookmarkStart w:id="2825" w:name="Tc_p9jWhk8z0EWw2ZBkznwmdw_4_2"/>
      <w:bookmarkStart w:id="2826" w:name="Tc_UHOux821Rk2PTx4-dk8qig_4_0"/>
      <w:bookmarkStart w:id="2827" w:name="Tc__SihF7wGXUGovcp4EiDvbA_3_11"/>
      <w:bookmarkStart w:id="2828" w:name="Tc_rtcdsywh8kWxFxYnVcfkmQ_3_5"/>
      <w:bookmarkStart w:id="2829" w:name="Tc_Ac4UVZGnc0eiF1nPXnlF2Q_2_8"/>
      <w:bookmarkStart w:id="2830" w:name="Tc_F5kAd_wWAE6upDAot1p01w_2_2"/>
      <w:bookmarkStart w:id="2831" w:name="Tc_a2D0aL6i6kCedA-LOmA6rQ_1_2"/>
      <w:bookmarkStart w:id="2832" w:name="_e0aee525_76ea_4ebb_ae97_aa261c51c846"/>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r>
        <w:rPr>
          <w:rFonts w:ascii="Times New Roman;Times;serif" w:hAnsi="Times New Roman;Times;serif"/>
          <w:b/>
          <w:sz w:val="20"/>
        </w:rPr>
        <w:t>NOTE 13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components of income tax expense (benefit) for the three months ended March 31, 2024 and 2023 were as follows:</w:t>
      </w:r>
    </w:p>
    <w:p>
      <w:pPr>
        <w:pStyle w:val="TextBody"/>
        <w:bidi w:val="0"/>
        <w:spacing w:before="0" w:after="0"/>
        <w:ind w:left="0" w:right="0" w:hanging="0"/>
        <w:jc w:val="left"/>
        <w:rPr/>
      </w:pPr>
      <w:r>
        <w:rPr/>
        <w:t>​</w:t>
      </w:r>
    </w:p>
    <w:tbl>
      <w:tblPr>
        <w:tblW w:w="8588" w:type="dxa"/>
        <w:jc w:val="left"/>
        <w:tblInd w:w="0" w:type="dxa"/>
        <w:tblLayout w:type="fixed"/>
        <w:tblCellMar>
          <w:top w:w="0" w:type="dxa"/>
          <w:left w:w="0" w:type="dxa"/>
          <w:bottom w:w="0" w:type="dxa"/>
          <w:right w:w="0" w:type="dxa"/>
        </w:tblCellMar>
      </w:tblPr>
      <w:tblGrid>
        <w:gridCol w:w="3046"/>
        <w:gridCol w:w="326"/>
        <w:gridCol w:w="196"/>
        <w:gridCol w:w="511"/>
        <w:gridCol w:w="326"/>
        <w:gridCol w:w="1171"/>
        <w:gridCol w:w="256"/>
        <w:gridCol w:w="206"/>
        <w:gridCol w:w="196"/>
        <w:gridCol w:w="511"/>
        <w:gridCol w:w="326"/>
        <w:gridCol w:w="1171"/>
        <w:gridCol w:w="346"/>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934210" cy="175260"/>
                      <wp:effectExtent l="0" t="0" r="0" b="0"/>
                      <wp:wrapNone/>
                      <wp:docPr id="432" name="Frame432"/>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24460" cy="175260"/>
                      <wp:effectExtent l="0" t="0" r="0" b="0"/>
                      <wp:wrapNone/>
                      <wp:docPr id="434" name="Frame4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324485" cy="175260"/>
                      <wp:effectExtent l="0" t="0" r="0" b="0"/>
                      <wp:wrapNone/>
                      <wp:docPr id="435" name="Frame43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743585" cy="175260"/>
                      <wp:effectExtent l="0" t="0" r="0" b="0"/>
                      <wp:wrapNone/>
                      <wp:docPr id="437" name="Frame437"/>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62560" cy="175260"/>
                      <wp:effectExtent l="0" t="0" r="0" b="0"/>
                      <wp:wrapNone/>
                      <wp:docPr id="438" name="Frame43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0810" cy="175260"/>
                      <wp:effectExtent l="0" t="0" r="0" b="0"/>
                      <wp:wrapNone/>
                      <wp:docPr id="439" name="Frame43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24460" cy="175260"/>
                      <wp:effectExtent l="0" t="0" r="0" b="0"/>
                      <wp:wrapNone/>
                      <wp:docPr id="440" name="Frame4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324485" cy="175260"/>
                      <wp:effectExtent l="0" t="0" r="0" b="0"/>
                      <wp:wrapNone/>
                      <wp:docPr id="441" name="Frame44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743585" cy="175260"/>
                      <wp:effectExtent l="0" t="0" r="0" b="0"/>
                      <wp:wrapNone/>
                      <wp:docPr id="443" name="Frame44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70"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46" w:type="dxa"/>
            <w:tcBorders/>
            <w:vAlign w:val="center"/>
          </w:tcPr>
          <w:p>
            <w:pPr>
              <w:pStyle w:val="TableContents"/>
              <w:bidi w:val="0"/>
              <w:spacing w:before="0" w:after="1"/>
              <w:ind w:left="0" w:right="0" w:hanging="0"/>
              <w:jc w:val="center"/>
              <w:rPr/>
            </w:pPr>
            <w:r>
              <w:rPr/>
              <w:t>​</w:t>
            </w:r>
          </w:p>
        </w:tc>
      </w:tr>
      <w:tr>
        <w:trPr/>
        <w:tc>
          <w:tcPr>
            <w:tcW w:w="30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5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22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left"/>
              <w:rPr/>
            </w:pPr>
            <w:r>
              <w:rPr/>
              <w:t>​</w:t>
            </w:r>
          </w:p>
        </w:tc>
      </w:tr>
      <w:tr>
        <w:trPr/>
        <w:tc>
          <w:tcPr>
            <w:tcW w:w="30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of</w:t>
            </w:r>
          </w:p>
        </w:tc>
        <w:tc>
          <w:tcPr>
            <w:tcW w:w="25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of</w:t>
            </w:r>
          </w:p>
        </w:tc>
        <w:tc>
          <w:tcPr>
            <w:tcW w:w="346" w:type="dxa"/>
            <w:tcBorders/>
            <w:vAlign w:val="center"/>
          </w:tcPr>
          <w:p>
            <w:pPr>
              <w:pStyle w:val="TableContents"/>
              <w:bidi w:val="0"/>
              <w:spacing w:before="0" w:after="1"/>
              <w:ind w:left="0" w:right="0" w:hanging="0"/>
              <w:jc w:val="left"/>
              <w:rPr/>
            </w:pPr>
            <w:r>
              <w:rPr/>
              <w:t>  </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 Income</w:t>
            </w:r>
          </w:p>
        </w:tc>
        <w:tc>
          <w:tcPr>
            <w:tcW w:w="25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 Income</w:t>
            </w:r>
          </w:p>
        </w:tc>
        <w:tc>
          <w:tcPr>
            <w:tcW w:w="346" w:type="dxa"/>
            <w:tcBorders/>
            <w:vAlign w:val="center"/>
          </w:tcPr>
          <w:p>
            <w:pPr>
              <w:pStyle w:val="TableContents"/>
              <w:bidi w:val="0"/>
              <w:spacing w:before="0" w:after="1"/>
              <w:ind w:left="0" w:right="0" w:hanging="0"/>
              <w:jc w:val="left"/>
              <w:rPr/>
            </w:pPr>
            <w:r>
              <w:rPr/>
              <w:t>  </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Taxes at statutory federal income tax rate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1,790</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2,203</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effect of:</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exempt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income taxes, net of federal benefits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413</w:t>
            </w:r>
          </w:p>
        </w:tc>
        <w:tc>
          <w:tcPr>
            <w:tcW w:w="32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461</w:t>
            </w:r>
          </w:p>
        </w:tc>
        <w:tc>
          <w:tcPr>
            <w:tcW w:w="32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Nondeductible items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Applicable income taxes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2,091</w:t>
            </w:r>
          </w:p>
        </w:tc>
        <w:tc>
          <w:tcPr>
            <w:tcW w:w="326" w:type="dxa"/>
            <w:tcBorders/>
            <w:vAlign w:val="center"/>
          </w:tcPr>
          <w:p>
            <w:pPr>
              <w:pStyle w:val="TableContents"/>
              <w:bidi w:val="0"/>
              <w:spacing w:before="0" w:after="1"/>
              <w:ind w:left="0" w:right="0" w:hanging="0"/>
              <w:jc w:val="left"/>
              <w:rPr/>
            </w:pPr>
            <w:r>
              <w:rPr/>
              <w:t>​</w:t>
            </w:r>
          </w:p>
        </w:tc>
        <w:tc>
          <w:tcPr>
            <w:tcW w:w="11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2,306</w:t>
            </w:r>
          </w:p>
        </w:tc>
        <w:tc>
          <w:tcPr>
            <w:tcW w:w="326" w:type="dxa"/>
            <w:tcBorders/>
            <w:vAlign w:val="center"/>
          </w:tcPr>
          <w:p>
            <w:pPr>
              <w:pStyle w:val="TableContents"/>
              <w:bidi w:val="0"/>
              <w:spacing w:before="0" w:after="1"/>
              <w:ind w:left="0" w:right="0" w:hanging="0"/>
              <w:jc w:val="left"/>
              <w:rPr/>
            </w:pPr>
            <w:r>
              <w:rPr/>
              <w:t>​</w:t>
            </w:r>
          </w:p>
        </w:tc>
        <w:tc>
          <w:tcPr>
            <w:tcW w:w="11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It is the opinion of management that the Company has no significant uncertain tax positions that would be subject to change upon examination.</w:t>
      </w:r>
    </w:p>
    <w:p>
      <w:pPr>
        <w:pStyle w:val="TextBody"/>
        <w:bidi w:val="0"/>
        <w:spacing w:before="0" w:after="240"/>
        <w:ind w:left="0" w:right="0" w:hanging="0"/>
        <w:jc w:val="left"/>
        <w:rPr>
          <w:rFonts w:ascii="Times New Roman;Times;serif" w:hAnsi="Times New Roman;Times;serif"/>
          <w:b/>
          <w:sz w:val="20"/>
        </w:rPr>
      </w:pPr>
      <w:bookmarkStart w:id="2833" w:name="Tc_8l05g9ZppEes1muxtcDiVA_6_11"/>
      <w:bookmarkStart w:id="2834" w:name="Tc_yuOuLa-8ekyvd1X6x05oNQ_6_8"/>
      <w:bookmarkStart w:id="2835" w:name="Tc_Xh1aCq4-0UmEAPlC7gpKxA_6_5"/>
      <w:bookmarkStart w:id="2836" w:name="Tc_eFbjfBYgb0iZrAh7bQaj8g_6_2"/>
      <w:bookmarkStart w:id="2837" w:name="Tc_nK9obUYCSECFm1FzVi_XQw_6_0"/>
      <w:bookmarkStart w:id="2838" w:name="Tc_tlJBJjxejkWCGz5mrRMLmA_5_11"/>
      <w:bookmarkStart w:id="2839" w:name="Tc_f9TMrjRGJUuvFnoDdejsKg_5_8"/>
      <w:bookmarkStart w:id="2840" w:name="Tc_H9efKVcfkECGX7CANL4c_Q_5_5"/>
      <w:bookmarkStart w:id="2841" w:name="Tc_ayJ-g5Ii-kGgsh0IGkn-eQ_5_2"/>
      <w:bookmarkStart w:id="2842" w:name="Tc_ReIqJekUO0GBbuvnPuoptQ_5_0"/>
      <w:bookmarkStart w:id="2843" w:name="Tc_PzALZSbgYkWirEE168isBQ_4_11"/>
      <w:bookmarkStart w:id="2844" w:name="Tc_4J5d-Yx5A06iUws-RIcz2A_4_8"/>
      <w:bookmarkStart w:id="2845" w:name="Tc__I5bPCsXHE6Y0UFJqlMKeg_4_5"/>
      <w:bookmarkStart w:id="2846" w:name="Tc_OuZs5vQZhE-3YUc1OvUFkQ_4_2"/>
      <w:bookmarkStart w:id="2847" w:name="Tc_AMKz7ITJikyh5cHTcgYgWg_4_0"/>
      <w:bookmarkStart w:id="2848" w:name="Tc_5L6uNVHuJ0KzSOoQUruEGQ_3_11"/>
      <w:bookmarkStart w:id="2849" w:name="Tc_24FsYBLKmE2pC0ynOgfAoA_3_8"/>
      <w:bookmarkStart w:id="2850" w:name="Tc_ofx-61H-J0mji-tjVFlL4Q_3_5"/>
      <w:bookmarkStart w:id="2851" w:name="Tc_r9FPLMx84U2nPWI8CwByAA_3_2"/>
      <w:bookmarkStart w:id="2852" w:name="Tc_VHeOpkR7uEuCTz8Krmto6Q_2_8"/>
      <w:bookmarkStart w:id="2853" w:name="Tc_1IxeOv6tG0eci16TDb9jvw_2_2"/>
      <w:bookmarkStart w:id="2854" w:name="Tc_ULNkyWKGcU2V0WJ3El8sfg_1_2"/>
      <w:bookmarkStart w:id="2855" w:name="_22d0478d_8f36_49a4_97aa_ebcd83fe5a43"/>
      <w:bookmarkStart w:id="2856" w:name="Tc_chaVnsV2OUKuMGUc3eSC8A_5_13"/>
      <w:bookmarkStart w:id="2857" w:name="Tc_yYau04wJZUqidie_TP8cTA_5_10"/>
      <w:bookmarkStart w:id="2858" w:name="Tc_7a3rr9NBo0OxbUZLHfrCng_5_7"/>
      <w:bookmarkStart w:id="2859" w:name="Tc_eapMnhd5Z0iBjL72XkisgA_5_4"/>
      <w:bookmarkStart w:id="2860" w:name="Tc_WryQOcmfEUaiL3rGdGwixQ_5_0"/>
      <w:bookmarkStart w:id="2861" w:name="Tc_Wo7-fySSQ0mqxog0Jp0LCA_4_13"/>
      <w:bookmarkStart w:id="2862" w:name="Tc_7WTX84c8SESxDHRswr3CmA_4_10"/>
      <w:bookmarkStart w:id="2863" w:name="Tc_MFJyJQtzdEytHFVuijIG0w_4_7"/>
      <w:bookmarkStart w:id="2864" w:name="Tc_2gbLGdkEb06S4CIxbUdfxg_4_4"/>
      <w:bookmarkStart w:id="2865" w:name="Tc_euk2RT714UGI9Y60d_4hLw_4_2"/>
      <w:bookmarkStart w:id="2866" w:name="Tc_SITEsyYPtE-NHHjuklEKow_4_0"/>
      <w:bookmarkStart w:id="2867" w:name="Tc_rsrapx4rLE-HidHhcAM-8w_3_2"/>
      <w:bookmarkStart w:id="2868" w:name="Tc_sSgANTiNzE-Hik7mejdF5Q_3_0"/>
      <w:bookmarkStart w:id="2869" w:name="Tc_NVQ4Q0d5KUiGWg1PG7ml8g_2_13"/>
      <w:bookmarkStart w:id="2870" w:name="Tc_dzeVwhMukkeQQxWGuK_zTg_2_10"/>
      <w:bookmarkStart w:id="2871" w:name="Tc_ipeyKt4AvUeU3Y7PWePZZQ_2_7"/>
      <w:bookmarkStart w:id="2872" w:name="Tc_T2KKjKHazkGTweprb-bxsA_2_4"/>
      <w:bookmarkStart w:id="2873" w:name="Tc_Rks1Rgx22kSbVDNy6UGD2w_2_0"/>
      <w:bookmarkStart w:id="2874" w:name="Tc_2RwJwqJbyUGDErIlISf4Yw_1_10"/>
      <w:bookmarkStart w:id="2875" w:name="Tc_qfDsweeD0kid-KLTSAShHw_1_4"/>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r>
        <w:rPr>
          <w:rFonts w:ascii="Times New Roman;Times;serif" w:hAnsi="Times New Roman;Times;serif"/>
          <w:b/>
          <w:sz w:val="20"/>
        </w:rPr>
        <w:t>NOTE 14 Tax Credit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invests in qualified affordable housing projects for the purpose of community reinvestment and obtaining tax credits. The Company’s tax credit investments are limited to existing lending relationships with well-known developers and projects within the Company’s market area.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a summary of the Company’s investments in qualified affordable housing project tax credits as of March 31, 2024 and December 31,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37"/>
        <w:gridCol w:w="326"/>
        <w:gridCol w:w="1855"/>
        <w:gridCol w:w="326"/>
        <w:gridCol w:w="196"/>
        <w:gridCol w:w="601"/>
        <w:gridCol w:w="326"/>
        <w:gridCol w:w="393"/>
        <w:gridCol w:w="1027"/>
        <w:gridCol w:w="326"/>
        <w:gridCol w:w="196"/>
        <w:gridCol w:w="601"/>
        <w:gridCol w:w="326"/>
        <w:gridCol w:w="318"/>
        <w:gridCol w:w="1151"/>
      </w:tblGrid>
      <w:tr>
        <w:trPr/>
        <w:tc>
          <w:tcPr>
            <w:tcW w:w="2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420495" cy="175260"/>
                      <wp:effectExtent l="0" t="0" r="0" b="0"/>
                      <wp:wrapNone/>
                      <wp:docPr id="445" name="Frame445"/>
                      <a:graphic xmlns:a="http://schemas.openxmlformats.org/drawingml/2006/main">
                        <a:graphicData uri="http://schemas.microsoft.com/office/word/2010/wordprocessingShape">
                          <wps:wsp>
                            <wps:cNvSpPr txBox="1"/>
                            <wps:spPr>
                              <a:xfrm>
                                <a:off x="0" y="0"/>
                                <a:ext cx="142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177925" cy="175260"/>
                      <wp:effectExtent l="0" t="0" r="0" b="0"/>
                      <wp:wrapNone/>
                      <wp:docPr id="447" name="Frame447"/>
                      <a:graphic xmlns:a="http://schemas.openxmlformats.org/drawingml/2006/main">
                        <a:graphicData uri="http://schemas.microsoft.com/office/word/2010/wordprocessingShape">
                          <wps:wsp>
                            <wps:cNvSpPr txBox="1"/>
                            <wps:spPr>
                              <a:xfrm>
                                <a:off x="0" y="0"/>
                                <a:ext cx="1177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24460" cy="175260"/>
                      <wp:effectExtent l="0" t="0" r="0" b="0"/>
                      <wp:wrapNone/>
                      <wp:docPr id="448" name="Frame4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381635" cy="175260"/>
                      <wp:effectExtent l="0" t="0" r="0" b="0"/>
                      <wp:wrapNone/>
                      <wp:docPr id="449" name="Frame44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49555" cy="175260"/>
                      <wp:effectExtent l="0" t="0" r="0" b="0"/>
                      <wp:wrapNone/>
                      <wp:docPr id="451" name="Frame45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52145" cy="175260"/>
                      <wp:effectExtent l="0" t="0" r="0" b="0"/>
                      <wp:wrapNone/>
                      <wp:docPr id="452" name="Frame452"/>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24460" cy="175260"/>
                      <wp:effectExtent l="0" t="0" r="0" b="0"/>
                      <wp:wrapNone/>
                      <wp:docPr id="454" name="Frame4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381635" cy="175260"/>
                      <wp:effectExtent l="0" t="0" r="0" b="0"/>
                      <wp:wrapNone/>
                      <wp:docPr id="455" name="Frame45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56"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1930" cy="175260"/>
                      <wp:effectExtent l="0" t="0" r="0" b="0"/>
                      <wp:wrapNone/>
                      <wp:docPr id="457" name="Frame457"/>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730885" cy="175260"/>
                      <wp:effectExtent l="0" t="0" r="0" b="0"/>
                      <wp:wrapNone/>
                      <wp:docPr id="458" name="Frame458"/>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8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5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1"/>
              <w:ind w:left="0" w:right="0" w:hanging="0"/>
              <w:jc w:val="left"/>
              <w:rPr/>
            </w:pPr>
            <w:r>
              <w:rPr/>
              <w:t>​</w:t>
            </w:r>
          </w:p>
        </w:tc>
        <w:tc>
          <w:tcPr>
            <w:tcW w:w="259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237"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18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1"/>
              <w:ind w:left="0" w:right="0" w:hanging="0"/>
              <w:jc w:val="left"/>
              <w:rPr/>
            </w:pPr>
            <w:r>
              <w:rPr/>
              <w:t>​</w:t>
            </w:r>
          </w:p>
        </w:tc>
        <w:tc>
          <w:tcPr>
            <w:tcW w:w="14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Unfunded Commitment</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1"/>
              <w:ind w:left="0" w:right="0" w:hanging="0"/>
              <w:jc w:val="left"/>
              <w:rPr/>
            </w:pPr>
            <w:r>
              <w:rPr/>
              <w:t>​</w:t>
            </w:r>
          </w:p>
        </w:tc>
        <w:tc>
          <w:tcPr>
            <w:tcW w:w="14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Unfunded Commitment</w:t>
            </w:r>
          </w:p>
        </w:tc>
      </w:tr>
      <w:tr>
        <w:trPr/>
        <w:tc>
          <w:tcPr>
            <w:tcW w:w="2237"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Investment</w:t>
            </w:r>
          </w:p>
        </w:tc>
        <w:tc>
          <w:tcPr>
            <w:tcW w:w="326" w:type="dxa"/>
            <w:tcBorders/>
            <w:shd w:fill="CCEEFF" w:val="clear"/>
            <w:vAlign w:val="center"/>
          </w:tcPr>
          <w:p>
            <w:pPr>
              <w:pStyle w:val="TableContents"/>
              <w:bidi w:val="0"/>
              <w:spacing w:before="0" w:after="1"/>
              <w:ind w:left="0" w:right="0" w:hanging="0"/>
              <w:jc w:val="left"/>
              <w:rPr/>
            </w:pPr>
            <w:r>
              <w:rPr/>
              <w:t>​</w:t>
            </w:r>
          </w:p>
        </w:tc>
        <w:tc>
          <w:tcPr>
            <w:tcW w:w="185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Accounting Method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center"/>
              <w:rPr/>
            </w:pPr>
            <w:r>
              <w:rPr/>
              <w:t>​</w:t>
            </w:r>
          </w:p>
        </w:tc>
        <w:tc>
          <w:tcPr>
            <w:tcW w:w="102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left"/>
              <w:rPr/>
            </w:pPr>
            <w:r>
              <w:rPr/>
              <w:t>​</w:t>
            </w:r>
          </w:p>
        </w:tc>
      </w:tr>
      <w:tr>
        <w:trPr/>
        <w:tc>
          <w:tcPr>
            <w:tcW w:w="2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Low income housing tax credit</w:t>
            </w:r>
          </w:p>
        </w:tc>
        <w:tc>
          <w:tcPr>
            <w:tcW w:w="326" w:type="dxa"/>
            <w:tcBorders/>
            <w:vAlign w:val="center"/>
          </w:tcPr>
          <w:p>
            <w:pPr>
              <w:pStyle w:val="TableContents"/>
              <w:bidi w:val="0"/>
              <w:spacing w:before="0" w:after="1"/>
              <w:ind w:left="0" w:right="0" w:hanging="0"/>
              <w:jc w:val="left"/>
              <w:rPr/>
            </w:pPr>
            <w:r>
              <w:rPr/>
              <w:t> </w:t>
            </w:r>
          </w:p>
        </w:tc>
        <w:tc>
          <w:tcPr>
            <w:tcW w:w="18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Proportional amortization</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17,906</w:t>
            </w:r>
          </w:p>
        </w:tc>
        <w:tc>
          <w:tcPr>
            <w:tcW w:w="326" w:type="dxa"/>
            <w:tcBorders/>
            <w:vAlign w:val="center"/>
          </w:tcPr>
          <w:p>
            <w:pPr>
              <w:pStyle w:val="TableContents"/>
              <w:bidi w:val="0"/>
              <w:spacing w:before="0" w:after="1"/>
              <w:ind w:left="0" w:right="0" w:hanging="0"/>
              <w:jc w:val="left"/>
              <w:rPr/>
            </w:pPr>
            <w:r>
              <w:rPr/>
              <w:t>    </w:t>
            </w:r>
          </w:p>
        </w:tc>
        <w:tc>
          <w:tcPr>
            <w:tcW w:w="39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7,466</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17,906</w:t>
            </w:r>
          </w:p>
        </w:tc>
        <w:tc>
          <w:tcPr>
            <w:tcW w:w="326" w:type="dxa"/>
            <w:tcBorders/>
            <w:vAlign w:val="center"/>
          </w:tcPr>
          <w:p>
            <w:pPr>
              <w:pStyle w:val="TableContents"/>
              <w:bidi w:val="0"/>
              <w:spacing w:before="0" w:after="1"/>
              <w:ind w:left="0" w:right="0" w:hanging="0"/>
              <w:jc w:val="left"/>
              <w:rPr/>
            </w:pPr>
            <w:r>
              <w:rPr/>
              <w:t>    </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12,347</w:t>
            </w:r>
          </w:p>
        </w:tc>
      </w:tr>
      <w:tr>
        <w:trPr/>
        <w:tc>
          <w:tcPr>
            <w:tcW w:w="22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185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17,906</w:t>
            </w:r>
          </w:p>
        </w:tc>
        <w:tc>
          <w:tcPr>
            <w:tcW w:w="326" w:type="dxa"/>
            <w:tcBorders/>
            <w:shd w:fill="CCEEFF" w:val="clear"/>
            <w:vAlign w:val="center"/>
          </w:tcPr>
          <w:p>
            <w:pPr>
              <w:pStyle w:val="TableContents"/>
              <w:bidi w:val="0"/>
              <w:spacing w:before="0" w:after="1"/>
              <w:ind w:left="0" w:right="0" w:hanging="0"/>
              <w:jc w:val="left"/>
              <w:rPr/>
            </w:pPr>
            <w:r>
              <w:rPr/>
              <w:t> </w:t>
            </w:r>
          </w:p>
        </w:tc>
        <w:tc>
          <w:tcPr>
            <w:tcW w:w="39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7,466</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17,906</w:t>
            </w:r>
          </w:p>
        </w:tc>
        <w:tc>
          <w:tcPr>
            <w:tcW w:w="326" w:type="dxa"/>
            <w:tcBorders/>
            <w:shd w:fill="CCEEFF" w:val="clear"/>
            <w:vAlign w:val="center"/>
          </w:tcPr>
          <w:p>
            <w:pPr>
              <w:pStyle w:val="TableContents"/>
              <w:bidi w:val="0"/>
              <w:spacing w:before="0" w:after="1"/>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12,347</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a summary of the amortization expense and tax benefit recognized for the Company’s qualified affordable housing projects for the three months ended March 31, 2024 and 2023:</w:t>
      </w:r>
    </w:p>
    <w:p>
      <w:pPr>
        <w:pStyle w:val="TextBody"/>
        <w:bidi w:val="0"/>
        <w:spacing w:before="0" w:after="0"/>
        <w:ind w:left="0" w:right="0" w:hanging="0"/>
        <w:jc w:val="left"/>
        <w:rPr/>
      </w:pPr>
      <w:r>
        <w:rPr/>
        <w:t>​</w:t>
      </w:r>
    </w:p>
    <w:tbl>
      <w:tblPr>
        <w:tblW w:w="8211" w:type="dxa"/>
        <w:jc w:val="left"/>
        <w:tblInd w:w="0" w:type="dxa"/>
        <w:tblLayout w:type="fixed"/>
        <w:tblCellMar>
          <w:top w:w="0" w:type="dxa"/>
          <w:left w:w="0" w:type="dxa"/>
          <w:bottom w:w="0" w:type="dxa"/>
          <w:right w:w="0" w:type="dxa"/>
        </w:tblCellMar>
      </w:tblPr>
      <w:tblGrid>
        <w:gridCol w:w="2311"/>
        <w:gridCol w:w="109"/>
        <w:gridCol w:w="370"/>
        <w:gridCol w:w="711"/>
        <w:gridCol w:w="326"/>
        <w:gridCol w:w="322"/>
        <w:gridCol w:w="818"/>
        <w:gridCol w:w="326"/>
        <w:gridCol w:w="370"/>
        <w:gridCol w:w="711"/>
        <w:gridCol w:w="326"/>
        <w:gridCol w:w="322"/>
        <w:gridCol w:w="818"/>
        <w:gridCol w:w="37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467485" cy="175260"/>
                      <wp:effectExtent l="0" t="0" r="0" b="0"/>
                      <wp:wrapNone/>
                      <wp:docPr id="459" name="Frame45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34950" cy="175260"/>
                      <wp:effectExtent l="0" t="0" r="0" b="0"/>
                      <wp:wrapNone/>
                      <wp:docPr id="460" name="Frame460"/>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51485" cy="175260"/>
                      <wp:effectExtent l="0" t="0" r="0" b="0"/>
                      <wp:wrapNone/>
                      <wp:docPr id="461" name="Frame461"/>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4470" cy="175260"/>
                      <wp:effectExtent l="0" t="0" r="0" b="0"/>
                      <wp:wrapNone/>
                      <wp:docPr id="463" name="Frame463"/>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519430" cy="175260"/>
                      <wp:effectExtent l="0" t="0" r="0" b="0"/>
                      <wp:wrapNone/>
                      <wp:docPr id="464" name="Frame464"/>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34950" cy="175260"/>
                      <wp:effectExtent l="0" t="0" r="0" b="0"/>
                      <wp:wrapNone/>
                      <wp:docPr id="466" name="Frame466"/>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451485" cy="175260"/>
                      <wp:effectExtent l="0" t="0" r="0" b="0"/>
                      <wp:wrapNone/>
                      <wp:docPr id="467" name="Frame467"/>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8"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4470" cy="175260"/>
                      <wp:effectExtent l="0" t="0" r="0" b="0"/>
                      <wp:wrapNone/>
                      <wp:docPr id="469" name="Frame469"/>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519430" cy="175260"/>
                      <wp:effectExtent l="0" t="0" r="0" b="0"/>
                      <wp:wrapNone/>
                      <wp:docPr id="470" name="Frame470"/>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35585" cy="175260"/>
                      <wp:effectExtent l="0" t="0" r="0" b="0"/>
                      <wp:wrapNone/>
                      <wp:docPr id="471" name="Frame47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2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7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25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Benefit</w:t>
            </w:r>
          </w:p>
        </w:tc>
        <w:tc>
          <w:tcPr>
            <w:tcW w:w="32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Benefit</w:t>
            </w:r>
          </w:p>
        </w:tc>
        <w:tc>
          <w:tcPr>
            <w:tcW w:w="37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Expense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Recognized </w:t>
            </w: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Expense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Recognized </w:t>
            </w:r>
            <w:r>
              <w:rPr>
                <w:rFonts w:ascii="Times New Roman;Times;serif" w:hAnsi="Times New Roman;Times;serif"/>
                <w:sz w:val="14"/>
              </w:rPr>
              <w:t>(2)</w:t>
            </w:r>
          </w:p>
        </w:tc>
        <w:tc>
          <w:tcPr>
            <w:tcW w:w="371" w:type="dxa"/>
            <w:tcBorders/>
            <w:vAlign w:val="center"/>
          </w:tcPr>
          <w:p>
            <w:pPr>
              <w:pStyle w:val="TableContents"/>
              <w:bidi w:val="0"/>
              <w:spacing w:before="0" w:after="0"/>
              <w:ind w:left="0" w:right="0" w:hanging="0"/>
              <w:jc w:val="lef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Low income housing tax credit</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w:t>
            </w:r>
          </w:p>
        </w:tc>
        <w:tc>
          <w:tcPr>
            <w:tcW w:w="326" w:type="dxa"/>
            <w:tcBorders/>
            <w:shd w:fill="CCEEFF" w:val="clear"/>
            <w:vAlign w:val="center"/>
          </w:tcPr>
          <w:p>
            <w:pPr>
              <w:pStyle w:val="TableContents"/>
              <w:bidi w:val="0"/>
              <w:spacing w:before="0" w:after="0"/>
              <w:ind w:left="0" w:right="0" w:hanging="0"/>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w:t>
            </w:r>
          </w:p>
        </w:tc>
        <w:tc>
          <w:tcPr>
            <w:tcW w:w="326" w:type="dxa"/>
            <w:tcBorders/>
            <w:shd w:fill="CCEEFF" w:val="clear"/>
            <w:vAlign w:val="center"/>
          </w:tcPr>
          <w:p>
            <w:pPr>
              <w:pStyle w:val="TableContents"/>
              <w:bidi w:val="0"/>
              <w:spacing w:before="0" w:after="0"/>
              <w:ind w:left="0" w:right="0" w:hanging="0"/>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109"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w:t>
            </w:r>
          </w:p>
        </w:tc>
        <w:tc>
          <w:tcPr>
            <w:tcW w:w="326" w:type="dxa"/>
            <w:tcBorders/>
            <w:vAlign w:val="center"/>
          </w:tcPr>
          <w:p>
            <w:pPr>
              <w:pStyle w:val="TableContents"/>
              <w:bidi w:val="0"/>
              <w:spacing w:before="0" w:after="0"/>
              <w:ind w:left="0" w:right="0" w:hanging="0"/>
              <w:jc w:val="left"/>
              <w:rPr/>
            </w:pPr>
            <w:r>
              <w:rPr/>
              <w:t>​</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w:t>
            </w:r>
          </w:p>
        </w:tc>
        <w:tc>
          <w:tcPr>
            <w:tcW w:w="326" w:type="dxa"/>
            <w:tcBorders/>
            <w:vAlign w:val="center"/>
          </w:tcPr>
          <w:p>
            <w:pPr>
              <w:pStyle w:val="TableContents"/>
              <w:bidi w:val="0"/>
              <w:spacing w:before="0" w:after="0"/>
              <w:ind w:left="0" w:right="0" w:hanging="0"/>
              <w:jc w:val="left"/>
              <w:rPr/>
            </w:pPr>
            <w:r>
              <w:rPr/>
              <w:t>​</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w:t>
            </w:r>
          </w:p>
        </w:tc>
        <w:tc>
          <w:tcPr>
            <w:tcW w:w="371" w:type="dxa"/>
            <w:tcBorders/>
            <w:vAlign w:val="center"/>
          </w:tcPr>
          <w:p>
            <w:pPr>
              <w:pStyle w:val="TableContents"/>
              <w:bidi w:val="0"/>
              <w:spacing w:before="0" w:after="0"/>
              <w:ind w:left="0" w:right="0" w:hanging="0"/>
              <w:jc w:val="left"/>
              <w:rPr/>
            </w:pPr>
            <w:r>
              <w:rPr/>
              <w:t>​</w:t>
            </w:r>
          </w:p>
        </w:tc>
      </w:tr>
    </w:tbl>
    <w:tbl>
      <w:tblPr>
        <w:tblW w:w="7637" w:type="dxa"/>
        <w:jc w:val="left"/>
        <w:tblInd w:w="0" w:type="dxa"/>
        <w:tblLayout w:type="fixed"/>
        <w:tblCellMar>
          <w:top w:w="0" w:type="dxa"/>
          <w:left w:w="0" w:type="dxa"/>
          <w:bottom w:w="0" w:type="dxa"/>
          <w:right w:w="0" w:type="dxa"/>
        </w:tblCellMar>
      </w:tblPr>
      <w:tblGrid>
        <w:gridCol w:w="331"/>
        <w:gridCol w:w="730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7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amortization expense for low income housing tax credits were included in the income tax expense.</w:t>
            </w:r>
          </w:p>
        </w:tc>
      </w:tr>
    </w:tbl>
    <w:tbl>
      <w:tblPr>
        <w:tblW w:w="5447" w:type="dxa"/>
        <w:jc w:val="left"/>
        <w:tblInd w:w="0" w:type="dxa"/>
        <w:tblLayout w:type="fixed"/>
        <w:tblCellMar>
          <w:top w:w="0" w:type="dxa"/>
          <w:left w:w="0" w:type="dxa"/>
          <w:bottom w:w="0" w:type="dxa"/>
          <w:right w:w="0" w:type="dxa"/>
        </w:tblCellMar>
      </w:tblPr>
      <w:tblGrid>
        <w:gridCol w:w="331"/>
        <w:gridCol w:w="511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51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 of the tax benefits recognized were included in income tax expense.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15 Segment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segments are components of an enterprise, which are evaluated regularly by the “chief operating decision maker” in deciding how to allocate resources and assess performance. The Company’s chief operating decision maker is the President and Chief Executive Officer of the Company. Reportable segments are determined based on the services offered, the significance of the services offered, the significance of those services to the Company’s financial statements, and management’s regular review of the operating results of those services. The Company currently operates through three operating segments: Banking, Retirement and Benefit Services, and Wealth Management. In prior periods, the Company had a fourth operating segment, Mortgage. As of January 1, 2024, the Mortgage division was fully integrated into the Banking division by the Company to reflect the way the Company currently manages and views the business. The Company has restated all historical periods presented within these financial statements, and has not included the Mortgage operating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financial information presented for each segment includes net interest income, provision for credit losses, noninterest income, and direct and indirect noninterest expense. Corporate Administration includes all remaining income and expenses not allocated to the three operating segments.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2876" w:name="Tc_75liDtKPsU-GF_Ois9KPUw_9_14"/>
      <w:bookmarkStart w:id="2877" w:name="Tc_2KDORUdKEU-3e9_hdP7HGg_9_11"/>
      <w:bookmarkStart w:id="2878" w:name="Tc_7DUsek1mxES1ZGdds-8jUA_9_8"/>
      <w:bookmarkStart w:id="2879" w:name="Tc_7OEJTw_DMUO97OzJF0Sacw_9_5"/>
      <w:bookmarkStart w:id="2880" w:name="Tc_7vfMwo_g4EWpUw6o13G1TQ_9_2"/>
      <w:bookmarkStart w:id="2881" w:name="Tc_dgVxR0XpQ0iyT24zh7xWzw_9_0"/>
      <w:bookmarkStart w:id="2882" w:name="Tc_48xtDIwIjEy6S6oUCReSfg_8_14"/>
      <w:bookmarkStart w:id="2883" w:name="Tc_WLDt5Po25UCIx-OqC9RXbA_8_11"/>
      <w:bookmarkStart w:id="2884" w:name="Tc_2j--zTjZFUWVW1UtUzfE-Q_8_8"/>
      <w:bookmarkStart w:id="2885" w:name="Tc_OjD_ZgEeGU2ZSctQgAcedw_8_5"/>
      <w:bookmarkStart w:id="2886" w:name="Tc_s4j9EbKrkkmvFXHSAuHoLw_8_2"/>
      <w:bookmarkStart w:id="2887" w:name="Tc_U0UXHn7mQEWSs2WZ5898Jg_8_0"/>
      <w:bookmarkStart w:id="2888" w:name="Tc_rPPuRS3MpU2dBYY8VbQIqw_7_0"/>
      <w:bookmarkStart w:id="2889" w:name="Tc_7anDJR2fFU6lqkEaLgl8RQ_6_0"/>
      <w:bookmarkStart w:id="2890" w:name="Tc_Dobb5iERLU-IpyZDau09Bw_5_12"/>
      <w:bookmarkStart w:id="2891" w:name="Tc_2dpXWcM6M0iPM77aYFPpTg_5_9"/>
      <w:bookmarkStart w:id="2892" w:name="Tc_q1AuJWc1zUytp1bfP96aXw_5_6"/>
      <w:bookmarkStart w:id="2893" w:name="Tc_wN6GBnsNDk2nvsIdoPmmJw_5_0"/>
      <w:bookmarkStart w:id="2894" w:name="Tc_x9EMDA1Sb0WFAPe0joQ4YQ_4_14"/>
      <w:bookmarkStart w:id="2895" w:name="Tc_7ntfSkgO9kiLwcBetsPauQ_4_11"/>
      <w:bookmarkStart w:id="2896" w:name="Tc_ZLNW0qu2HkySpYHYYqH_7Q_4_9"/>
      <w:bookmarkStart w:id="2897" w:name="Tc_hahRhykTeEe1XB6-scOJrw_4_8"/>
      <w:bookmarkStart w:id="2898" w:name="Tc_uFP1s9K2602osyD_8afbvg_4_6"/>
      <w:bookmarkStart w:id="2899" w:name="Tc_CHNHXU4eVUqGHKUytvotlg_4_5"/>
      <w:bookmarkStart w:id="2900" w:name="Tc_gSxkeyeEjUWyOuz7fBSNuQ_4_2"/>
      <w:bookmarkStart w:id="2901" w:name="Tc_jBexuf5JA0ComNXg443LHQ_4_0"/>
      <w:bookmarkStart w:id="2902" w:name="Tc_r5dcGie9aEiUzQHvxV0RHg_3_14"/>
      <w:bookmarkStart w:id="2903" w:name="Tc_LSTzFvT6mEy8imaNMQt5Hw_3_11"/>
      <w:bookmarkStart w:id="2904" w:name="Tc_gYUOpgaz1EqydNidanE48g_3_8"/>
      <w:bookmarkStart w:id="2905" w:name="Tc_v30-O1_gKUasfy75o0T3Pg_3_5"/>
      <w:bookmarkStart w:id="2906" w:name="Tc_JzBKL1agM0-s1y3zODGarw_3_2"/>
      <w:bookmarkStart w:id="2907" w:name="Tc_bYtls5cQakCQ_HEjHSjiTA_3_0"/>
      <w:bookmarkStart w:id="2908" w:name="Tc_WDnP3DUZ_UiF2vEw86HEfg_2_11"/>
      <w:bookmarkStart w:id="2909" w:name="Tc_8gMTBuv9Zke5w0IlbqnKrg_2_8"/>
      <w:bookmarkStart w:id="2910" w:name="Tc_1gttoKo7RESxKl7qJqONwA_2_5"/>
      <w:bookmarkStart w:id="2911" w:name="Tc_sgT9oegD_UmKBgDRcpIHCw_1_2"/>
      <w:bookmarkStart w:id="2912" w:name="_a2e7bc8f_58ad_4e5c_be4d_a73bed77e7fc"/>
      <w:bookmarkStart w:id="2913" w:name="Tc_luGtW2o3YkCKqMf_5VBZmQ_9_14"/>
      <w:bookmarkStart w:id="2914" w:name="Tc_3gzNcl0e2kCxXIYiBgMlpA_9_11"/>
      <w:bookmarkStart w:id="2915" w:name="Tc_LGcfDj13i0ST2uq-vYK41Q_9_8"/>
      <w:bookmarkStart w:id="2916" w:name="Tc_pfH5T5HkD0eaydblUWhMMw_9_5"/>
      <w:bookmarkStart w:id="2917" w:name="Tc_GEtBV-rSrUauCZgBS3QHxQ_9_2"/>
      <w:bookmarkStart w:id="2918" w:name="Tc_XKJa0UiNlE-C_A9y-ESmFA_9_0"/>
      <w:bookmarkStart w:id="2919" w:name="Tc_zfQyru8oyUSMITwJuGtS9g_8_14"/>
      <w:bookmarkStart w:id="2920" w:name="Tc_eHTQGiT2TE64ut4QVm9-NA_8_11"/>
      <w:bookmarkStart w:id="2921" w:name="Tc_IOHHFZAcX0KFa5Jsp_PblQ_8_8"/>
      <w:bookmarkStart w:id="2922" w:name="Tc_uXYVNvsd-0ih7nzUGgzDMw_8_5"/>
      <w:bookmarkStart w:id="2923" w:name="Tc_1cFjeiv8jkaHkE4XSrIPSA_8_2"/>
      <w:bookmarkStart w:id="2924" w:name="Tc_4hX3lPVNF0SaQ2XcJQl_Yg_8_0"/>
      <w:bookmarkStart w:id="2925" w:name="Tc_KApal9MqtkmkWEcy8UX4cA_7_0"/>
      <w:bookmarkStart w:id="2926" w:name="Tc_DEjqkXwCA0y5-N62OZH0yA_6_0"/>
      <w:bookmarkStart w:id="2927" w:name="Tc_9ZfQ8SX_y0S8Fg8GF_Yjwg_5_15"/>
      <w:bookmarkStart w:id="2928" w:name="Tc_PrKf8IBpvEud0adTDUBLhw_5_12"/>
      <w:bookmarkStart w:id="2929" w:name="Tc__Bh8ibU-g0KN6KMxgWhfBA_5_9"/>
      <w:bookmarkStart w:id="2930" w:name="Tc_NKk_SVvaJ0m_I5jFqMAmoQ_5_6"/>
      <w:bookmarkStart w:id="2931" w:name="Tc_mZ0EYJT5d0mPb_j2X_dXXA_5_3"/>
      <w:bookmarkStart w:id="2932" w:name="Tc_JoSfrK5AwkupDk6ZN1XrIA_5_0"/>
      <w:bookmarkStart w:id="2933" w:name="Tc_WWyY4Bize06ApZPOojs_Tw_4_14"/>
      <w:bookmarkStart w:id="2934" w:name="Tc_NYSuPntGpEaGQEpxp8mV2w_4_11"/>
      <w:bookmarkStart w:id="2935" w:name="Tc_c96DO9ybUEevvASmdjLK1A_4_9"/>
      <w:bookmarkStart w:id="2936" w:name="Tc_rN84xr2xTUmejRMlHjoQaQ_4_8"/>
      <w:bookmarkStart w:id="2937" w:name="Tc_B8p-c1PTikiv0AcPnLjUGg_4_6"/>
      <w:bookmarkStart w:id="2938" w:name="Tc_Pw8tT6qgVE-ir7-uLLdCZg_4_5"/>
      <w:bookmarkStart w:id="2939" w:name="Tc_CW7GjC2JfEC7LC_iIDyY6A_4_2"/>
      <w:bookmarkStart w:id="2940" w:name="Tc_A2gLcs-XEky2ZFt9OlP5Tg_4_0"/>
      <w:bookmarkStart w:id="2941" w:name="Tc_4JugOjrYSk2y1Dw7JznECQ_3_14"/>
      <w:bookmarkStart w:id="2942" w:name="Tc_1rPaDhWaMkaHKMMrIkzpnA_3_11"/>
      <w:bookmarkStart w:id="2943" w:name="Tc_akJIjC-TwkOhDboD6mnybQ_3_8"/>
      <w:bookmarkStart w:id="2944" w:name="Tc_aOwh1Vjf4k-EbQNZzqHRNA_3_5"/>
      <w:bookmarkStart w:id="2945" w:name="Tc_t89IjPUi30uNjfloDnpYXQ_3_2"/>
      <w:bookmarkStart w:id="2946" w:name="Tc_-EdNGBV0AUKqUVDJWZVTOg_3_0"/>
      <w:bookmarkStart w:id="2947" w:name="Tc_WqLTpmCGjUOWUxbzq3c6gQ_2_11"/>
      <w:bookmarkStart w:id="2948" w:name="Tc_WXAbGRTXL0y0cOXL5mszFA_2_8"/>
      <w:bookmarkStart w:id="2949" w:name="Tc_UqceVhQBukSuYdBW3iLvKA_2_5"/>
      <w:bookmarkStart w:id="2950" w:name="Tc_GIW-avPO30iA9ioR4A_E8Q_1_2"/>
      <w:bookmarkStart w:id="2951" w:name="_a984f473_80dc_45e0_98b5_bf25f94c6702"/>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r>
        <w:rPr>
          <w:rFonts w:ascii="Times New Roman;Times;serif" w:hAnsi="Times New Roman;Times;serif"/>
          <w:sz w:val="20"/>
        </w:rPr>
        <w:t>The following table presents key metrics related to the Company’s segments for the periods presented:</w:t>
      </w:r>
    </w:p>
    <w:p>
      <w:pPr>
        <w:pStyle w:val="TextBody"/>
        <w:bidi w:val="0"/>
        <w:spacing w:before="0" w:after="0"/>
        <w:ind w:left="0" w:right="0" w:hanging="0"/>
        <w:jc w:val="left"/>
        <w:rPr/>
      </w:pPr>
      <w:r>
        <w:rPr/>
        <w:t>​</w:t>
      </w:r>
    </w:p>
    <w:tbl>
      <w:tblPr>
        <w:tblW w:w="9558" w:type="dxa"/>
        <w:jc w:val="left"/>
        <w:tblInd w:w="0" w:type="dxa"/>
        <w:tblLayout w:type="fixed"/>
        <w:tblCellMar>
          <w:top w:w="0" w:type="dxa"/>
          <w:left w:w="0" w:type="dxa"/>
          <w:bottom w:w="0" w:type="dxa"/>
          <w:right w:w="0" w:type="dxa"/>
        </w:tblCellMar>
      </w:tblPr>
      <w:tblGrid>
        <w:gridCol w:w="2281"/>
        <w:gridCol w:w="326"/>
        <w:gridCol w:w="196"/>
        <w:gridCol w:w="826"/>
        <w:gridCol w:w="326"/>
        <w:gridCol w:w="305"/>
        <w:gridCol w:w="941"/>
        <w:gridCol w:w="326"/>
        <w:gridCol w:w="291"/>
        <w:gridCol w:w="760"/>
        <w:gridCol w:w="326"/>
        <w:gridCol w:w="295"/>
        <w:gridCol w:w="906"/>
        <w:gridCol w:w="326"/>
        <w:gridCol w:w="196"/>
        <w:gridCol w:w="931"/>
      </w:tblGrid>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24460" cy="175260"/>
                      <wp:effectExtent l="0" t="0" r="0" b="0"/>
                      <wp:wrapNone/>
                      <wp:docPr id="473" name="Frame4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24510" cy="175260"/>
                      <wp:effectExtent l="0" t="0" r="0" b="0"/>
                      <wp:wrapNone/>
                      <wp:docPr id="474" name="Frame47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5"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93675" cy="175260"/>
                      <wp:effectExtent l="0" t="0" r="0" b="0"/>
                      <wp:wrapNone/>
                      <wp:docPr id="476" name="Frame476"/>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97535" cy="175260"/>
                      <wp:effectExtent l="0" t="0" r="0" b="0"/>
                      <wp:wrapNone/>
                      <wp:docPr id="477" name="Frame477"/>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78"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84785" cy="175260"/>
                      <wp:effectExtent l="0" t="0" r="0" b="0"/>
                      <wp:wrapNone/>
                      <wp:docPr id="479" name="Frame479"/>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82600" cy="175260"/>
                      <wp:effectExtent l="0" t="0" r="0" b="0"/>
                      <wp:wrapNone/>
                      <wp:docPr id="480" name="Frame480"/>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81"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87325" cy="175260"/>
                      <wp:effectExtent l="0" t="0" r="0" b="0"/>
                      <wp:wrapNone/>
                      <wp:docPr id="482" name="Frame48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575310" cy="175260"/>
                      <wp:effectExtent l="0" t="0" r="0" b="0"/>
                      <wp:wrapNone/>
                      <wp:docPr id="483" name="Frame48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7010" cy="175260"/>
                      <wp:effectExtent l="0" t="0" r="0" b="0"/>
                      <wp:wrapNone/>
                      <wp:docPr id="484" name="Frame4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24460" cy="175260"/>
                      <wp:effectExtent l="0" t="0" r="0" b="0"/>
                      <wp:wrapNone/>
                      <wp:docPr id="485" name="Frame4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591185" cy="175260"/>
                      <wp:effectExtent l="0" t="0" r="0" b="0"/>
                      <wp:wrapNone/>
                      <wp:docPr id="486" name="Frame4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5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2024</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 and</w:t>
            </w:r>
          </w:p>
        </w:tc>
        <w:tc>
          <w:tcPr>
            <w:tcW w:w="32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Wealth</w:t>
            </w:r>
          </w:p>
        </w:tc>
        <w:tc>
          <w:tcPr>
            <w:tcW w:w="32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 Services</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Administration</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22,897</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22,219</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credit losses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3,490</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15,655</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6,118</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25,323</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expense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18,666</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14,189</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3,750</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39,019</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before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7,721</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1,466</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2,368</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8,523</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4,262,600</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33,636</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4,787</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37,070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4,338,093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558" w:type="dxa"/>
        <w:jc w:val="left"/>
        <w:tblInd w:w="0" w:type="dxa"/>
        <w:tblLayout w:type="fixed"/>
        <w:tblCellMar>
          <w:top w:w="0" w:type="dxa"/>
          <w:left w:w="0" w:type="dxa"/>
          <w:bottom w:w="0" w:type="dxa"/>
          <w:right w:w="0" w:type="dxa"/>
        </w:tblCellMar>
      </w:tblPr>
      <w:tblGrid>
        <w:gridCol w:w="2281"/>
        <w:gridCol w:w="326"/>
        <w:gridCol w:w="196"/>
        <w:gridCol w:w="826"/>
        <w:gridCol w:w="326"/>
        <w:gridCol w:w="305"/>
        <w:gridCol w:w="941"/>
        <w:gridCol w:w="326"/>
        <w:gridCol w:w="291"/>
        <w:gridCol w:w="760"/>
        <w:gridCol w:w="326"/>
        <w:gridCol w:w="295"/>
        <w:gridCol w:w="906"/>
        <w:gridCol w:w="326"/>
        <w:gridCol w:w="196"/>
        <w:gridCol w:w="931"/>
      </w:tblGrid>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010" cy="175260"/>
                      <wp:effectExtent l="0" t="0" r="0" b="0"/>
                      <wp:wrapNone/>
                      <wp:docPr id="487" name="Frame4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24460" cy="175260"/>
                      <wp:effectExtent l="0" t="0" r="0" b="0"/>
                      <wp:wrapNone/>
                      <wp:docPr id="488" name="Frame4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524510" cy="175260"/>
                      <wp:effectExtent l="0" t="0" r="0" b="0"/>
                      <wp:wrapNone/>
                      <wp:docPr id="489" name="Frame48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90" name="Frame4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93675" cy="175260"/>
                      <wp:effectExtent l="0" t="0" r="0" b="0"/>
                      <wp:wrapNone/>
                      <wp:docPr id="491" name="Frame49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597535" cy="175260"/>
                      <wp:effectExtent l="0" t="0" r="0" b="0"/>
                      <wp:wrapNone/>
                      <wp:docPr id="492" name="Frame492"/>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84785" cy="175260"/>
                      <wp:effectExtent l="0" t="0" r="0" b="0"/>
                      <wp:wrapNone/>
                      <wp:docPr id="494" name="Frame494"/>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82600" cy="175260"/>
                      <wp:effectExtent l="0" t="0" r="0" b="0"/>
                      <wp:wrapNone/>
                      <wp:docPr id="495" name="Frame495"/>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96" name="Frame4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87325" cy="175260"/>
                      <wp:effectExtent l="0" t="0" r="0" b="0"/>
                      <wp:wrapNone/>
                      <wp:docPr id="497" name="Frame497"/>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575310" cy="175260"/>
                      <wp:effectExtent l="0" t="0" r="0" b="0"/>
                      <wp:wrapNone/>
                      <wp:docPr id="498" name="Frame498"/>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9" name="Frame4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24460" cy="175260"/>
                      <wp:effectExtent l="0" t="0" r="0" b="0"/>
                      <wp:wrapNone/>
                      <wp:docPr id="500" name="Frame5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591185" cy="175260"/>
                      <wp:effectExtent l="0" t="0" r="0" b="0"/>
                      <wp:wrapNone/>
                      <wp:docPr id="501" name="Frame50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5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2023</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 and</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Wealth</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 Services</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Administration</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24,312</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23,658</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credit losses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550</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550</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4,539</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15,482</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5,194</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25,253</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expense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18,650</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13,595</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3,362</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37,869</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before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9,651</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1,887</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1,832</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10,492</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3,818,449</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38,419</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4,111</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25,794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3,886,773</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Banking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Banking division offers a complete line of loan, deposit, cash management, and treasury services through fourteen offices in North Dakota, Minnesota, and Arizona. These products and services are supported through web and mobile based applications. The majority of the Company’s assets and liabilities are in the Banking segment’s balance sheet.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Retirement and Benefit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Retirement and Benefit Services provides the following services nationally: recordkeeping and administration services to qualified retirement plans; recordkeeping and administration services to other types of retirement plans; investment fiduciary services to retirement plans; health savings accounts, flex spending accounts, and COBRA recordkeeping and administration services. The division operates within each of the banking markets, as well as in Lansing, Michigan and Littleton, Colorado.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Wealth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Wealth Management division provides advisory and planning services, investment management, and trust and fiduciary services to clients across the Company’s footprint.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952" w:name="Tc_zjiPC6F9XUCr1KiB30Trig_12_5"/>
      <w:bookmarkStart w:id="2953" w:name="Tc_2K1n2b-b2EqW-1h20xNzIQ_12_2"/>
      <w:bookmarkStart w:id="2954" w:name="Tc_efR0ah4x2kuqUbT5r6gayA_12_0"/>
      <w:bookmarkStart w:id="2955" w:name="Tc_d-okxEABf0WrF5_Um4n6aA_11_5"/>
      <w:bookmarkStart w:id="2956" w:name="Tc_0WyCGEOql0Sy2W2CA5NBJg_11_2"/>
      <w:bookmarkStart w:id="2957" w:name="Tc_J8Qk_tJlL0KUUdjP3I-7qQ_11_0"/>
      <w:bookmarkStart w:id="2958" w:name="Tc_waGcE274l068JtZtVdf6Og_10_0"/>
      <w:bookmarkStart w:id="2959" w:name="Tc_ThHF3s3ppUm5s0w3OCmTWw_9_0"/>
      <w:bookmarkStart w:id="2960" w:name="Tc_e2MLcki1_EaSjEdtnd1bGw_8_0"/>
      <w:bookmarkStart w:id="2961" w:name="Tc_Z6rBf_CSV0yudg-98Or6Lw_7_0"/>
      <w:bookmarkStart w:id="2962" w:name="Tc_LV554SgB-EidDu9wq7hx1w_6_5"/>
      <w:bookmarkStart w:id="2963" w:name="Tc_yEZShHzAxkGoWT4YDxQR3Q_6_2"/>
      <w:bookmarkStart w:id="2964" w:name="Tc_nG0cza6sdU-Rxlb_kG2G-g_6_0"/>
      <w:bookmarkStart w:id="2965" w:name="Tc_wx9srIiQKkOQBuryI8WEyg_5_0"/>
      <w:bookmarkStart w:id="2966" w:name="Tc_e8ixx9N830eB_Eb4gka7DA_4_5"/>
      <w:bookmarkStart w:id="2967" w:name="Tc_ICBl7clh-EijXJOEKYshDQ_4_2"/>
      <w:bookmarkStart w:id="2968" w:name="Tc_EslmrJJ6TkyW1-83MAaiyQ_4_0"/>
      <w:bookmarkStart w:id="2969" w:name="Tc_9W9icICSNk6xpqu3zKHqDw_3_5"/>
      <w:bookmarkStart w:id="2970" w:name="Tc_LpJ-ZWPdjEqexIlYSrrobQ_3_2"/>
      <w:bookmarkStart w:id="2971" w:name="Tc_OIOaXsF1F0W0YIYT3Se26A_3_0"/>
      <w:bookmarkStart w:id="2972" w:name="Tc_QjeBcLpc_k2HCbwf7rFCog_2_2"/>
      <w:bookmarkStart w:id="2973" w:name="Tc_9YAwRsBF20-KS7ILftnuBA_1_2"/>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r>
        <w:rPr>
          <w:rFonts w:ascii="Times New Roman;Times;serif" w:hAnsi="Times New Roman;Times;serif"/>
          <w:b/>
          <w:sz w:val="20"/>
        </w:rPr>
        <w:t>NOTE 16 Earnings Per Share</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The calculation of basic and diluted earnings per share using the two-class method for the three months ended March 31, 2024 and 2023 are presented below:</w:t>
      </w:r>
    </w:p>
    <w:p>
      <w:pPr>
        <w:pStyle w:val="TextBody"/>
        <w:bidi w:val="0"/>
        <w:spacing w:before="0" w:after="0"/>
        <w:ind w:left="0" w:right="0" w:hanging="0"/>
        <w:jc w:val="left"/>
        <w:rPr/>
      </w:pPr>
      <w:r>
        <w:rPr/>
        <w:t>​</w:t>
      </w:r>
    </w:p>
    <w:tbl>
      <w:tblPr>
        <w:tblW w:w="7936" w:type="dxa"/>
        <w:jc w:val="left"/>
        <w:tblInd w:w="0" w:type="dxa"/>
        <w:tblLayout w:type="fixed"/>
        <w:tblCellMar>
          <w:top w:w="0" w:type="dxa"/>
          <w:left w:w="0" w:type="dxa"/>
          <w:bottom w:w="0" w:type="dxa"/>
          <w:right w:w="0" w:type="dxa"/>
        </w:tblCellMar>
      </w:tblPr>
      <w:tblGrid>
        <w:gridCol w:w="5536"/>
        <w:gridCol w:w="326"/>
        <w:gridCol w:w="196"/>
        <w:gridCol w:w="601"/>
        <w:gridCol w:w="326"/>
        <w:gridCol w:w="196"/>
        <w:gridCol w:w="601"/>
        <w:gridCol w:w="154"/>
      </w:tblGrid>
      <w:tr>
        <w:trPr/>
        <w:tc>
          <w:tcPr>
            <w:tcW w:w="5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24460" cy="175260"/>
                      <wp:effectExtent l="0" t="0" r="0" b="0"/>
                      <wp:wrapNone/>
                      <wp:docPr id="502" name="Frame5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381635" cy="175260"/>
                      <wp:effectExtent l="0" t="0" r="0" b="0"/>
                      <wp:wrapNone/>
                      <wp:docPr id="503" name="Frame50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24460" cy="175260"/>
                      <wp:effectExtent l="0" t="0" r="0" b="0"/>
                      <wp:wrapNone/>
                      <wp:docPr id="505" name="Frame5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381635" cy="175260"/>
                      <wp:effectExtent l="0" t="0" r="0" b="0"/>
                      <wp:wrapNone/>
                      <wp:docPr id="506" name="Frame50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97790" cy="175260"/>
                      <wp:effectExtent l="0" t="0" r="0" b="0"/>
                      <wp:wrapNone/>
                      <wp:docPr id="507" name="Frame5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1"/>
              <w:ind w:left="0" w:right="0" w:hanging="0"/>
              <w:jc w:val="left"/>
              <w:rPr/>
            </w:pPr>
            <w:r>
              <w:rPr/>
              <w:t>​</w:t>
            </w:r>
          </w:p>
        </w:tc>
      </w:tr>
      <w:tr>
        <w:trPr/>
        <w:tc>
          <w:tcPr>
            <w:tcW w:w="5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vAlign w:val="center"/>
          </w:tcPr>
          <w:p>
            <w:pPr>
              <w:pStyle w:val="TableContents"/>
              <w:bidi w:val="0"/>
              <w:spacing w:before="0" w:after="1"/>
              <w:ind w:left="0" w:right="0" w:hanging="0"/>
              <w:jc w:val="left"/>
              <w:rPr/>
            </w:pPr>
            <w:r>
              <w:rPr/>
              <w:t>​</w:t>
            </w:r>
          </w:p>
        </w:tc>
      </w:tr>
      <w:tr>
        <w:trPr/>
        <w:tc>
          <w:tcPr>
            <w:tcW w:w="553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and shares in thousands, except per share data)</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1"/>
              <w:ind w:left="0" w:right="0" w:hanging="0"/>
              <w:jc w:val="center"/>
              <w:rPr/>
            </w:pPr>
            <w:r>
              <w:rPr/>
              <w:t>​</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8,186</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5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Dividends and undistributed earnings allocated to participating securities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w:t>
            </w:r>
          </w:p>
        </w:tc>
        <w:tc>
          <w:tcPr>
            <w:tcW w:w="154" w:type="dxa"/>
            <w:tcBorders/>
            <w:vAlign w:val="center"/>
          </w:tcPr>
          <w:p>
            <w:pPr>
              <w:pStyle w:val="TableContents"/>
              <w:bidi w:val="0"/>
              <w:spacing w:before="0" w:after="1"/>
              <w:ind w:left="0" w:right="0" w:hanging="0"/>
              <w:jc w:val="right"/>
              <w:rPr/>
            </w:pPr>
            <w:r>
              <w:rPr/>
              <w:t>​</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available to common stockholders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8,129</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5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Weighted-average common shares outstanding for basic earnings per share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19,739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20,028</w:t>
            </w:r>
          </w:p>
        </w:tc>
        <w:tc>
          <w:tcPr>
            <w:tcW w:w="154" w:type="dxa"/>
            <w:tcBorders/>
            <w:vAlign w:val="center"/>
          </w:tcPr>
          <w:p>
            <w:pPr>
              <w:pStyle w:val="TableContents"/>
              <w:bidi w:val="0"/>
              <w:spacing w:before="0" w:after="1"/>
              <w:ind w:left="0" w:right="0" w:hanging="0"/>
              <w:jc w:val="right"/>
              <w:rPr/>
            </w:pPr>
            <w:r>
              <w:rPr/>
              <w:t>​</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Dilutive effect of stock-based awards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5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Weighted-average common shares outstanding for diluted earnings per share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19,986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20,246</w:t>
            </w:r>
          </w:p>
        </w:tc>
        <w:tc>
          <w:tcPr>
            <w:tcW w:w="154" w:type="dxa"/>
            <w:tcBorders/>
            <w:vAlign w:val="center"/>
          </w:tcPr>
          <w:p>
            <w:pPr>
              <w:pStyle w:val="TableContents"/>
              <w:bidi w:val="0"/>
              <w:spacing w:before="0" w:after="1"/>
              <w:ind w:left="0" w:right="0" w:hanging="0"/>
              <w:jc w:val="left"/>
              <w:rPr/>
            </w:pPr>
            <w:r>
              <w:rPr/>
              <w:t>​</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Earnings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5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 earnings per common share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0.41</w:t>
            </w:r>
          </w:p>
        </w:tc>
        <w:tc>
          <w:tcPr>
            <w:tcW w:w="154" w:type="dxa"/>
            <w:tcBorders/>
            <w:vAlign w:val="center"/>
          </w:tcPr>
          <w:p>
            <w:pPr>
              <w:pStyle w:val="TableContents"/>
              <w:bidi w:val="0"/>
              <w:spacing w:before="0" w:after="1"/>
              <w:ind w:left="0" w:right="0" w:hanging="0"/>
              <w:jc w:val="right"/>
              <w:rPr/>
            </w:pPr>
            <w:r>
              <w:rPr/>
              <w:t>​</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 earnings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0.40</w:t>
            </w:r>
          </w:p>
        </w:tc>
        <w:tc>
          <w:tcPr>
            <w:tcW w:w="154"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17 Derivative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uses a variety of derivative instruments to mitigate exposure to both market and credit risks inherent in its business activities. The Company manages these risks as part of its overall asset and liability management process and through its policies and procedures. Derivatives represent contracts between parties that usually require little or no initial net investment and result in one party delivering cash or another type of asset to the other party based on a notional amount and an underlying as specified in the contract.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Derivatives are often measured in terms of notional amount, but this amount is generally not exchanged, and it is not recorded on the Company’s consolidated balance sheet. The notional amount is the basis to which the underlying is applied to determine required payments under the derivative contract. The underlying is a referenced interest rate, security price, credit spread, or other index. Residential and commercial real estate loan commitments associated with loans to be sold also qualify as derivative instruments.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Derivatives Designated as Hedging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uses derivative instruments to hedge its exposure to economic risks, including interest rate, liquidity and credit risk. Certain hedging relationships are formally designated and qualify for hedge accounting under GAAP. On the date the Company enters into a derivative contract designated as a hedging instrument, the derivative is designated as either a fair value hedge, cash flow hedge, or a net investment hedge. When a derivative is designated as a fair value, cash flow, or net investment hedge, the Company performs an assessment, at inception and, at a minimum, quarterly thereafter, to determine the effectiveness of the derivative in offsetting changes in the value or cash flows of the hedged item(s). As of March 31, 2024, the Company only uses fair value and cash flow hedges.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Fair value hedges: </w:t>
      </w:r>
      <w:r>
        <w:rPr>
          <w:rFonts w:ascii="Times New Roman;Times;serif" w:hAnsi="Times New Roman;Times;serif"/>
          <w:sz w:val="20"/>
        </w:rPr>
        <w:t>These derivatives are interest rate swaps the Company uses to hedge the change in fair value related to interest rate changes of its underlying mortgage-backed investment securities and mortgage loan pools. The interest rate swaps are carried on the Company’s Consolidated Balance Sheet at their fair value in other assets (when the fair value is positive) or in accrued expenses and other liabilities (when the fair value is negative). The changes in fair value of the interest rate swaps are recorded in interest income. The unrealized gains or losses due to changes in fair value of the interest rate swaps due to changes in benchmark interest rates are recorded as an adjustment to the hedged instruments and offset in the same interest income line items.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2974" w:name="Tc_wyoRMKXXWUOtr4P497465Q_29_15"/>
      <w:bookmarkStart w:id="2975" w:name="Tc__9aDxMj92kejC4WG_4Wx7A_29_10"/>
      <w:bookmarkStart w:id="2976" w:name="Tc_d7c1Qr2lN06nNoR-aX1I5g_29_7"/>
      <w:bookmarkStart w:id="2977" w:name="Tc_dUZGl9K7Dkqbk6nYCWpyVw_29_2"/>
      <w:bookmarkStart w:id="2978" w:name="Tc_KZ7BBWudyUKEJ3ilHu3pJQ_29_0"/>
      <w:bookmarkStart w:id="2979" w:name="Tc_XJCqL6MPXEiQ8yJkzA8U8g_28_13"/>
      <w:bookmarkStart w:id="2980" w:name="Tc_4WsYySV3ZEGoouz2nnHkRA_28_8"/>
      <w:bookmarkStart w:id="2981" w:name="Tc_WoNalfEitEydNISZrFb4lg_28_3"/>
      <w:bookmarkStart w:id="2982" w:name="Tc_tUeP9zKB4UWFGRBjoDd-_w_28_0"/>
      <w:bookmarkStart w:id="2983" w:name="Tc_ID5Sop0bwEag-88ZAGy0fQ_27_16"/>
      <w:bookmarkStart w:id="2984" w:name="Tc_iTpQFelV30G6z7c8uUYdHg_27_13"/>
      <w:bookmarkStart w:id="2985" w:name="Tc_iAdxzC5yU0yBcSChiPea0A_27_11"/>
      <w:bookmarkStart w:id="2986" w:name="Tc_F3GLlDjJxkaQCmalwLRauQ_27_5"/>
      <w:bookmarkStart w:id="2987" w:name="Tc_ohk04Z6jIkO3s5iUsS9AMw_27_0"/>
      <w:bookmarkStart w:id="2988" w:name="Tc_1y_5sRT28Eimt5Ey4UGA5Q_26_16"/>
      <w:bookmarkStart w:id="2989" w:name="Tc_-bItnmBe5Eajdry7pGRAlQ_26_13"/>
      <w:bookmarkStart w:id="2990" w:name="Tc_bT1W2Mg1n0Obb52HqDqVBA_26_11"/>
      <w:bookmarkStart w:id="2991" w:name="Tc_aWtkUw-g8EueDg47bbhQzQ_26_5"/>
      <w:bookmarkStart w:id="2992" w:name="Tc_WujhD55_dUeu_JoVO1RLgw_26_0"/>
      <w:bookmarkStart w:id="2993" w:name="Tc_xVMBiyZwdkai6yJ1pM9xbg_25_15"/>
      <w:bookmarkStart w:id="2994" w:name="Tc_g6WNBA5y50SMRTDRHpzQmQ_25_13"/>
      <w:bookmarkStart w:id="2995" w:name="Tc_nahhmB1NMEujxet6KBVnYg_25_10"/>
      <w:bookmarkStart w:id="2996" w:name="Tc_mvZKvYuc4E-9K8tfaFubsA_25_7"/>
      <w:bookmarkStart w:id="2997" w:name="Tc_xWkHwEq74kirQhBRSUMJlA_25_5"/>
      <w:bookmarkStart w:id="2998" w:name="Tc_dZq-b9RHPEaoM3Wzh0WPnA_25_2"/>
      <w:bookmarkStart w:id="2999" w:name="Tc_b4sXVE-_qkKuwB3xW6gNbg_25_0"/>
      <w:bookmarkStart w:id="3000" w:name="Tc_XtlPv5oFf06RKtEruVc6Mw_24_0"/>
      <w:bookmarkStart w:id="3001" w:name="Tc_pezJcX7tjEODdagc9YCyzg_23_15"/>
      <w:bookmarkStart w:id="3002" w:name="Tc_cWQwucLc6EuxQ15yaSt0gQ_23_10"/>
      <w:bookmarkStart w:id="3003" w:name="Tc_mDa8xebSdkaDcsaZfAnh2w_23_8"/>
      <w:bookmarkStart w:id="3004" w:name="Tc_emYpwqdgMEy8HRDM8Z-T3Q_23_7"/>
      <w:bookmarkStart w:id="3005" w:name="Tc_pOqHTAlejkWvjJBoJKW56w_23_2"/>
      <w:bookmarkStart w:id="3006" w:name="Tc_wJ_pQ4qdjUSA7uowMGb5gA_23_0"/>
      <w:bookmarkStart w:id="3007" w:name="Tc_hV1IDRH200ioxQXxp2usDQ_22_13"/>
      <w:bookmarkStart w:id="3008" w:name="Tc_ZGgs1vSzYEq6cMNZGHjlDw_22_8"/>
      <w:bookmarkStart w:id="3009" w:name="Tc_r_3He-pH7kOdJnDQHJs9Mw_22_5"/>
      <w:bookmarkStart w:id="3010" w:name="Tc_m93SOrTFGk2h8oURCC_jZg_22_0"/>
      <w:bookmarkStart w:id="3011" w:name="Tc_ua_vnj7eF0OPBjxGCE93xA_21_5"/>
      <w:bookmarkStart w:id="3012" w:name="Tc_Rnzp94q1iUapzxg7H-Adzw_21_0"/>
      <w:bookmarkStart w:id="3013" w:name="Tc_B0Y53Oafl0qDb4vKwSEIBQ_20_15"/>
      <w:bookmarkStart w:id="3014" w:name="Tc_-yN1wFCZpUuB_kh1lz2C0Q_20_13"/>
      <w:bookmarkStart w:id="3015" w:name="Tc_A0WhG4dRBUqt1CGA7Zb9Gw_20_10"/>
      <w:bookmarkStart w:id="3016" w:name="Tc_fBxh7j9BdkWTjtxtvYlGWg_20_8"/>
      <w:bookmarkStart w:id="3017" w:name="Tc_6oGEmcQBFUelat6xncVBhw_20_7"/>
      <w:bookmarkStart w:id="3018" w:name="Tc_491LhWrXxUu62MlVo-hogA_20_5"/>
      <w:bookmarkStart w:id="3019" w:name="Tc_bgR3tB_jQk-bSme7HJdQdA_20_2"/>
      <w:bookmarkStart w:id="3020" w:name="Tc_WtqTD58tdEq0RTIQyVd66A_20_0"/>
      <w:bookmarkStart w:id="3021" w:name="Tc_MzCNxhfpNUq9_rvFHtpGJw_19_0"/>
      <w:bookmarkStart w:id="3022" w:name="Tc_ZXOn2HnRqEyP-9RqpdV22g_18_0"/>
      <w:bookmarkStart w:id="3023" w:name="Tc_0I8ilcv9WUaTAQjOXKNcZw_17_0"/>
      <w:bookmarkStart w:id="3024" w:name="Tc_CUtMH5FFdkOQli4zeTw0nA_16_15"/>
      <w:bookmarkStart w:id="3025" w:name="Tc_BCdbc-pW-0y2oW_tMQ7YfQ_16_10"/>
      <w:bookmarkStart w:id="3026" w:name="Tc_BBCR2WY0NECRK1_bQ_pO6Q_16_7"/>
      <w:bookmarkStart w:id="3027" w:name="Tc_oeKgA0RqCUGrn7hoqgPPnQ_16_2"/>
      <w:bookmarkStart w:id="3028" w:name="Tc_BCEZgj70TUO1aZF-mCO2SQ_15_13"/>
      <w:bookmarkStart w:id="3029" w:name="Tc_aC8meemurECJ_dUmElEB-A_15_8"/>
      <w:bookmarkStart w:id="3030" w:name="Tc_2bkB_00pUkKHQSlAWEh8bg_15_5"/>
      <w:bookmarkStart w:id="3031" w:name="Tc_TKIXJYs1BUqtqxF9s46-8w_15_3"/>
      <w:bookmarkStart w:id="3032" w:name="Tc_GjzPKXdOOkCEbHcyQePnTA_15_0"/>
      <w:bookmarkStart w:id="3033" w:name="Tc_-WVYo5K3rECh8dXOSXbUhw_14_16"/>
      <w:bookmarkStart w:id="3034" w:name="Tc_Y1C4EQ9ZTUeWdz_Au5dVrw_14_13"/>
      <w:bookmarkStart w:id="3035" w:name="Tc_cgO6puCeyEKw-Pm6E5ryog_14_11"/>
      <w:bookmarkStart w:id="3036" w:name="Tc_rRUZeRw_g023m3uvD-OLNw_14_8"/>
      <w:bookmarkStart w:id="3037" w:name="Tc_Qyw2Glp6g0aQ36UPYcYFIw_14_5"/>
      <w:bookmarkStart w:id="3038" w:name="Tc_Fd9u9MVx8UynBkl6U38tXw_14_3"/>
      <w:bookmarkStart w:id="3039" w:name="Tc_0sT_YhYU9ECgGCV6Nyir4g_14_0"/>
      <w:bookmarkStart w:id="3040" w:name="Tc_HzoaAvsm-0ix3HzswP0aCA_13_16"/>
      <w:bookmarkStart w:id="3041" w:name="Tc_s6QK0imjekG0nf_XYKtrlA_13_13"/>
      <w:bookmarkStart w:id="3042" w:name="Tc_VokbQSZe8EusTDQhEjgqKw_13_11"/>
      <w:bookmarkStart w:id="3043" w:name="Tc_QCJTvgN3qEejXBg03cg25w_13_5"/>
      <w:bookmarkStart w:id="3044" w:name="Tc_1OY9ojcsZESkhm66TGppbQ_13_0"/>
      <w:bookmarkStart w:id="3045" w:name="Tc_WThSv6K0akqpuRp3rytvFA_12_15"/>
      <w:bookmarkStart w:id="3046" w:name="Tc_1IumKr2_8UGH6T5RkOU0Mg_12_13"/>
      <w:bookmarkStart w:id="3047" w:name="Tc_1w5Weww-tUaQ9cFR-0GB8Q_12_10"/>
      <w:bookmarkStart w:id="3048" w:name="Tc__meTFwci2ES9CLCU82Ex-Q_12_7"/>
      <w:bookmarkStart w:id="3049" w:name="Tc_FoYCcxg8hkudIgfrj2fg5w_12_5"/>
      <w:bookmarkStart w:id="3050" w:name="Tc_tU1yUdF8aEGuZ_kI3KGR8g_12_2"/>
      <w:bookmarkStart w:id="3051" w:name="Tc_4SgadUFLrE6UfcC8Wb-0cA_12_0"/>
      <w:bookmarkStart w:id="3052" w:name="Tc_mJxmdpMod0qn5_MPHLqsqw_11_0"/>
      <w:bookmarkStart w:id="3053" w:name="Tc_MoxD8THJC0ufRmO8BX3ulQ_10_16"/>
      <w:bookmarkStart w:id="3054" w:name="Tc_UKl3iPACwkCawE8vhsmPBA_10_15"/>
      <w:bookmarkStart w:id="3055" w:name="Tc_lpdQEfUtY0yuOKm3x9auNA_10_10"/>
      <w:bookmarkStart w:id="3056" w:name="Tc_UZD6ok0BBUSH5PkTNRIhBQ_10_7"/>
      <w:bookmarkStart w:id="3057" w:name="Tc_YngnXLBTP0itd3SRglVcpA_10_2"/>
      <w:bookmarkStart w:id="3058" w:name="Tc_GVIKlwhrLEeklbIIN1iBqQ_9_16"/>
      <w:bookmarkStart w:id="3059" w:name="Tc_-cBscUT70EKf3EjH5YV4ww_9_13"/>
      <w:bookmarkStart w:id="3060" w:name="Tc_dG4Z1YZCY0-PorqFLWCjUQ_9_5"/>
      <w:bookmarkStart w:id="3061" w:name="Tc_9lGQBdKm_EOd1qvzine7Yg_9_0"/>
      <w:bookmarkStart w:id="3062" w:name="Tc_7e9F82YAy0uZ7nKA4XR8eA_8_0"/>
      <w:bookmarkStart w:id="3063" w:name="Tc_dylPhPAm6EmUlT3HyChPcQ_7_16"/>
      <w:bookmarkStart w:id="3064" w:name="Tc_8WFv2RQMPkq1XuFLue0tQQ_7_15"/>
      <w:bookmarkStart w:id="3065" w:name="Tc_40KIgr7Nu0OZmhfk37MeXw_7_13"/>
      <w:bookmarkStart w:id="3066" w:name="Tc_Y3pH6ZLdQ0mCo9T10U0RHg_7_10"/>
      <w:bookmarkStart w:id="3067" w:name="Tc_DgX-Y2HYOk-8VwmYp5cbtQ_7_7"/>
      <w:bookmarkStart w:id="3068" w:name="Tc_m2Y0Zftix0Wklep8fh5__g_7_5"/>
      <w:bookmarkStart w:id="3069" w:name="Tc_l5ZA0Lw8E0GRWRC9RrVelg_7_2"/>
      <w:bookmarkStart w:id="3070" w:name="Tc_sYFTpECd60iLKh3aUM-qzQ_7_0"/>
      <w:bookmarkStart w:id="3071" w:name="Tc_ruIG8-0obkO-6adlJIy5gQ_6_0"/>
      <w:bookmarkStart w:id="3072" w:name="Tc_bPriAWoG70mR9uSFvdX-DA_5_0"/>
      <w:bookmarkStart w:id="3073" w:name="Tc_R5nqrWpNTkO8GHgtHBdYdw_4_0"/>
      <w:bookmarkStart w:id="3074" w:name="Tc_M0pu5_Oe8Umg53EoAG1Gvw_3_15"/>
      <w:bookmarkStart w:id="3075" w:name="Tc_49Iqq8wWo0WrUlAnrINyEQ_3_13"/>
      <w:bookmarkStart w:id="3076" w:name="Tc_9DxDQWz99ki_Zk5Pts9Tbw_3_10"/>
      <w:bookmarkStart w:id="3077" w:name="Tc_gEu0NwOge0-IFXrUO2mGaQ_3_7"/>
      <w:bookmarkStart w:id="3078" w:name="Tc_9rM5bFdXZU2WoV82blEbTw_3_5"/>
      <w:bookmarkStart w:id="3079" w:name="Tc_fFsIIYDst0uH2ANoKbmCJQ_3_2"/>
      <w:bookmarkStart w:id="3080" w:name="Tc_prI0nH912UOCmF-YMFHTWw_3_0"/>
      <w:bookmarkStart w:id="3081" w:name="Tc_J9kh9OmZDkecdybjF1ZDuA_2_15"/>
      <w:bookmarkStart w:id="3082" w:name="Tc_Sme35sQz0k6N95sfvM-qXw_2_10"/>
      <w:bookmarkStart w:id="3083" w:name="Tc_axTdaaZCBk6UTJccK4wmtg_2_7"/>
      <w:bookmarkStart w:id="3084" w:name="Tc_IPCVNB5ZCkuePvTDcqhXNQ_2_2"/>
      <w:bookmarkStart w:id="3085" w:name="Tc_4qRmal8rlEeC68g0A_H5wA_1_10"/>
      <w:bookmarkStart w:id="3086" w:name="Tc_nYGTXAhcrEyQ1Q6FiU-2OA_1_2"/>
      <w:bookmarkStart w:id="3087" w:name="_192ea036_b833_4455_823e_fd4db8455876"/>
      <w:bookmarkStart w:id="3088" w:name="Narr_ZLHCKdi-QU6hp05LHLLE2A"/>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r>
        <w:rPr>
          <w:rFonts w:ascii="Times New Roman;Times;serif" w:hAnsi="Times New Roman;Times;serif"/>
          <w:i/>
          <w:sz w:val="20"/>
        </w:rPr>
        <w:t>Cash flow hedges:</w:t>
      </w:r>
      <w:r>
        <w:rPr>
          <w:rFonts w:ascii="Times New Roman;Times;serif" w:hAnsi="Times New Roman;Times;serif"/>
          <w:sz w:val="20"/>
        </w:rPr>
        <w:t xml:space="preserve"> These derivatives are interest rate swaps the Company uses to hedge the variability of expected future cash flows due to market interest changes. The interest rate swap is carried on the Company’s consolidated balance sheet at its fair value in other assets (when the fair value is positive) or in accrued expenses and other liabilities (when the fair value is negative). Changes in fair value of derivatives designated as cash flow hedges are recorded in other comprehensive income (loss), or OCI, until the cash flows of the hedged items are realized. If a derivative designated as a cash flow hedge is terminated or ceases to be highly effective, the gain or loss in OCI is amortized to earnings over the period the forecasted hedged transactions impact earnings. If a hedged forecasted transaction is no longer probable, hedge accounting is ceased and any gain or loss included in OCI is reported in earnings immediately, unless the forecasted transaction is at least reasonably possible of occurring, whereby the amounts remain within accumulated other comprehensive income (loss), or AOCI. The Company estimates that an additional $0.4 million will be reclassified as a decrease to interest expense over the next 12 months. All cash flow hedges were highly effective for the three months ended March 31, 2024. As of March 31, 2024, the maximum length of time over which forecasted transactions are hedged is 12 months.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Derivatives Not Designated as Hedging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Interest rate swaps: </w:t>
      </w:r>
      <w:r>
        <w:rPr>
          <w:rFonts w:ascii="Times New Roman;Times;serif" w:hAnsi="Times New Roman;Times;serif"/>
          <w:sz w:val="20"/>
        </w:rPr>
        <w:t>The Company periodically enters into commercial loan interest rate swap agreements in order to provide commercial loan customers with the ability to convert from variable to fixed interest rates. These derivative contracts relate to transactions in which the Company enters into an interest rate swap with a customer, while simultaneously entering into an offsetting interest rate swap with an institutional counterparty.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Interest rate lock commitments, forward loan sales commitments and to be announced (TBA) mortgage backed securities: </w:t>
      </w:r>
      <w:r>
        <w:rPr>
          <w:rFonts w:ascii="Times New Roman;Times;serif" w:hAnsi="Times New Roman;Times;serif"/>
          <w:sz w:val="20"/>
        </w:rPr>
        <w:t>The Company enters into forward delivery contracts to sell mortgage loans at specific prices and dates in order to hedge the interest rate risk in its portfolio of mortgage loans held for sale and its residential mortgage interest rate lock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total notional amounts and gross fair values of the Company’s derivatives as of March 31, 2024 and December 31,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15"/>
        <w:gridCol w:w="326"/>
        <w:gridCol w:w="181"/>
        <w:gridCol w:w="586"/>
        <w:gridCol w:w="326"/>
        <w:gridCol w:w="784"/>
        <w:gridCol w:w="109"/>
        <w:gridCol w:w="181"/>
        <w:gridCol w:w="436"/>
        <w:gridCol w:w="326"/>
        <w:gridCol w:w="181"/>
        <w:gridCol w:w="586"/>
        <w:gridCol w:w="326"/>
        <w:gridCol w:w="1924"/>
        <w:gridCol w:w="109"/>
        <w:gridCol w:w="181"/>
        <w:gridCol w:w="528"/>
      </w:tblGrid>
      <w:tr>
        <w:trPr/>
        <w:tc>
          <w:tcPr>
            <w:tcW w:w="31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508" name="Frame5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14935" cy="175260"/>
                      <wp:effectExtent l="0" t="0" r="0" b="0"/>
                      <wp:wrapNone/>
                      <wp:docPr id="509" name="Frame50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372110" cy="175260"/>
                      <wp:effectExtent l="0" t="0" r="0" b="0"/>
                      <wp:wrapNone/>
                      <wp:docPr id="510" name="Frame51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11" name="Frame5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97840" cy="175260"/>
                      <wp:effectExtent l="0" t="0" r="0" b="0"/>
                      <wp:wrapNone/>
                      <wp:docPr id="512" name="Frame512"/>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9215" cy="175260"/>
                      <wp:effectExtent l="0" t="0" r="0" b="0"/>
                      <wp:wrapNone/>
                      <wp:docPr id="513" name="Frame5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14935" cy="175260"/>
                      <wp:effectExtent l="0" t="0" r="0" b="0"/>
                      <wp:wrapNone/>
                      <wp:docPr id="514" name="Frame51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76860" cy="175260"/>
                      <wp:effectExtent l="0" t="0" r="0" b="0"/>
                      <wp:wrapNone/>
                      <wp:docPr id="515" name="Frame51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6" name="Frame5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14935" cy="175260"/>
                      <wp:effectExtent l="0" t="0" r="0" b="0"/>
                      <wp:wrapNone/>
                      <wp:docPr id="517" name="Frame51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372110" cy="175260"/>
                      <wp:effectExtent l="0" t="0" r="0" b="0"/>
                      <wp:wrapNone/>
                      <wp:docPr id="518" name="Frame51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9" name="Frame5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221740" cy="175260"/>
                      <wp:effectExtent l="0" t="0" r="0" b="0"/>
                      <wp:wrapNone/>
                      <wp:docPr id="520" name="Frame520"/>
                      <a:graphic xmlns:a="http://schemas.openxmlformats.org/drawingml/2006/main">
                        <a:graphicData uri="http://schemas.microsoft.com/office/word/2010/wordprocessingShape">
                          <wps:wsp>
                            <wps:cNvSpPr txBox="1"/>
                            <wps:spPr>
                              <a:xfrm>
                                <a:off x="0" y="0"/>
                                <a:ext cx="1221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9215" cy="175260"/>
                      <wp:effectExtent l="0" t="0" r="0" b="0"/>
                      <wp:wrapNone/>
                      <wp:docPr id="521" name="Frame5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14935" cy="175260"/>
                      <wp:effectExtent l="0" t="0" r="0" b="0"/>
                      <wp:wrapNone/>
                      <wp:docPr id="522" name="Frame52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335280" cy="175260"/>
                      <wp:effectExtent l="0" t="0" r="0" b="0"/>
                      <wp:wrapNone/>
                      <wp:docPr id="523" name="Frame523"/>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0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Derivative Assets</w:t>
            </w:r>
          </w:p>
        </w:tc>
        <w:tc>
          <w:tcPr>
            <w:tcW w:w="326" w:type="dxa"/>
            <w:tcBorders/>
            <w:vAlign w:val="center"/>
          </w:tcPr>
          <w:p>
            <w:pPr>
              <w:pStyle w:val="TableContents"/>
              <w:bidi w:val="0"/>
              <w:spacing w:before="0" w:after="1"/>
              <w:ind w:left="0" w:right="0" w:hanging="0"/>
              <w:jc w:val="left"/>
              <w:rPr/>
            </w:pPr>
            <w:r>
              <w:rPr/>
              <w:t>​</w:t>
            </w:r>
          </w:p>
        </w:tc>
        <w:tc>
          <w:tcPr>
            <w:tcW w:w="3835"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Derivative Liabilities</w:t>
            </w:r>
          </w:p>
        </w:tc>
      </w:tr>
      <w:tr>
        <w:trPr/>
        <w:tc>
          <w:tcPr>
            <w:tcW w:w="311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Notional</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Fair</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Notional</w:t>
            </w:r>
          </w:p>
        </w:tc>
        <w:tc>
          <w:tcPr>
            <w:tcW w:w="326" w:type="dxa"/>
            <w:tcBorders/>
            <w:vAlign w:val="center"/>
          </w:tcPr>
          <w:p>
            <w:pPr>
              <w:pStyle w:val="TableContents"/>
              <w:bidi w:val="0"/>
              <w:spacing w:before="0" w:after="1"/>
              <w:ind w:left="0" w:right="0" w:hanging="0"/>
              <w:jc w:val="left"/>
              <w:rPr/>
            </w:pPr>
            <w:r>
              <w:rPr/>
              <w:t>​</w:t>
            </w:r>
          </w:p>
        </w:tc>
        <w:tc>
          <w:tcPr>
            <w:tcW w:w="19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9"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Fair</w:t>
            </w:r>
          </w:p>
        </w:tc>
      </w:tr>
      <w:tr>
        <w:trPr/>
        <w:tc>
          <w:tcPr>
            <w:tcW w:w="3115" w:type="dxa"/>
            <w:tcBorders/>
            <w:vAlign w:val="center"/>
          </w:tcPr>
          <w:p>
            <w:pPr>
              <w:pStyle w:val="TableContents"/>
              <w:bidi w:val="0"/>
              <w:spacing w:before="0" w:after="1"/>
              <w:ind w:left="0" w:right="0" w:hanging="0"/>
              <w:jc w:val="left"/>
              <w:rPr>
                <w:rFonts w:ascii="Times New Roman;Times;serif" w:hAnsi="Times New Roman;Times;serif"/>
                <w:i/>
                <w:sz w:val="12"/>
              </w:rPr>
            </w:pPr>
            <w:r>
              <w:rPr>
                <w:rFonts w:ascii="Times New Roman;Times;serif" w:hAnsi="Times New Roman;Times;serif"/>
                <w:i/>
                <w:sz w:val="12"/>
              </w:rPr>
              <w:t>(dollars in thousands)</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Location</w:t>
            </w:r>
          </w:p>
        </w:tc>
        <w:tc>
          <w:tcPr>
            <w:tcW w:w="109" w:type="dxa"/>
            <w:tcBorders/>
            <w:vAlign w:val="center"/>
          </w:tcPr>
          <w:p>
            <w:pPr>
              <w:pStyle w:val="TableContents"/>
              <w:bidi w:val="0"/>
              <w:spacing w:before="0" w:after="1"/>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19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Location</w:t>
            </w:r>
          </w:p>
        </w:tc>
        <w:tc>
          <w:tcPr>
            <w:tcW w:w="109" w:type="dxa"/>
            <w:tcBorders/>
            <w:vAlign w:val="center"/>
          </w:tcPr>
          <w:p>
            <w:pPr>
              <w:pStyle w:val="TableContents"/>
              <w:bidi w:val="0"/>
              <w:spacing w:before="0" w:after="1"/>
              <w:ind w:left="0" w:right="0" w:hanging="0"/>
              <w:jc w:val="left"/>
              <w:rPr/>
            </w:pPr>
            <w:r>
              <w:rPr/>
              <w:t>​</w:t>
            </w:r>
          </w:p>
        </w:tc>
        <w:tc>
          <w:tcPr>
            <w:tcW w:w="7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Value</w:t>
            </w:r>
          </w:p>
        </w:tc>
      </w:tr>
      <w:tr>
        <w:trPr/>
        <w:tc>
          <w:tcPr>
            <w:tcW w:w="3115" w:type="dxa"/>
            <w:tcBorders/>
            <w:vAlign w:val="center"/>
          </w:tcPr>
          <w:p>
            <w:pPr>
              <w:pStyle w:val="TableContents"/>
              <w:bidi w:val="0"/>
              <w:spacing w:before="0" w:after="1"/>
              <w:ind w:left="0" w:right="0" w:hanging="0"/>
              <w:jc w:val="left"/>
              <w:rPr>
                <w:rFonts w:ascii="Times New Roman;Times;serif" w:hAnsi="Times New Roman;Times;serif"/>
                <w:b/>
                <w:i/>
                <w:sz w:val="14"/>
              </w:rPr>
            </w:pPr>
            <w:r>
              <w:rPr>
                <w:rFonts w:ascii="Times New Roman;Times;serif" w:hAnsi="Times New Roman;Times;serif"/>
                <w:b/>
                <w:i/>
                <w:sz w:val="14"/>
              </w:rPr>
              <w:t>March 31, 2024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2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28" w:type="dxa"/>
            <w:tcBorders/>
            <w:vAlign w:val="center"/>
          </w:tcPr>
          <w:p>
            <w:pPr>
              <w:pStyle w:val="TableContents"/>
              <w:bidi w:val="0"/>
              <w:spacing w:before="0" w:after="1"/>
              <w:ind w:left="0" w:right="0" w:hanging="0"/>
              <w:jc w:val="center"/>
              <w:rPr/>
            </w:pPr>
            <w:r>
              <w:rPr/>
              <w:t>​</w:t>
            </w:r>
          </w:p>
        </w:tc>
      </w:tr>
      <w:tr>
        <w:trPr/>
        <w:tc>
          <w:tcPr>
            <w:tcW w:w="3115"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Designated as hedging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28" w:type="dxa"/>
            <w:tcBorders/>
            <w:shd w:fill="CCEEFF" w:val="clear"/>
            <w:vAlign w:val="center"/>
          </w:tcPr>
          <w:p>
            <w:pPr>
              <w:pStyle w:val="TableContents"/>
              <w:bidi w:val="0"/>
              <w:spacing w:before="0" w:after="1"/>
              <w:ind w:left="0" w:right="0" w:hanging="0"/>
              <w:jc w:val="center"/>
              <w:rPr/>
            </w:pPr>
            <w:r>
              <w:rPr/>
              <w:t>​</w:t>
            </w:r>
          </w:p>
        </w:tc>
      </w:tr>
      <w:tr>
        <w:trPr/>
        <w:tc>
          <w:tcPr>
            <w:tcW w:w="31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Fair value hedges: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28" w:type="dxa"/>
            <w:tcBorders/>
            <w:vAlign w:val="center"/>
          </w:tcPr>
          <w:p>
            <w:pPr>
              <w:pStyle w:val="TableContents"/>
              <w:bidi w:val="0"/>
              <w:spacing w:before="0" w:after="1"/>
              <w:ind w:left="0" w:right="0" w:hanging="0"/>
              <w:jc w:val="center"/>
              <w:rPr/>
            </w:pPr>
            <w:r>
              <w:rPr/>
              <w:t>​</w:t>
            </w:r>
          </w:p>
        </w:tc>
      </w:tr>
      <w:tr>
        <w:trPr/>
        <w:tc>
          <w:tcPr>
            <w:tcW w:w="31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rate swaps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600,000</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1,938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600,000</w:t>
            </w:r>
          </w:p>
        </w:tc>
        <w:tc>
          <w:tcPr>
            <w:tcW w:w="326" w:type="dxa"/>
            <w:tcBorders/>
            <w:shd w:fill="CCEEFF" w:val="clear"/>
            <w:vAlign w:val="center"/>
          </w:tcPr>
          <w:p>
            <w:pPr>
              <w:pStyle w:val="TableContents"/>
              <w:bidi w:val="0"/>
              <w:spacing w:before="0" w:after="1"/>
              <w:ind w:left="0" w:right="0" w:hanging="0"/>
              <w:jc w:val="left"/>
              <w:rPr/>
            </w:pPr>
            <w:r>
              <w:rPr/>
              <w:t>​</w:t>
            </w:r>
          </w:p>
        </w:tc>
        <w:tc>
          <w:tcPr>
            <w:tcW w:w="1924"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Accrued expenses and other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8" w:type="dxa"/>
            <w:tcBorders/>
            <w:shd w:fill="CCEEFF" w:val="clear"/>
            <w:vAlign w:val="center"/>
          </w:tcPr>
          <w:p>
            <w:pPr>
              <w:pStyle w:val="TableContents"/>
              <w:bidi w:val="0"/>
              <w:spacing w:before="0" w:after="1"/>
              <w:ind w:left="0" w:right="0" w:hanging="0"/>
              <w:jc w:val="right"/>
              <w:rPr/>
            </w:pPr>
            <w:r>
              <w:rPr/>
              <w:t>—</w:t>
            </w:r>
          </w:p>
        </w:tc>
      </w:tr>
      <w:tr>
        <w:trPr/>
        <w:tc>
          <w:tcPr>
            <w:tcW w:w="31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flow hedges: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2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28" w:type="dxa"/>
            <w:tcBorders/>
            <w:vAlign w:val="center"/>
          </w:tcPr>
          <w:p>
            <w:pPr>
              <w:pStyle w:val="TableContents"/>
              <w:bidi w:val="0"/>
              <w:spacing w:before="0" w:after="1"/>
              <w:ind w:left="0" w:right="0" w:hanging="0"/>
              <w:jc w:val="center"/>
              <w:rPr/>
            </w:pPr>
            <w:r>
              <w:rPr/>
              <w:t>​</w:t>
            </w:r>
          </w:p>
        </w:tc>
      </w:tr>
      <w:tr>
        <w:trPr/>
        <w:tc>
          <w:tcPr>
            <w:tcW w:w="31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rate swaps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200,000</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200,000</w:t>
            </w:r>
          </w:p>
        </w:tc>
        <w:tc>
          <w:tcPr>
            <w:tcW w:w="326" w:type="dxa"/>
            <w:tcBorders/>
            <w:shd w:fill="CCEEFF" w:val="clear"/>
            <w:vAlign w:val="center"/>
          </w:tcPr>
          <w:p>
            <w:pPr>
              <w:pStyle w:val="TableContents"/>
              <w:bidi w:val="0"/>
              <w:spacing w:before="0" w:after="1"/>
              <w:ind w:left="0" w:right="0" w:hanging="0"/>
              <w:jc w:val="left"/>
              <w:rPr/>
            </w:pPr>
            <w:r>
              <w:rPr/>
              <w:t>​</w:t>
            </w:r>
          </w:p>
        </w:tc>
        <w:tc>
          <w:tcPr>
            <w:tcW w:w="1924"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Accrued expenses and other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115"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Total derivatives designated as hedging instruments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800,000</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2,324</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800,000</w:t>
            </w:r>
          </w:p>
        </w:tc>
        <w:tc>
          <w:tcPr>
            <w:tcW w:w="326" w:type="dxa"/>
            <w:tcBorders/>
            <w:vAlign w:val="center"/>
          </w:tcPr>
          <w:p>
            <w:pPr>
              <w:pStyle w:val="TableContents"/>
              <w:bidi w:val="0"/>
              <w:spacing w:before="0" w:after="1"/>
              <w:ind w:left="0" w:right="0" w:hanging="0"/>
              <w:jc w:val="left"/>
              <w:rPr/>
            </w:pPr>
            <w:r>
              <w:rPr/>
              <w:t>​</w:t>
            </w:r>
          </w:p>
        </w:tc>
        <w:tc>
          <w:tcPr>
            <w:tcW w:w="192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3115"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Not designated as hedging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center"/>
              <w:rPr/>
            </w:pPr>
            <w:r>
              <w:rPr/>
              <w:t>​</w:t>
            </w:r>
          </w:p>
        </w:tc>
      </w:tr>
      <w:tr>
        <w:trPr/>
        <w:tc>
          <w:tcPr>
            <w:tcW w:w="3115"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 xml:space="preserve">Interest rate swaps </w:t>
            </w:r>
            <w:r>
              <w:rPr>
                <w:rFonts w:ascii="Times New Roman;Times;serif" w:hAnsi="Times New Roman;Times;serif"/>
                <w:sz w:val="11"/>
              </w:rPr>
              <w:t>(1)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120,304</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Other Assets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6,294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120,304</w:t>
            </w:r>
          </w:p>
        </w:tc>
        <w:tc>
          <w:tcPr>
            <w:tcW w:w="326" w:type="dxa"/>
            <w:tcBorders/>
            <w:vAlign w:val="center"/>
          </w:tcPr>
          <w:p>
            <w:pPr>
              <w:pStyle w:val="TableContents"/>
              <w:bidi w:val="0"/>
              <w:spacing w:before="0" w:after="1"/>
              <w:ind w:left="0" w:right="0" w:hanging="0"/>
              <w:jc w:val="left"/>
              <w:rPr/>
            </w:pPr>
            <w:r>
              <w:rPr/>
              <w:t>​</w:t>
            </w:r>
          </w:p>
        </w:tc>
        <w:tc>
          <w:tcPr>
            <w:tcW w:w="1924"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Accrued expenses and other liabilities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6,294</w:t>
            </w:r>
          </w:p>
        </w:tc>
      </w:tr>
      <w:tr>
        <w:trPr/>
        <w:tc>
          <w:tcPr>
            <w:tcW w:w="31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rate lock commitments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24,426</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4"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Accrued expenses and other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pPr>
            <w:r>
              <w:rPr/>
              <w:t>—</w:t>
            </w:r>
          </w:p>
        </w:tc>
      </w:tr>
      <w:tr>
        <w:trPr/>
        <w:tc>
          <w:tcPr>
            <w:tcW w:w="31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Forward loan sales commitments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Other Assets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24"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Accrued expenses and other liabilities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28" w:type="dxa"/>
            <w:tcBorders/>
            <w:vAlign w:val="center"/>
          </w:tcPr>
          <w:p>
            <w:pPr>
              <w:pStyle w:val="TableContents"/>
              <w:bidi w:val="0"/>
              <w:spacing w:before="0" w:after="1"/>
              <w:ind w:left="0" w:right="0" w:hanging="0"/>
              <w:jc w:val="right"/>
              <w:rPr/>
            </w:pPr>
            <w:r>
              <w:rPr/>
              <w:t>—</w:t>
            </w:r>
          </w:p>
        </w:tc>
      </w:tr>
      <w:tr>
        <w:trPr/>
        <w:tc>
          <w:tcPr>
            <w:tcW w:w="31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To-be-announced mortgage backed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46,000</w:t>
            </w:r>
          </w:p>
        </w:tc>
        <w:tc>
          <w:tcPr>
            <w:tcW w:w="326" w:type="dxa"/>
            <w:tcBorders/>
            <w:shd w:fill="CCEEFF" w:val="clear"/>
            <w:vAlign w:val="center"/>
          </w:tcPr>
          <w:p>
            <w:pPr>
              <w:pStyle w:val="TableContents"/>
              <w:bidi w:val="0"/>
              <w:spacing w:before="0" w:after="1"/>
              <w:ind w:left="0" w:right="0" w:hanging="0"/>
              <w:jc w:val="left"/>
              <w:rPr/>
            </w:pPr>
            <w:r>
              <w:rPr/>
              <w:t>​</w:t>
            </w:r>
          </w:p>
        </w:tc>
        <w:tc>
          <w:tcPr>
            <w:tcW w:w="1924"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Accrued expenses and other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r>
      <w:tr>
        <w:trPr/>
        <w:tc>
          <w:tcPr>
            <w:tcW w:w="3115"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Total asset derivatives not designated as hedging instruments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144,730</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6,703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166,304</w:t>
            </w:r>
          </w:p>
        </w:tc>
        <w:tc>
          <w:tcPr>
            <w:tcW w:w="326" w:type="dxa"/>
            <w:tcBorders/>
            <w:vAlign w:val="center"/>
          </w:tcPr>
          <w:p>
            <w:pPr>
              <w:pStyle w:val="TableContents"/>
              <w:bidi w:val="0"/>
              <w:spacing w:before="0" w:after="1"/>
              <w:ind w:left="0" w:right="0" w:hanging="0"/>
              <w:jc w:val="left"/>
              <w:rPr/>
            </w:pPr>
            <w:r>
              <w:rPr/>
              <w:t>​</w:t>
            </w:r>
          </w:p>
        </w:tc>
        <w:tc>
          <w:tcPr>
            <w:tcW w:w="192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6,318</w:t>
            </w:r>
          </w:p>
        </w:tc>
      </w:tr>
      <w:tr>
        <w:trPr/>
        <w:tc>
          <w:tcPr>
            <w:tcW w:w="3115"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4"/>
              </w:rPr>
            </w:pPr>
            <w:r>
              <w:rPr>
                <w:rFonts w:ascii="Times New Roman;Times;serif" w:hAnsi="Times New Roman;Times;serif"/>
                <w:b/>
                <w:i/>
                <w:sz w:val="14"/>
              </w:rPr>
              <w:t>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left"/>
              <w:rPr/>
            </w:pPr>
            <w:r>
              <w:rPr/>
              <w:t>​</w:t>
            </w:r>
          </w:p>
        </w:tc>
      </w:tr>
      <w:tr>
        <w:trPr/>
        <w:tc>
          <w:tcPr>
            <w:tcW w:w="3115"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Designated as hedging instruments: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2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left"/>
              <w:rPr/>
            </w:pPr>
            <w:r>
              <w:rPr/>
              <w:t>​</w:t>
            </w:r>
          </w:p>
        </w:tc>
      </w:tr>
      <w:tr>
        <w:trPr/>
        <w:tc>
          <w:tcPr>
            <w:tcW w:w="31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Fair value hedges: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left"/>
              <w:rPr/>
            </w:pPr>
            <w:r>
              <w:rPr/>
              <w:t>​</w:t>
            </w:r>
          </w:p>
        </w:tc>
      </w:tr>
      <w:tr>
        <w:trPr/>
        <w:tc>
          <w:tcPr>
            <w:tcW w:w="31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rate swaps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600,000</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Other Assets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600,000</w:t>
            </w:r>
          </w:p>
        </w:tc>
        <w:tc>
          <w:tcPr>
            <w:tcW w:w="326" w:type="dxa"/>
            <w:tcBorders/>
            <w:vAlign w:val="center"/>
          </w:tcPr>
          <w:p>
            <w:pPr>
              <w:pStyle w:val="TableContents"/>
              <w:bidi w:val="0"/>
              <w:spacing w:before="0" w:after="1"/>
              <w:ind w:left="0" w:right="0" w:hanging="0"/>
              <w:jc w:val="left"/>
              <w:rPr/>
            </w:pPr>
            <w:r>
              <w:rPr/>
              <w:t>​</w:t>
            </w:r>
          </w:p>
        </w:tc>
        <w:tc>
          <w:tcPr>
            <w:tcW w:w="1924"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Accrued expenses and other liabilities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352</w:t>
            </w:r>
          </w:p>
        </w:tc>
      </w:tr>
      <w:tr>
        <w:trPr/>
        <w:tc>
          <w:tcPr>
            <w:tcW w:w="31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flow hedges: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center"/>
              <w:rPr/>
            </w:pPr>
            <w:r>
              <w:rPr/>
              <w:t>​</w:t>
            </w:r>
          </w:p>
        </w:tc>
      </w:tr>
      <w:tr>
        <w:trPr/>
        <w:tc>
          <w:tcPr>
            <w:tcW w:w="31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rate swaps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200,000</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Other Assets</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200,000</w:t>
            </w:r>
          </w:p>
        </w:tc>
        <w:tc>
          <w:tcPr>
            <w:tcW w:w="326" w:type="dxa"/>
            <w:tcBorders/>
            <w:vAlign w:val="center"/>
          </w:tcPr>
          <w:p>
            <w:pPr>
              <w:pStyle w:val="TableContents"/>
              <w:bidi w:val="0"/>
              <w:spacing w:before="0" w:after="1"/>
              <w:ind w:left="0" w:right="0" w:hanging="0"/>
              <w:jc w:val="left"/>
              <w:rPr/>
            </w:pPr>
            <w:r>
              <w:rPr/>
              <w:t>​</w:t>
            </w:r>
          </w:p>
        </w:tc>
        <w:tc>
          <w:tcPr>
            <w:tcW w:w="1924"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Accrued expenses and other liabilities</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297</w:t>
            </w:r>
          </w:p>
        </w:tc>
      </w:tr>
      <w:tr>
        <w:trPr/>
        <w:tc>
          <w:tcPr>
            <w:tcW w:w="31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derivatives designated as hedging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800,000</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800,000</w:t>
            </w:r>
          </w:p>
        </w:tc>
        <w:tc>
          <w:tcPr>
            <w:tcW w:w="326" w:type="dxa"/>
            <w:tcBorders/>
            <w:shd w:fill="CCEEFF" w:val="clear"/>
            <w:vAlign w:val="center"/>
          </w:tcPr>
          <w:p>
            <w:pPr>
              <w:pStyle w:val="TableContents"/>
              <w:bidi w:val="0"/>
              <w:spacing w:before="0" w:after="1"/>
              <w:ind w:left="0" w:right="0" w:hanging="0"/>
              <w:jc w:val="left"/>
              <w:rPr/>
            </w:pPr>
            <w:r>
              <w:rPr/>
              <w:t>​</w:t>
            </w:r>
          </w:p>
        </w:tc>
        <w:tc>
          <w:tcPr>
            <w:tcW w:w="192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649</w:t>
            </w:r>
          </w:p>
        </w:tc>
      </w:tr>
      <w:tr>
        <w:trPr/>
        <w:tc>
          <w:tcPr>
            <w:tcW w:w="3115"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Not designated as hedging instruments: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2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left"/>
              <w:rPr/>
            </w:pPr>
            <w:r>
              <w:rPr/>
              <w:t>​</w:t>
            </w:r>
          </w:p>
        </w:tc>
      </w:tr>
      <w:tr>
        <w:trPr/>
        <w:tc>
          <w:tcPr>
            <w:tcW w:w="311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 xml:space="preserve">Interest rate swaps </w:t>
            </w:r>
            <w:r>
              <w:rPr>
                <w:rFonts w:ascii="Times New Roman;Times;serif" w:hAnsi="Times New Roman;Times;serif"/>
                <w:sz w:val="11"/>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120,671</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8,327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120,671</w:t>
            </w:r>
          </w:p>
        </w:tc>
        <w:tc>
          <w:tcPr>
            <w:tcW w:w="326" w:type="dxa"/>
            <w:tcBorders/>
            <w:shd w:fill="CCEEFF" w:val="clear"/>
            <w:vAlign w:val="center"/>
          </w:tcPr>
          <w:p>
            <w:pPr>
              <w:pStyle w:val="TableContents"/>
              <w:bidi w:val="0"/>
              <w:spacing w:before="0" w:after="1"/>
              <w:ind w:left="0" w:right="0" w:hanging="0"/>
              <w:jc w:val="left"/>
              <w:rPr/>
            </w:pPr>
            <w:r>
              <w:rPr/>
              <w:t>​</w:t>
            </w:r>
          </w:p>
        </w:tc>
        <w:tc>
          <w:tcPr>
            <w:tcW w:w="1924"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Accrued expenses and other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8,348</w:t>
            </w:r>
          </w:p>
        </w:tc>
      </w:tr>
      <w:tr>
        <w:trPr/>
        <w:tc>
          <w:tcPr>
            <w:tcW w:w="31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rate lock commitments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8,126</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Other Assets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24"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Accrued expenses and other liabilities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pPr>
            <w:r>
              <w:rPr/>
              <w:t>—</w:t>
            </w:r>
          </w:p>
        </w:tc>
      </w:tr>
      <w:tr>
        <w:trPr/>
        <w:tc>
          <w:tcPr>
            <w:tcW w:w="31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Forward loan sales commitments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190</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4"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Accrued expenses and other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pPr>
            <w:r>
              <w:rPr/>
              <w:t>—</w:t>
            </w:r>
          </w:p>
        </w:tc>
      </w:tr>
      <w:tr>
        <w:trPr/>
        <w:tc>
          <w:tcPr>
            <w:tcW w:w="311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To-be-announced mortgage backed securities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20,500</w:t>
            </w:r>
          </w:p>
        </w:tc>
        <w:tc>
          <w:tcPr>
            <w:tcW w:w="326" w:type="dxa"/>
            <w:tcBorders/>
            <w:vAlign w:val="center"/>
          </w:tcPr>
          <w:p>
            <w:pPr>
              <w:pStyle w:val="TableContents"/>
              <w:bidi w:val="0"/>
              <w:spacing w:before="0" w:after="1"/>
              <w:ind w:left="0" w:right="0" w:hanging="0"/>
              <w:jc w:val="left"/>
              <w:rPr/>
            </w:pPr>
            <w:r>
              <w:rPr/>
              <w:t>​</w:t>
            </w:r>
          </w:p>
        </w:tc>
        <w:tc>
          <w:tcPr>
            <w:tcW w:w="1924"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Accrued expenses and other liabilities</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w:t>
            </w:r>
          </w:p>
        </w:tc>
      </w:tr>
      <w:tr>
        <w:trPr/>
        <w:tc>
          <w:tcPr>
            <w:tcW w:w="311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asset derivatives not designated as hedging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128,987</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8,512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141,171</w:t>
            </w:r>
          </w:p>
        </w:tc>
        <w:tc>
          <w:tcPr>
            <w:tcW w:w="326" w:type="dxa"/>
            <w:tcBorders/>
            <w:shd w:fill="CCEEFF" w:val="clear"/>
            <w:vAlign w:val="center"/>
          </w:tcPr>
          <w:p>
            <w:pPr>
              <w:pStyle w:val="TableContents"/>
              <w:bidi w:val="0"/>
              <w:spacing w:before="0" w:after="1"/>
              <w:ind w:left="0" w:right="0" w:hanging="0"/>
              <w:jc w:val="left"/>
              <w:rPr/>
            </w:pPr>
            <w:r>
              <w:rPr/>
              <w:t>​</w:t>
            </w:r>
          </w:p>
        </w:tc>
        <w:tc>
          <w:tcPr>
            <w:tcW w:w="192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8"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8,531</w:t>
            </w:r>
          </w:p>
        </w:tc>
      </w:tr>
    </w:tbl>
    <w:tbl>
      <w:tblPr>
        <w:tblW w:w="5237" w:type="dxa"/>
        <w:jc w:val="left"/>
        <w:tblInd w:w="0" w:type="dxa"/>
        <w:tblLayout w:type="fixed"/>
        <w:tblCellMar>
          <w:top w:w="0" w:type="dxa"/>
          <w:left w:w="0" w:type="dxa"/>
          <w:bottom w:w="0" w:type="dxa"/>
          <w:right w:w="0" w:type="dxa"/>
        </w:tblCellMar>
      </w:tblPr>
      <w:tblGrid>
        <w:gridCol w:w="331"/>
        <w:gridCol w:w="490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4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Reported fair values include accrued interest receivable and payable.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3089" w:name="Tc_K_C-vKYncE6qF8poLnT37Q_17_9"/>
      <w:bookmarkStart w:id="3090" w:name="Tc_F0oscXacbk-_GvqHy1oYqA_17_6"/>
      <w:bookmarkStart w:id="3091" w:name="Tc_n_gkd9AI-kyNRF4joM0f8g_17_3"/>
      <w:bookmarkStart w:id="3092" w:name="Tc_MbrdGqtJ-USbOse4DbqzAA_17_0"/>
      <w:bookmarkStart w:id="3093" w:name="Tc_hTy-uy_ivEqR_KZqIDeaOQ_16_0"/>
      <w:bookmarkStart w:id="3094" w:name="Tc_qlIHTXRF5kW2JNrafsWrbQ_15_9"/>
      <w:bookmarkStart w:id="3095" w:name="Tc_yNO1DGxqX06MX-3e6ZPvDg_15_3"/>
      <w:bookmarkStart w:id="3096" w:name="Tc_42Bt8M8NL0WrRc-GpyUSqQ_15_0"/>
      <w:bookmarkStart w:id="3097" w:name="Tc_hGvzn2eSIEqkIWKRD-nK6Q_14_0"/>
      <w:bookmarkStart w:id="3098" w:name="Tc_nGIGumugCkGC0bHFlxg_xQ_13_8"/>
      <w:bookmarkStart w:id="3099" w:name="Tc_PFDv-e9qdUCo9smP6WS-6g_13_5"/>
      <w:bookmarkStart w:id="3100" w:name="Tc_tn9gJtUZuUWbcwtwcl-wbw_13_2"/>
      <w:bookmarkStart w:id="3101" w:name="Tc_xwV48F-ZjkWD9Mido2RkVQ_13_0"/>
      <w:bookmarkStart w:id="3102" w:name="Tc_be23tpJGW06lttVhB9PuyQ_12_0"/>
      <w:bookmarkStart w:id="3103" w:name="Tc_49XGCrT7yEqGKt4xyshfgg_11_6"/>
      <w:bookmarkStart w:id="3104" w:name="Tc_qsaIxJyhbUSPvCxupVrXkA_11_3"/>
      <w:bookmarkStart w:id="3105" w:name="Tc_vmidhsXeT06fheWjOOGJJg_11_0"/>
      <w:bookmarkStart w:id="3106" w:name="Tc_i9XVgPRXZ06So1jmDRv5uw_10_0"/>
      <w:bookmarkStart w:id="3107" w:name="Tc_9V4UhpQdek65mAcIIyT7CA_9_9"/>
      <w:bookmarkStart w:id="3108" w:name="Tc_IuvWd7tp6k-VKq1tetzk3A_9_0"/>
      <w:bookmarkStart w:id="3109" w:name="Tc_E0w7xOlxt0-rvOrdMHWPMg_8_0"/>
      <w:bookmarkStart w:id="3110" w:name="Tc_EvwQGP4SX0a-Y_QgYeTNaQ_7_8"/>
      <w:bookmarkStart w:id="3111" w:name="Tc_g5cBOIJUXEGdaPzXRa87xg_7_5"/>
      <w:bookmarkStart w:id="3112" w:name="Tc_09i0UUel3UunpP34PbG7rw_7_2"/>
      <w:bookmarkStart w:id="3113" w:name="Tc_G5Ld40DJYUCjnswMSeSyKA_7_0"/>
      <w:bookmarkStart w:id="3114" w:name="Tc_Mk-osrKVw0e4UIhU0o6Q5w_6_0"/>
      <w:bookmarkStart w:id="3115" w:name="Tc_ZvGkadH6qk6tBScxj_MCBg_5_8"/>
      <w:bookmarkStart w:id="3116" w:name="Tc_hmwxxKhWe0OsJ9pY8h8G-Q_5_5"/>
      <w:bookmarkStart w:id="3117" w:name="Tc_oG4z_gLfdEaAZ9cE8nHv8Q_5_2"/>
      <w:bookmarkStart w:id="3118" w:name="Tc_OIWl1VJoxE-tNtAkktQpJw_5_0"/>
      <w:bookmarkStart w:id="3119" w:name="Tc_ImIr-nlkqkWpP-XejdqSJA_4_8"/>
      <w:bookmarkStart w:id="3120" w:name="Tc_Jjvy5KepqEOs6yjScJuzqQ_4_5"/>
      <w:bookmarkStart w:id="3121" w:name="Tc_bElZl6tbIUigMMOyHbs9aA_4_2"/>
      <w:bookmarkStart w:id="3122" w:name="Tc_WakPCchuLEmKYtotvKEYtg_3_5"/>
      <w:bookmarkStart w:id="3123" w:name="Tc_v5SlCJdKE0SMwhvw0OCsIA_3_2"/>
      <w:bookmarkStart w:id="3124" w:name="Tc_hL180n1uUU-OErsGPpftow_2_8"/>
      <w:bookmarkStart w:id="3125" w:name="Tc_y4fE2_knHkKQg89Ca7GBKw_2_2"/>
      <w:bookmarkStart w:id="3126" w:name="Tc_6GXvCFZdUE2k4aE6iuhRAQ_1_2"/>
      <w:bookmarkStart w:id="3127" w:name="_cdd8cf7f_f751_4756_85ca_8d470d2fc9a9"/>
      <w:bookmarkStart w:id="3128" w:name="Tc_zv6GEN--h0G29qT-Ho6zGA_12_6"/>
      <w:bookmarkStart w:id="3129" w:name="Tc_fwID0opijkWMDvHiSRxSnA_12_5"/>
      <w:bookmarkStart w:id="3130" w:name="Tc_kH8nQ3ZDV0So7bpHKolatg_12_3"/>
      <w:bookmarkStart w:id="3131" w:name="Tc_ctdVxkgwXEujKbA5QziVOw_12_2"/>
      <w:bookmarkStart w:id="3132" w:name="Tc_w_cDW9dWf0qzAmZbMo0SVQ_12_0"/>
      <w:bookmarkStart w:id="3133" w:name="Tc_uY1FJyooBEuWHDC1AmUzeg_11_0"/>
      <w:bookmarkStart w:id="3134" w:name="Tc_--dwHe6PZ0u87ZZLjhcerg_10_0"/>
      <w:bookmarkStart w:id="3135" w:name="Tc_owYaZvojuEKtV1yEzl2-Tw_8_5"/>
      <w:bookmarkStart w:id="3136" w:name="Tc_qQFDQocGLEKgwhwa9zOU-w_8_2"/>
      <w:bookmarkStart w:id="3137" w:name="Tc_3Fn6HCP1c0CQo6lYxIa7WA_8_0"/>
      <w:bookmarkStart w:id="3138" w:name="Tc_Z1MHDVGgP0as0b7zvATWwQ_7_0"/>
      <w:bookmarkStart w:id="3139" w:name="Tc_-AGbVEZqG0eEnPJfqdM8MA_6_0"/>
      <w:bookmarkStart w:id="3140" w:name="Tc_xS_sDg4etUend2S8Y1W0TQ_5_0"/>
      <w:bookmarkStart w:id="3141" w:name="Tc_BhCd58fqL0yyxSavLK5rkA_4_5"/>
      <w:bookmarkStart w:id="3142" w:name="Tc_Fw0xKaJqp0uiFLCQV7wvwg_4_2"/>
      <w:bookmarkStart w:id="3143" w:name="Tc_fRmbOqGRjkePYonw41liVQ_4_0"/>
      <w:bookmarkStart w:id="3144" w:name="Tc_L2Wshq2aD0yXhjwo40fJfA_3_5"/>
      <w:bookmarkStart w:id="3145" w:name="Tc_sYr_NMV5i0Kk_VmGWlmm5A_3_2"/>
      <w:bookmarkStart w:id="3146" w:name="Tc_WQUAnHMJOU2LPxH6xlKJZQ_2_5"/>
      <w:bookmarkStart w:id="3147" w:name="Tc__prnW7tH-EClxe7iiqvuFQ_2_2"/>
      <w:bookmarkStart w:id="3148" w:name="Tc_lAhmNKsnZk-ou3OZHZxSmA_1_5"/>
      <w:bookmarkStart w:id="3149" w:name="_a381c7f9_5b6a_4e36_a57c_9508db3adc66"/>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r>
        <w:rPr>
          <w:rFonts w:ascii="Times New Roman;Times;serif" w:hAnsi="Times New Roman;Times;serif"/>
          <w:sz w:val="20"/>
        </w:rPr>
        <w:t xml:space="preserve">The following table shows the effective portion of the gains (losses) recognized in other comprehensive income (loss) and the gains (losses), before tax, reclassified from other comprehensive income (loss) into earnings for the periods indicated: </w:t>
      </w:r>
    </w:p>
    <w:p>
      <w:pPr>
        <w:pStyle w:val="TextBody"/>
        <w:bidi w:val="0"/>
        <w:spacing w:before="0" w:after="0"/>
        <w:ind w:left="0" w:right="0" w:hanging="0"/>
        <w:jc w:val="left"/>
        <w:rPr/>
      </w:pPr>
      <w:r>
        <w:rPr/>
        <w:t>​</w:t>
      </w:r>
    </w:p>
    <w:tbl>
      <w:tblPr>
        <w:tblW w:w="6234" w:type="dxa"/>
        <w:jc w:val="left"/>
        <w:tblInd w:w="0" w:type="dxa"/>
        <w:tblLayout w:type="fixed"/>
        <w:tblCellMar>
          <w:top w:w="0" w:type="dxa"/>
          <w:left w:w="0" w:type="dxa"/>
          <w:bottom w:w="0" w:type="dxa"/>
          <w:right w:w="0" w:type="dxa"/>
        </w:tblCellMar>
      </w:tblPr>
      <w:tblGrid>
        <w:gridCol w:w="3691"/>
        <w:gridCol w:w="109"/>
        <w:gridCol w:w="390"/>
        <w:gridCol w:w="750"/>
        <w:gridCol w:w="109"/>
        <w:gridCol w:w="358"/>
        <w:gridCol w:w="827"/>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343785" cy="175260"/>
                      <wp:effectExtent l="0" t="0" r="0" b="0"/>
                      <wp:wrapNone/>
                      <wp:docPr id="524" name="Frame524"/>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9215" cy="175260"/>
                      <wp:effectExtent l="0" t="0" r="0" b="0"/>
                      <wp:wrapNone/>
                      <wp:docPr id="525" name="Frame5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47650" cy="175260"/>
                      <wp:effectExtent l="0" t="0" r="0" b="0"/>
                      <wp:wrapNone/>
                      <wp:docPr id="526" name="Frame526"/>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476250" cy="175260"/>
                      <wp:effectExtent l="0" t="0" r="0" b="0"/>
                      <wp:wrapNone/>
                      <wp:docPr id="527" name="Frame527"/>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9215" cy="175260"/>
                      <wp:effectExtent l="0" t="0" r="0" b="0"/>
                      <wp:wrapNone/>
                      <wp:docPr id="528" name="Frame5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27330" cy="175260"/>
                      <wp:effectExtent l="0" t="0" r="0" b="0"/>
                      <wp:wrapNone/>
                      <wp:docPr id="529" name="Frame529"/>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25145" cy="175260"/>
                      <wp:effectExtent l="0" t="0" r="0" b="0"/>
                      <wp:wrapNone/>
                      <wp:docPr id="530" name="Frame530"/>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 (Losses)</w:t>
            </w:r>
          </w:p>
        </w:tc>
      </w:tr>
      <w:tr>
        <w:trPr/>
        <w:tc>
          <w:tcPr>
            <w:tcW w:w="3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 (Losses)</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Reclassified</w:t>
            </w:r>
          </w:p>
        </w:tc>
      </w:tr>
      <w:tr>
        <w:trPr/>
        <w:tc>
          <w:tcPr>
            <w:tcW w:w="3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Recognized in</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from OCI</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OCI</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into Earnings</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Derivatives designated as hedging instruments</w:t>
            </w:r>
          </w:p>
        </w:tc>
        <w:tc>
          <w:tcPr>
            <w:tcW w:w="109"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center"/>
              <w:rPr/>
            </w:pPr>
            <w:r>
              <w:rPr/>
              <w:t>​</w:t>
            </w:r>
          </w:p>
        </w:tc>
        <w:tc>
          <w:tcPr>
            <w:tcW w:w="75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center"/>
              <w:rPr/>
            </w:pPr>
            <w:r>
              <w:rPr/>
              <w:t>​</w:t>
            </w:r>
          </w:p>
        </w:tc>
        <w:tc>
          <w:tcPr>
            <w:tcW w:w="827" w:type="dxa"/>
            <w:tcBorders/>
            <w:shd w:fill="CCEEFF" w:val="clear"/>
            <w:vAlign w:val="center"/>
          </w:tcPr>
          <w:p>
            <w:pPr>
              <w:pStyle w:val="TableContents"/>
              <w:bidi w:val="0"/>
              <w:spacing w:before="0" w:after="1"/>
              <w:ind w:left="0" w:right="0" w:hanging="0"/>
              <w:jc w:val="center"/>
              <w:rPr/>
            </w:pPr>
            <w:r>
              <w:rPr/>
              <w:t>​</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For the three months ended March 31, 2024</w:t>
            </w:r>
          </w:p>
        </w:tc>
        <w:tc>
          <w:tcPr>
            <w:tcW w:w="109"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center"/>
              <w:rPr/>
            </w:pPr>
            <w:r>
              <w:rPr/>
              <w:t>​</w:t>
            </w:r>
          </w:p>
        </w:tc>
        <w:tc>
          <w:tcPr>
            <w:tcW w:w="75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center"/>
              <w:rPr/>
            </w:pPr>
            <w:r>
              <w:rPr/>
              <w:t>​</w:t>
            </w:r>
          </w:p>
        </w:tc>
        <w:tc>
          <w:tcPr>
            <w:tcW w:w="827" w:type="dxa"/>
            <w:tcBorders/>
            <w:vAlign w:val="center"/>
          </w:tcPr>
          <w:p>
            <w:pPr>
              <w:pStyle w:val="TableContents"/>
              <w:bidi w:val="0"/>
              <w:spacing w:before="0" w:after="1"/>
              <w:ind w:left="0" w:right="0" w:hanging="0"/>
              <w:jc w:val="center"/>
              <w:rPr/>
            </w:pPr>
            <w:r>
              <w:rPr/>
              <w:t>​</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 hedges:</w:t>
            </w:r>
          </w:p>
        </w:tc>
        <w:tc>
          <w:tcPr>
            <w:tcW w:w="109"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center"/>
              <w:rPr/>
            </w:pPr>
            <w:r>
              <w:rPr/>
              <w:t>​</w:t>
            </w:r>
          </w:p>
        </w:tc>
        <w:tc>
          <w:tcPr>
            <w:tcW w:w="75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center"/>
              <w:rPr/>
            </w:pPr>
            <w:r>
              <w:rPr/>
              <w:t>​</w:t>
            </w:r>
          </w:p>
        </w:tc>
        <w:tc>
          <w:tcPr>
            <w:tcW w:w="827" w:type="dxa"/>
            <w:tcBorders/>
            <w:shd w:fill="CCEEFF" w:val="clear"/>
            <w:vAlign w:val="center"/>
          </w:tcPr>
          <w:p>
            <w:pPr>
              <w:pStyle w:val="TableContents"/>
              <w:bidi w:val="0"/>
              <w:spacing w:before="0" w:after="1"/>
              <w:ind w:left="0" w:right="0" w:hanging="0"/>
              <w:jc w:val="center"/>
              <w:rPr/>
            </w:pPr>
            <w:r>
              <w:rPr/>
              <w:t>​</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rate swaps</w:t>
            </w:r>
          </w:p>
        </w:tc>
        <w:tc>
          <w:tcPr>
            <w:tcW w:w="109"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946</w:t>
            </w:r>
          </w:p>
        </w:tc>
        <w:tc>
          <w:tcPr>
            <w:tcW w:w="109"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center"/>
              <w:rPr/>
            </w:pPr>
            <w:r>
              <w:rPr/>
              <w:t>​</w:t>
            </w:r>
          </w:p>
        </w:tc>
        <w:tc>
          <w:tcPr>
            <w:tcW w:w="75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center"/>
              <w:rPr/>
            </w:pPr>
            <w:r>
              <w:rPr/>
              <w:t>​</w:t>
            </w:r>
          </w:p>
        </w:tc>
        <w:tc>
          <w:tcPr>
            <w:tcW w:w="827" w:type="dxa"/>
            <w:tcBorders/>
            <w:shd w:fill="CCEEFF" w:val="clear"/>
            <w:vAlign w:val="center"/>
          </w:tcPr>
          <w:p>
            <w:pPr>
              <w:pStyle w:val="TableContents"/>
              <w:bidi w:val="0"/>
              <w:spacing w:before="0" w:after="1"/>
              <w:ind w:left="0" w:right="0" w:hanging="0"/>
              <w:jc w:val="center"/>
              <w:rPr/>
            </w:pPr>
            <w:r>
              <w:rPr/>
              <w:t>​</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For the three months ended March 31, 2023</w:t>
            </w:r>
          </w:p>
        </w:tc>
        <w:tc>
          <w:tcPr>
            <w:tcW w:w="109"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center"/>
              <w:rPr/>
            </w:pPr>
            <w:r>
              <w:rPr/>
              <w:t>​</w:t>
            </w:r>
          </w:p>
        </w:tc>
        <w:tc>
          <w:tcPr>
            <w:tcW w:w="75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center"/>
              <w:rPr/>
            </w:pPr>
            <w:r>
              <w:rPr/>
              <w:t>​</w:t>
            </w:r>
          </w:p>
        </w:tc>
        <w:tc>
          <w:tcPr>
            <w:tcW w:w="827" w:type="dxa"/>
            <w:tcBorders/>
            <w:vAlign w:val="center"/>
          </w:tcPr>
          <w:p>
            <w:pPr>
              <w:pStyle w:val="TableContents"/>
              <w:bidi w:val="0"/>
              <w:spacing w:before="0" w:after="1"/>
              <w:ind w:left="0" w:right="0" w:hanging="0"/>
              <w:jc w:val="center"/>
              <w:rPr/>
            </w:pPr>
            <w:r>
              <w:rPr/>
              <w:t>​</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 hedges:</w:t>
            </w:r>
          </w:p>
        </w:tc>
        <w:tc>
          <w:tcPr>
            <w:tcW w:w="109"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center"/>
              <w:rPr/>
            </w:pPr>
            <w:r>
              <w:rPr/>
              <w:t>​</w:t>
            </w:r>
          </w:p>
        </w:tc>
        <w:tc>
          <w:tcPr>
            <w:tcW w:w="75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center"/>
              <w:rPr/>
            </w:pPr>
            <w:r>
              <w:rPr/>
              <w:t>​</w:t>
            </w:r>
          </w:p>
        </w:tc>
        <w:tc>
          <w:tcPr>
            <w:tcW w:w="827" w:type="dxa"/>
            <w:tcBorders/>
            <w:shd w:fill="CCEEFF" w:val="clear"/>
            <w:vAlign w:val="center"/>
          </w:tcPr>
          <w:p>
            <w:pPr>
              <w:pStyle w:val="TableContents"/>
              <w:bidi w:val="0"/>
              <w:spacing w:before="0" w:after="1"/>
              <w:ind w:left="0" w:right="0" w:hanging="0"/>
              <w:jc w:val="center"/>
              <w:rPr/>
            </w:pPr>
            <w:r>
              <w:rPr/>
              <w:t>​</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rate swaps</w:t>
            </w:r>
          </w:p>
        </w:tc>
        <w:tc>
          <w:tcPr>
            <w:tcW w:w="109"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shows the effect of fair value and cash flow hedge accounting on derivatives designated as hedging instruments in the Consolidated Statements of Income:</w:t>
      </w:r>
    </w:p>
    <w:tbl>
      <w:tblPr>
        <w:tblW w:w="9206" w:type="dxa"/>
        <w:jc w:val="left"/>
        <w:tblInd w:w="0" w:type="dxa"/>
        <w:tblLayout w:type="fixed"/>
        <w:tblCellMar>
          <w:top w:w="0" w:type="dxa"/>
          <w:left w:w="0" w:type="dxa"/>
          <w:bottom w:w="0" w:type="dxa"/>
          <w:right w:w="0" w:type="dxa"/>
        </w:tblCellMar>
      </w:tblPr>
      <w:tblGrid>
        <w:gridCol w:w="4111"/>
        <w:gridCol w:w="326"/>
        <w:gridCol w:w="312"/>
        <w:gridCol w:w="958"/>
        <w:gridCol w:w="519"/>
        <w:gridCol w:w="312"/>
        <w:gridCol w:w="814"/>
        <w:gridCol w:w="519"/>
        <w:gridCol w:w="347"/>
        <w:gridCol w:w="988"/>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610485" cy="175260"/>
                      <wp:effectExtent l="0" t="0" r="0" b="0"/>
                      <wp:wrapNone/>
                      <wp:docPr id="531" name="Frame531"/>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7010" cy="175260"/>
                      <wp:effectExtent l="0" t="0" r="0" b="0"/>
                      <wp:wrapNone/>
                      <wp:docPr id="532"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98120" cy="175260"/>
                      <wp:effectExtent l="0" t="0" r="0" b="0"/>
                      <wp:wrapNone/>
                      <wp:docPr id="533" name="Frame533"/>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08330" cy="175260"/>
                      <wp:effectExtent l="0" t="0" r="0" b="0"/>
                      <wp:wrapNone/>
                      <wp:docPr id="534" name="Frame534"/>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29565" cy="175260"/>
                      <wp:effectExtent l="0" t="0" r="0" b="0"/>
                      <wp:wrapNone/>
                      <wp:docPr id="535" name="Frame535"/>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98120" cy="175260"/>
                      <wp:effectExtent l="0" t="0" r="0" b="0"/>
                      <wp:wrapNone/>
                      <wp:docPr id="536" name="Frame536"/>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516890" cy="175260"/>
                      <wp:effectExtent l="0" t="0" r="0" b="0"/>
                      <wp:wrapNone/>
                      <wp:docPr id="537" name="Frame537"/>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329565" cy="175260"/>
                      <wp:effectExtent l="0" t="0" r="0" b="0"/>
                      <wp:wrapNone/>
                      <wp:docPr id="538" name="Frame538"/>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20345" cy="175260"/>
                      <wp:effectExtent l="0" t="0" r="0" b="0"/>
                      <wp:wrapNone/>
                      <wp:docPr id="539" name="Frame539"/>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27380" cy="175260"/>
                      <wp:effectExtent l="0" t="0" r="0" b="0"/>
                      <wp:wrapNone/>
                      <wp:docPr id="540" name="Frame540"/>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6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 and Amount of Gains (Losses) Recognized in Income</w:t>
            </w:r>
          </w:p>
        </w:tc>
      </w:tr>
      <w:tr>
        <w:trPr/>
        <w:tc>
          <w:tcPr>
            <w:tcW w:w="4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Income</w:t>
            </w:r>
          </w:p>
        </w:tc>
        <w:tc>
          <w:tcPr>
            <w:tcW w:w="519" w:type="dxa"/>
            <w:tcBorders/>
            <w:vAlign w:val="center"/>
          </w:tcPr>
          <w:p>
            <w:pPr>
              <w:pStyle w:val="TableContents"/>
              <w:bidi w:val="0"/>
              <w:spacing w:before="0" w:after="1"/>
              <w:ind w:left="0" w:right="0" w:hanging="0"/>
              <w:jc w:val="left"/>
              <w:rPr/>
            </w:pPr>
            <w:r>
              <w:rPr/>
              <w:t>​</w:t>
            </w:r>
          </w:p>
        </w:tc>
        <w:tc>
          <w:tcPr>
            <w:tcW w:w="13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Expense</w:t>
            </w:r>
          </w:p>
        </w:tc>
      </w:tr>
      <w:tr>
        <w:trPr/>
        <w:tc>
          <w:tcPr>
            <w:tcW w:w="4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519"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Investment</w:t>
            </w:r>
          </w:p>
        </w:tc>
        <w:tc>
          <w:tcPr>
            <w:tcW w:w="519" w:type="dxa"/>
            <w:tcBorders/>
            <w:vAlign w:val="center"/>
          </w:tcPr>
          <w:p>
            <w:pPr>
              <w:pStyle w:val="TableContents"/>
              <w:bidi w:val="0"/>
              <w:spacing w:before="0" w:after="1"/>
              <w:ind w:left="0" w:right="0" w:hanging="0"/>
              <w:jc w:val="left"/>
              <w:rPr/>
            </w:pPr>
            <w:r>
              <w:rPr/>
              <w:t>​</w:t>
            </w:r>
          </w:p>
        </w:tc>
        <w:tc>
          <w:tcPr>
            <w:tcW w:w="1335" w:type="dxa"/>
            <w:gridSpan w:val="2"/>
            <w:tcBorders/>
            <w:vAlign w:val="center"/>
          </w:tcPr>
          <w:p>
            <w:pPr>
              <w:pStyle w:val="TableContents"/>
              <w:bidi w:val="0"/>
              <w:spacing w:before="0" w:after="1"/>
              <w:ind w:left="0" w:right="0" w:hanging="0"/>
              <w:jc w:val="center"/>
              <w:rPr/>
            </w:pPr>
            <w:r>
              <w:rPr/>
              <w:t>​</w:t>
            </w:r>
          </w:p>
        </w:tc>
      </w:tr>
      <w:tr>
        <w:trPr/>
        <w:tc>
          <w:tcPr>
            <w:tcW w:w="4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including</w:t>
            </w:r>
          </w:p>
        </w:tc>
        <w:tc>
          <w:tcPr>
            <w:tcW w:w="519"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 -</w:t>
            </w:r>
          </w:p>
        </w:tc>
        <w:tc>
          <w:tcPr>
            <w:tcW w:w="519" w:type="dxa"/>
            <w:tcBorders/>
            <w:vAlign w:val="center"/>
          </w:tcPr>
          <w:p>
            <w:pPr>
              <w:pStyle w:val="TableContents"/>
              <w:bidi w:val="0"/>
              <w:spacing w:before="0" w:after="1"/>
              <w:ind w:left="0" w:right="0" w:hanging="0"/>
              <w:jc w:val="left"/>
              <w:rPr/>
            </w:pPr>
            <w:r>
              <w:rPr/>
              <w:t>​</w:t>
            </w:r>
          </w:p>
        </w:tc>
        <w:tc>
          <w:tcPr>
            <w:tcW w:w="13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Short-term</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12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fees</w:t>
            </w:r>
          </w:p>
        </w:tc>
        <w:tc>
          <w:tcPr>
            <w:tcW w:w="519"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Taxable</w:t>
            </w:r>
          </w:p>
        </w:tc>
        <w:tc>
          <w:tcPr>
            <w:tcW w:w="519" w:type="dxa"/>
            <w:tcBorders/>
            <w:vAlign w:val="center"/>
          </w:tcPr>
          <w:p>
            <w:pPr>
              <w:pStyle w:val="TableContents"/>
              <w:bidi w:val="0"/>
              <w:spacing w:before="0" w:after="1"/>
              <w:ind w:left="0" w:right="0" w:hanging="0"/>
              <w:jc w:val="left"/>
              <w:rPr/>
            </w:pPr>
            <w:r>
              <w:rPr/>
              <w:t>    </w:t>
            </w:r>
          </w:p>
        </w:tc>
        <w:tc>
          <w:tcPr>
            <w:tcW w:w="13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borrowings</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For the three months ended March 31, 2024</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center"/>
              <w:rPr/>
            </w:pPr>
            <w:r>
              <w:rPr/>
              <w:t>​</w:t>
            </w:r>
          </w:p>
        </w:tc>
        <w:tc>
          <w:tcPr>
            <w:tcW w:w="958" w:type="dxa"/>
            <w:tcBorders/>
            <w:shd w:fill="CCEEFF" w:val="clear"/>
            <w:vAlign w:val="center"/>
          </w:tcPr>
          <w:p>
            <w:pPr>
              <w:pStyle w:val="TableContents"/>
              <w:bidi w:val="0"/>
              <w:spacing w:before="0" w:after="1"/>
              <w:ind w:left="0" w:right="0" w:hanging="0"/>
              <w:jc w:val="center"/>
              <w:rPr/>
            </w:pPr>
            <w:r>
              <w:rPr/>
              <w:t>​</w:t>
            </w:r>
          </w:p>
        </w:tc>
        <w:tc>
          <w:tcPr>
            <w:tcW w:w="519"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center"/>
              <w:rPr/>
            </w:pPr>
            <w:r>
              <w:rPr/>
              <w:t>​</w:t>
            </w:r>
          </w:p>
        </w:tc>
        <w:tc>
          <w:tcPr>
            <w:tcW w:w="814" w:type="dxa"/>
            <w:tcBorders/>
            <w:shd w:fill="CCEEFF" w:val="clear"/>
            <w:vAlign w:val="center"/>
          </w:tcPr>
          <w:p>
            <w:pPr>
              <w:pStyle w:val="TableContents"/>
              <w:bidi w:val="0"/>
              <w:spacing w:before="0" w:after="1"/>
              <w:ind w:left="0" w:right="0" w:hanging="0"/>
              <w:jc w:val="center"/>
              <w:rPr/>
            </w:pPr>
            <w:r>
              <w:rPr/>
              <w:t>​</w:t>
            </w:r>
          </w:p>
        </w:tc>
        <w:tc>
          <w:tcPr>
            <w:tcW w:w="519"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center"/>
              <w:rPr/>
            </w:pPr>
            <w:r>
              <w:rPr/>
              <w:t>​</w:t>
            </w:r>
          </w:p>
        </w:tc>
        <w:tc>
          <w:tcPr>
            <w:tcW w:w="988" w:type="dxa"/>
            <w:tcBorders/>
            <w:shd w:fill="CCEEFF" w:val="clear"/>
            <w:vAlign w:val="center"/>
          </w:tcPr>
          <w:p>
            <w:pPr>
              <w:pStyle w:val="TableContents"/>
              <w:bidi w:val="0"/>
              <w:spacing w:before="0" w:after="1"/>
              <w:ind w:left="0" w:right="0" w:hanging="0"/>
              <w:jc w:val="center"/>
              <w:rPr/>
            </w:pPr>
            <w:r>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amounts in the Consolidated Statements of Income</w:t>
            </w:r>
          </w:p>
        </w:tc>
        <w:tc>
          <w:tcPr>
            <w:tcW w:w="32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39,294</w:t>
            </w:r>
          </w:p>
        </w:tc>
        <w:tc>
          <w:tcPr>
            <w:tcW w:w="519"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4,568</w:t>
            </w:r>
          </w:p>
        </w:tc>
        <w:tc>
          <w:tcPr>
            <w:tcW w:w="519"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5,989</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Fair value hedges:</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center"/>
              <w:rPr/>
            </w:pPr>
            <w:r>
              <w:rPr/>
              <w:t>​</w:t>
            </w:r>
          </w:p>
        </w:tc>
        <w:tc>
          <w:tcPr>
            <w:tcW w:w="958" w:type="dxa"/>
            <w:tcBorders/>
            <w:shd w:fill="CCEEFF" w:val="clear"/>
            <w:vAlign w:val="center"/>
          </w:tcPr>
          <w:p>
            <w:pPr>
              <w:pStyle w:val="TableContents"/>
              <w:bidi w:val="0"/>
              <w:spacing w:before="0" w:after="1"/>
              <w:ind w:left="0" w:right="0" w:hanging="0"/>
              <w:jc w:val="center"/>
              <w:rPr/>
            </w:pPr>
            <w:r>
              <w:rPr/>
              <w:t>​</w:t>
            </w:r>
          </w:p>
        </w:tc>
        <w:tc>
          <w:tcPr>
            <w:tcW w:w="519"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center"/>
              <w:rPr/>
            </w:pPr>
            <w:r>
              <w:rPr/>
              <w:t>​</w:t>
            </w:r>
          </w:p>
        </w:tc>
        <w:tc>
          <w:tcPr>
            <w:tcW w:w="814" w:type="dxa"/>
            <w:tcBorders/>
            <w:shd w:fill="CCEEFF" w:val="clear"/>
            <w:vAlign w:val="center"/>
          </w:tcPr>
          <w:p>
            <w:pPr>
              <w:pStyle w:val="TableContents"/>
              <w:bidi w:val="0"/>
              <w:spacing w:before="0" w:after="1"/>
              <w:ind w:left="0" w:right="0" w:hanging="0"/>
              <w:jc w:val="center"/>
              <w:rPr/>
            </w:pPr>
            <w:r>
              <w:rPr/>
              <w:t>​</w:t>
            </w:r>
          </w:p>
        </w:tc>
        <w:tc>
          <w:tcPr>
            <w:tcW w:w="519"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center"/>
              <w:rPr/>
            </w:pPr>
            <w:r>
              <w:rPr/>
              <w:t>​</w:t>
            </w:r>
          </w:p>
        </w:tc>
        <w:tc>
          <w:tcPr>
            <w:tcW w:w="988" w:type="dxa"/>
            <w:tcBorders/>
            <w:shd w:fill="CCEEFF" w:val="clear"/>
            <w:vAlign w:val="center"/>
          </w:tcPr>
          <w:p>
            <w:pPr>
              <w:pStyle w:val="TableContents"/>
              <w:bidi w:val="0"/>
              <w:spacing w:before="0" w:after="1"/>
              <w:ind w:left="0" w:right="0" w:hanging="0"/>
              <w:jc w:val="center"/>
              <w:rPr/>
            </w:pPr>
            <w:r>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rate swaps</w:t>
            </w:r>
          </w:p>
        </w:tc>
        <w:tc>
          <w:tcPr>
            <w:tcW w:w="32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w:t>
            </w:r>
          </w:p>
        </w:tc>
        <w:tc>
          <w:tcPr>
            <w:tcW w:w="519"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w:t>
            </w:r>
          </w:p>
        </w:tc>
        <w:tc>
          <w:tcPr>
            <w:tcW w:w="519"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right"/>
              <w:rPr/>
            </w:pPr>
            <w:r>
              <w:rPr/>
              <w:t>—</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 hedges:</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center"/>
              <w:rPr/>
            </w:pPr>
            <w:r>
              <w:rPr/>
              <w:t>​</w:t>
            </w:r>
          </w:p>
        </w:tc>
        <w:tc>
          <w:tcPr>
            <w:tcW w:w="958" w:type="dxa"/>
            <w:tcBorders/>
            <w:shd w:fill="CCEEFF" w:val="clear"/>
            <w:vAlign w:val="center"/>
          </w:tcPr>
          <w:p>
            <w:pPr>
              <w:pStyle w:val="TableContents"/>
              <w:bidi w:val="0"/>
              <w:spacing w:before="0" w:after="1"/>
              <w:ind w:left="0" w:right="0" w:hanging="0"/>
              <w:jc w:val="center"/>
              <w:rPr/>
            </w:pPr>
            <w:r>
              <w:rPr/>
              <w:t>​</w:t>
            </w:r>
          </w:p>
        </w:tc>
        <w:tc>
          <w:tcPr>
            <w:tcW w:w="519"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center"/>
              <w:rPr/>
            </w:pPr>
            <w:r>
              <w:rPr/>
              <w:t>​</w:t>
            </w:r>
          </w:p>
        </w:tc>
        <w:tc>
          <w:tcPr>
            <w:tcW w:w="814" w:type="dxa"/>
            <w:tcBorders/>
            <w:shd w:fill="CCEEFF" w:val="clear"/>
            <w:vAlign w:val="center"/>
          </w:tcPr>
          <w:p>
            <w:pPr>
              <w:pStyle w:val="TableContents"/>
              <w:bidi w:val="0"/>
              <w:spacing w:before="0" w:after="1"/>
              <w:ind w:left="0" w:right="0" w:hanging="0"/>
              <w:jc w:val="center"/>
              <w:rPr/>
            </w:pPr>
            <w:r>
              <w:rPr/>
              <w:t>​</w:t>
            </w:r>
          </w:p>
        </w:tc>
        <w:tc>
          <w:tcPr>
            <w:tcW w:w="519"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center"/>
              <w:rPr/>
            </w:pPr>
            <w:r>
              <w:rPr/>
              <w:t>​</w:t>
            </w:r>
          </w:p>
        </w:tc>
        <w:tc>
          <w:tcPr>
            <w:tcW w:w="988" w:type="dxa"/>
            <w:tcBorders/>
            <w:shd w:fill="CCEEFF" w:val="clear"/>
            <w:vAlign w:val="center"/>
          </w:tcPr>
          <w:p>
            <w:pPr>
              <w:pStyle w:val="TableContents"/>
              <w:bidi w:val="0"/>
              <w:spacing w:before="0" w:after="1"/>
              <w:ind w:left="0" w:right="0" w:hanging="0"/>
              <w:jc w:val="center"/>
              <w:rPr/>
            </w:pPr>
            <w:r>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rate swaps</w:t>
            </w:r>
          </w:p>
        </w:tc>
        <w:tc>
          <w:tcPr>
            <w:tcW w:w="32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center"/>
              <w:rPr/>
            </w:pPr>
            <w:r>
              <w:rPr/>
              <w:t>​</w:t>
            </w:r>
          </w:p>
        </w:tc>
        <w:tc>
          <w:tcPr>
            <w:tcW w:w="958" w:type="dxa"/>
            <w:tcBorders/>
            <w:vAlign w:val="center"/>
          </w:tcPr>
          <w:p>
            <w:pPr>
              <w:pStyle w:val="TableContents"/>
              <w:bidi w:val="0"/>
              <w:spacing w:before="0" w:after="1"/>
              <w:ind w:left="0" w:right="0" w:hanging="0"/>
              <w:jc w:val="right"/>
              <w:rPr/>
            </w:pPr>
            <w:r>
              <w:rPr/>
              <w:t>—</w:t>
            </w:r>
          </w:p>
        </w:tc>
        <w:tc>
          <w:tcPr>
            <w:tcW w:w="519"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pPr>
            <w:r>
              <w:rPr/>
              <w:t>—</w:t>
            </w:r>
          </w:p>
        </w:tc>
        <w:tc>
          <w:tcPr>
            <w:tcW w:w="519"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For the three months ended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center"/>
              <w:rPr/>
            </w:pPr>
            <w:r>
              <w:rPr/>
              <w:t>​</w:t>
            </w:r>
          </w:p>
        </w:tc>
        <w:tc>
          <w:tcPr>
            <w:tcW w:w="958" w:type="dxa"/>
            <w:tcBorders/>
            <w:shd w:fill="CCEEFF" w:val="clear"/>
            <w:vAlign w:val="center"/>
          </w:tcPr>
          <w:p>
            <w:pPr>
              <w:pStyle w:val="TableContents"/>
              <w:bidi w:val="0"/>
              <w:spacing w:before="0" w:after="1"/>
              <w:ind w:left="0" w:right="0" w:hanging="0"/>
              <w:jc w:val="center"/>
              <w:rPr/>
            </w:pPr>
            <w:r>
              <w:rPr/>
              <w:t>​</w:t>
            </w:r>
          </w:p>
        </w:tc>
        <w:tc>
          <w:tcPr>
            <w:tcW w:w="519"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center"/>
              <w:rPr/>
            </w:pPr>
            <w:r>
              <w:rPr/>
              <w:t>​</w:t>
            </w:r>
          </w:p>
        </w:tc>
        <w:tc>
          <w:tcPr>
            <w:tcW w:w="814" w:type="dxa"/>
            <w:tcBorders/>
            <w:shd w:fill="CCEEFF" w:val="clear"/>
            <w:vAlign w:val="center"/>
          </w:tcPr>
          <w:p>
            <w:pPr>
              <w:pStyle w:val="TableContents"/>
              <w:bidi w:val="0"/>
              <w:spacing w:before="0" w:after="1"/>
              <w:ind w:left="0" w:right="0" w:hanging="0"/>
              <w:jc w:val="center"/>
              <w:rPr/>
            </w:pPr>
            <w:r>
              <w:rPr/>
              <w:t>​</w:t>
            </w:r>
          </w:p>
        </w:tc>
        <w:tc>
          <w:tcPr>
            <w:tcW w:w="519"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center"/>
              <w:rPr/>
            </w:pPr>
            <w:r>
              <w:rPr/>
              <w:t>​</w:t>
            </w:r>
          </w:p>
        </w:tc>
        <w:tc>
          <w:tcPr>
            <w:tcW w:w="988" w:type="dxa"/>
            <w:tcBorders/>
            <w:shd w:fill="CCEEFF" w:val="clear"/>
            <w:vAlign w:val="center"/>
          </w:tcPr>
          <w:p>
            <w:pPr>
              <w:pStyle w:val="TableContents"/>
              <w:bidi w:val="0"/>
              <w:spacing w:before="0" w:after="1"/>
              <w:ind w:left="0" w:right="0" w:hanging="0"/>
              <w:jc w:val="center"/>
              <w:rPr/>
            </w:pPr>
            <w:r>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amounts in the Consolidated Statements of Income</w:t>
            </w:r>
          </w:p>
        </w:tc>
        <w:tc>
          <w:tcPr>
            <w:tcW w:w="32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30,933</w:t>
            </w:r>
          </w:p>
        </w:tc>
        <w:tc>
          <w:tcPr>
            <w:tcW w:w="519"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5,951</w:t>
            </w:r>
          </w:p>
        </w:tc>
        <w:tc>
          <w:tcPr>
            <w:tcW w:w="519"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4,393</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Fair value hedges:</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center"/>
              <w:rPr/>
            </w:pPr>
            <w:r>
              <w:rPr/>
              <w:t>​</w:t>
            </w:r>
          </w:p>
        </w:tc>
        <w:tc>
          <w:tcPr>
            <w:tcW w:w="958" w:type="dxa"/>
            <w:tcBorders/>
            <w:shd w:fill="CCEEFF" w:val="clear"/>
            <w:vAlign w:val="center"/>
          </w:tcPr>
          <w:p>
            <w:pPr>
              <w:pStyle w:val="TableContents"/>
              <w:bidi w:val="0"/>
              <w:spacing w:before="0" w:after="1"/>
              <w:ind w:left="0" w:right="0" w:hanging="0"/>
              <w:jc w:val="center"/>
              <w:rPr/>
            </w:pPr>
            <w:r>
              <w:rPr/>
              <w:t>​</w:t>
            </w:r>
          </w:p>
        </w:tc>
        <w:tc>
          <w:tcPr>
            <w:tcW w:w="519"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center"/>
              <w:rPr/>
            </w:pPr>
            <w:r>
              <w:rPr/>
              <w:t>​</w:t>
            </w:r>
          </w:p>
        </w:tc>
        <w:tc>
          <w:tcPr>
            <w:tcW w:w="814" w:type="dxa"/>
            <w:tcBorders/>
            <w:shd w:fill="CCEEFF" w:val="clear"/>
            <w:vAlign w:val="center"/>
          </w:tcPr>
          <w:p>
            <w:pPr>
              <w:pStyle w:val="TableContents"/>
              <w:bidi w:val="0"/>
              <w:spacing w:before="0" w:after="1"/>
              <w:ind w:left="0" w:right="0" w:hanging="0"/>
              <w:jc w:val="center"/>
              <w:rPr/>
            </w:pPr>
            <w:r>
              <w:rPr/>
              <w:t>​</w:t>
            </w:r>
          </w:p>
        </w:tc>
        <w:tc>
          <w:tcPr>
            <w:tcW w:w="519"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center"/>
              <w:rPr/>
            </w:pPr>
            <w:r>
              <w:rPr/>
              <w:t>​</w:t>
            </w:r>
          </w:p>
        </w:tc>
        <w:tc>
          <w:tcPr>
            <w:tcW w:w="988" w:type="dxa"/>
            <w:tcBorders/>
            <w:shd w:fill="CCEEFF" w:val="clear"/>
            <w:vAlign w:val="center"/>
          </w:tcPr>
          <w:p>
            <w:pPr>
              <w:pStyle w:val="TableContents"/>
              <w:bidi w:val="0"/>
              <w:spacing w:before="0" w:after="1"/>
              <w:ind w:left="0" w:right="0" w:hanging="0"/>
              <w:jc w:val="center"/>
              <w:rPr/>
            </w:pPr>
            <w:r>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rate swaps</w:t>
            </w:r>
          </w:p>
        </w:tc>
        <w:tc>
          <w:tcPr>
            <w:tcW w:w="32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958" w:type="dxa"/>
            <w:tcBorders/>
            <w:vAlign w:val="center"/>
          </w:tcPr>
          <w:p>
            <w:pPr>
              <w:pStyle w:val="TableContents"/>
              <w:bidi w:val="0"/>
              <w:spacing w:before="0" w:after="1"/>
              <w:ind w:left="0" w:right="0" w:hanging="0"/>
              <w:jc w:val="right"/>
              <w:rPr/>
            </w:pPr>
            <w:r>
              <w:rPr/>
              <w:t>—</w:t>
            </w:r>
          </w:p>
        </w:tc>
        <w:tc>
          <w:tcPr>
            <w:tcW w:w="519"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w:t>
            </w:r>
          </w:p>
        </w:tc>
        <w:tc>
          <w:tcPr>
            <w:tcW w:w="519"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0" w:hanging="0"/>
              <w:jc w:val="right"/>
              <w:rPr/>
            </w:pPr>
            <w:r>
              <w:rPr/>
              <w:t>—</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 hedges:</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center"/>
              <w:rPr/>
            </w:pPr>
            <w:r>
              <w:rPr/>
              <w:t>​</w:t>
            </w:r>
          </w:p>
        </w:tc>
        <w:tc>
          <w:tcPr>
            <w:tcW w:w="958" w:type="dxa"/>
            <w:tcBorders/>
            <w:shd w:fill="CCEEFF" w:val="clear"/>
            <w:vAlign w:val="center"/>
          </w:tcPr>
          <w:p>
            <w:pPr>
              <w:pStyle w:val="TableContents"/>
              <w:bidi w:val="0"/>
              <w:spacing w:before="0" w:after="1"/>
              <w:ind w:left="0" w:right="0" w:hanging="0"/>
              <w:jc w:val="center"/>
              <w:rPr/>
            </w:pPr>
            <w:r>
              <w:rPr/>
              <w:t>​</w:t>
            </w:r>
          </w:p>
        </w:tc>
        <w:tc>
          <w:tcPr>
            <w:tcW w:w="519"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center"/>
              <w:rPr/>
            </w:pPr>
            <w:r>
              <w:rPr/>
              <w:t>​</w:t>
            </w:r>
          </w:p>
        </w:tc>
        <w:tc>
          <w:tcPr>
            <w:tcW w:w="814" w:type="dxa"/>
            <w:tcBorders/>
            <w:shd w:fill="CCEEFF" w:val="clear"/>
            <w:vAlign w:val="center"/>
          </w:tcPr>
          <w:p>
            <w:pPr>
              <w:pStyle w:val="TableContents"/>
              <w:bidi w:val="0"/>
              <w:spacing w:before="0" w:after="1"/>
              <w:ind w:left="0" w:right="0" w:hanging="0"/>
              <w:jc w:val="center"/>
              <w:rPr/>
            </w:pPr>
            <w:r>
              <w:rPr/>
              <w:t>​</w:t>
            </w:r>
          </w:p>
        </w:tc>
        <w:tc>
          <w:tcPr>
            <w:tcW w:w="519"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center"/>
              <w:rPr/>
            </w:pPr>
            <w:r>
              <w:rPr/>
              <w:t>​</w:t>
            </w:r>
          </w:p>
        </w:tc>
        <w:tc>
          <w:tcPr>
            <w:tcW w:w="988" w:type="dxa"/>
            <w:tcBorders/>
            <w:shd w:fill="CCEEFF" w:val="clear"/>
            <w:vAlign w:val="center"/>
          </w:tcPr>
          <w:p>
            <w:pPr>
              <w:pStyle w:val="TableContents"/>
              <w:bidi w:val="0"/>
              <w:spacing w:before="0" w:after="1"/>
              <w:ind w:left="0" w:right="0" w:hanging="0"/>
              <w:jc w:val="center"/>
              <w:rPr/>
            </w:pPr>
            <w:r>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rate swaps</w:t>
            </w:r>
          </w:p>
        </w:tc>
        <w:tc>
          <w:tcPr>
            <w:tcW w:w="32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center"/>
              <w:rPr/>
            </w:pPr>
            <w:r>
              <w:rPr/>
              <w:t>​</w:t>
            </w:r>
          </w:p>
        </w:tc>
        <w:tc>
          <w:tcPr>
            <w:tcW w:w="958" w:type="dxa"/>
            <w:tcBorders/>
            <w:vAlign w:val="center"/>
          </w:tcPr>
          <w:p>
            <w:pPr>
              <w:pStyle w:val="TableContents"/>
              <w:bidi w:val="0"/>
              <w:spacing w:before="0" w:after="1"/>
              <w:ind w:left="0" w:right="0" w:hanging="0"/>
              <w:jc w:val="right"/>
              <w:rPr/>
            </w:pPr>
            <w:r>
              <w:rPr/>
              <w:t>—</w:t>
            </w:r>
          </w:p>
        </w:tc>
        <w:tc>
          <w:tcPr>
            <w:tcW w:w="519"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right"/>
              <w:rPr/>
            </w:pPr>
            <w:r>
              <w:rPr/>
              <w:t>—</w:t>
            </w:r>
          </w:p>
        </w:tc>
        <w:tc>
          <w:tcPr>
            <w:tcW w:w="519"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988"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72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3150" w:name="Tc_k4P64Xma20OYOykeVL2Lbw_8_7"/>
      <w:bookmarkStart w:id="3151" w:name="Tc_IPPTvU4iVUGpk67vyCAZYw_8_4"/>
      <w:bookmarkStart w:id="3152" w:name="Tc_7H8_om6x5E2UDDJGZappQQ_8_0"/>
      <w:bookmarkStart w:id="3153" w:name="Tc_l6vw8sRxUEWzoID2z1IIyA_7_2"/>
      <w:bookmarkStart w:id="3154" w:name="Tc_IEOavTsNLU6xmHR5uuZmUw_7_0"/>
      <w:bookmarkStart w:id="3155" w:name="Tc_l9DGgbnuqkyaVauMJKfKfg_6_2"/>
      <w:bookmarkStart w:id="3156" w:name="Tc_IG97gyYan0mcK3j3UZ07IA_6_0"/>
      <w:bookmarkStart w:id="3157" w:name="Tc_zmsWUaa6FUuzg0958tJuJQ_5_2"/>
      <w:bookmarkStart w:id="3158" w:name="Tc_brg2jJMT50GRgstU1u5Nbg_5_0"/>
      <w:bookmarkStart w:id="3159" w:name="Tc_ULz_YyKzQ0-47-FNixn2pA_4_8"/>
      <w:bookmarkStart w:id="3160" w:name="Tc_sYqEUAluX0GznojdwWAmCg_4_7"/>
      <w:bookmarkStart w:id="3161" w:name="Tc_iZJJHz4caES2th752YSnpg_4_4"/>
      <w:bookmarkStart w:id="3162" w:name="Tc_JyVUFJ_fCkOXIZ_PDBlpbg_4_2"/>
      <w:bookmarkStart w:id="3163" w:name="Tc_IbuqoBEKtUObS4VHUootKw_4_0"/>
      <w:bookmarkStart w:id="3164" w:name="Tc_NrKEhhpHIUaHHDVaCYdBOA_3_7"/>
      <w:bookmarkStart w:id="3165" w:name="Tc_anH5x99LPkyHKdJn0Bphww_3_4"/>
      <w:bookmarkStart w:id="3166" w:name="Tc_wQePNKajwUWrZp0CTiOXqQ_3_2"/>
      <w:bookmarkStart w:id="3167" w:name="Tc_YJj7-KWZvku8noRZGuaS9w_3_0"/>
      <w:bookmarkStart w:id="3168" w:name="Tc_5Ts5pbe5hUu_mlhQAppNXA_2_4"/>
      <w:bookmarkStart w:id="3169" w:name="Tc_Y_GNdSDJikiVV9ze0PaqbQ_2_0"/>
      <w:bookmarkStart w:id="3170" w:name="Tc_MznbQDBQUE24HLwjME5_kQ_11_8"/>
      <w:bookmarkStart w:id="3171" w:name="Tc_S0AkvKdOPkmTCmZjv57mXQ_11_5"/>
      <w:bookmarkStart w:id="3172" w:name="Tc_dOW7q3Qg7USr-5sYosFciw_11_2"/>
      <w:bookmarkStart w:id="3173" w:name="Tc_5IImmAPXQEKyjXTRj3VbEA_11_0"/>
      <w:bookmarkStart w:id="3174" w:name="Tc_t-PB9EXMwEqeUWPeMQyclA_10_0"/>
      <w:bookmarkStart w:id="3175" w:name="Tc_AGtjkh1hc0-rqBwlvRNIIQ_9_8"/>
      <w:bookmarkStart w:id="3176" w:name="Tc_chw0vYfuk0aRIHlNcYANPA_9_5"/>
      <w:bookmarkStart w:id="3177" w:name="Tc_Jimv53OSREOdSgrrp1VDqQ_9_2"/>
      <w:bookmarkStart w:id="3178" w:name="Tc_iike0X9vg0qRmxPpWXO-9A_9_0"/>
      <w:bookmarkStart w:id="3179" w:name="Tc_BbCqbQ3iy0OaC49jtwm3Ug_8_0"/>
      <w:bookmarkStart w:id="3180" w:name="Tc_ddKfirCGBky_Zc1GzigKew_7_8"/>
      <w:bookmarkStart w:id="3181" w:name="Tc_H4SQImfhxUGT5fA91IKxoA_7_5"/>
      <w:bookmarkStart w:id="3182" w:name="Tc_MhvKYJSK6k-ehza0nfO2rw_7_2"/>
      <w:bookmarkStart w:id="3183" w:name="Tc_nMiJf2NLk0uy63pkWltwaQ_7_0"/>
      <w:bookmarkStart w:id="3184" w:name="Tc_T4yPMZIMQ0mBsHy2kwxj8w_6_8"/>
      <w:bookmarkStart w:id="3185" w:name="Tc_Pz_2puqOS022bf_BqHju0A_6_5"/>
      <w:bookmarkStart w:id="3186" w:name="Tc_vihxQJe2-Uq6WaSmBlQWkA_6_2"/>
      <w:bookmarkStart w:id="3187" w:name="Tc_uuszV9FYg0-5U5nOI_qqTg_5_8"/>
      <w:bookmarkStart w:id="3188" w:name="Tc_Kmv-HKD45UKI8rBEnP4ZEg_5_5"/>
      <w:bookmarkStart w:id="3189" w:name="Tc_iN3_cuQLOEyyYH8Ar2G0rQ_4_8"/>
      <w:bookmarkStart w:id="3190" w:name="Tc_5cp3Gp53sE6RtL3CzyS2CQ_3_8"/>
      <w:bookmarkStart w:id="3191" w:name="Tc_aHSZ7tCWpUyaLEqMUL7dXw_2_8"/>
      <w:bookmarkStart w:id="3192" w:name="Tc__rJ06X7fQ0KC1tkMq6dnYA_1_2"/>
      <w:bookmarkStart w:id="3193" w:name="_11cf8f77_0329_4284_8d6a_600f9357b8c8"/>
      <w:bookmarkStart w:id="3194" w:name="Tc_1vu_YtiMtUSXC9LUVDqSmg_11_8"/>
      <w:bookmarkStart w:id="3195" w:name="Tc_adqSK5ohakKXCOl02PFwng_11_5"/>
      <w:bookmarkStart w:id="3196" w:name="Tc_xTtNBczuw0Gic-Se-dDK7Q_11_2"/>
      <w:bookmarkStart w:id="3197" w:name="Tc_xHOmz61o30axbSjh4z6E7w_11_0"/>
      <w:bookmarkStart w:id="3198" w:name="Tc_SoloA1kCgkGzuNyN7XrAiA_10_0"/>
      <w:bookmarkStart w:id="3199" w:name="Tc_I7dX2CTQG0OvhQR4-kkNpQ_9_8"/>
      <w:bookmarkStart w:id="3200" w:name="Tc__fQnpPivGUKwAbOcCD3bcQ_9_5"/>
      <w:bookmarkStart w:id="3201" w:name="Tc_xYoM8WAJ4UOxgQn6Vq_xDQ_9_2"/>
      <w:bookmarkStart w:id="3202" w:name="Tc_Y-i04ybTZUu6GHMQxF1AYw_9_0"/>
      <w:bookmarkStart w:id="3203" w:name="Tc_FiNiOYQkekibjr2MjbvyUw_8_0"/>
      <w:bookmarkStart w:id="3204" w:name="Tc_mOerL7clGkeFSEnuNHnzzA_7_8"/>
      <w:bookmarkStart w:id="3205" w:name="Tc_v7-E1SZIYUq2zTL7i7f7TA_7_5"/>
      <w:bookmarkStart w:id="3206" w:name="Tc_G-sMf5LQW0q28ZMebi5Bvg_7_2"/>
      <w:bookmarkStart w:id="3207" w:name="Tc_PhYH7V-pkUCb5EJ5aqYwtA_7_0"/>
      <w:bookmarkStart w:id="3208" w:name="Tc_jqPbdXY7BEabt18sXV5rnA_6_8"/>
      <w:bookmarkStart w:id="3209" w:name="Tc_PUwAAZ65dUW6q0BMRaQ1Pg_6_5"/>
      <w:bookmarkStart w:id="3210" w:name="Tc_RNhZGMAEp0uDIt3NbwHG9Q_6_2"/>
      <w:bookmarkStart w:id="3211" w:name="Tc_eQ5eildty06ELgA9oeZE1Q_5_8"/>
      <w:bookmarkStart w:id="3212" w:name="Tc_AKzH0bCGfkewSVak3kqEmw_5_5"/>
      <w:bookmarkStart w:id="3213" w:name="Tc_obSya2NEeUyDgSEWa4kvwg_4_8"/>
      <w:bookmarkStart w:id="3214" w:name="Tc_6y2TPAfd6kSSjRbjOA-VXQ_3_8"/>
      <w:bookmarkStart w:id="3215" w:name="Tc_ogOs58n5CEaTyaNKJzYTLA_2_8"/>
      <w:bookmarkStart w:id="3216" w:name="Tc_J4EToi-1g0q-Ml_JdYt60g_1_2"/>
      <w:bookmarkStart w:id="3217" w:name="_58a48a42_575a_4066_b6b2_417be4d8aedb"/>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r>
        <w:rPr>
          <w:rFonts w:ascii="Times New Roman;Times;serif" w:hAnsi="Times New Roman;Times;serif"/>
          <w:sz w:val="20"/>
        </w:rPr>
        <w:t xml:space="preserve">The following tables show the notional amount, carrying amount and associated cumulative basis adjustments related to the application of hedge accounting that is included in the carrying amount of hedged assets and liabilities in fair value hedging relationships at March 31, 2024 and December 31, 2023, respectively: </w:t>
      </w:r>
    </w:p>
    <w:p>
      <w:pPr>
        <w:pStyle w:val="TextBody"/>
        <w:bidi w:val="0"/>
        <w:spacing w:before="0" w:after="0"/>
        <w:ind w:left="0" w:right="0" w:hanging="0"/>
        <w:jc w:val="left"/>
        <w:rPr/>
      </w:pPr>
      <w:r>
        <w:rPr/>
        <w:t>​</w:t>
      </w:r>
    </w:p>
    <w:tbl>
      <w:tblPr>
        <w:tblW w:w="6224" w:type="dxa"/>
        <w:jc w:val="left"/>
        <w:tblInd w:w="0" w:type="dxa"/>
        <w:tblLayout w:type="fixed"/>
        <w:tblCellMar>
          <w:top w:w="0" w:type="dxa"/>
          <w:left w:w="0" w:type="dxa"/>
          <w:bottom w:w="0" w:type="dxa"/>
          <w:right w:w="0" w:type="dxa"/>
        </w:tblCellMar>
      </w:tblPr>
      <w:tblGrid>
        <w:gridCol w:w="2071"/>
        <w:gridCol w:w="326"/>
        <w:gridCol w:w="196"/>
        <w:gridCol w:w="691"/>
        <w:gridCol w:w="109"/>
        <w:gridCol w:w="255"/>
        <w:gridCol w:w="900"/>
        <w:gridCol w:w="326"/>
        <w:gridCol w:w="303"/>
        <w:gridCol w:w="1047"/>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315085" cy="175260"/>
                      <wp:effectExtent l="0" t="0" r="0" b="0"/>
                      <wp:wrapNone/>
                      <wp:docPr id="541" name="Frame54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42" name="Frame5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24460" cy="175260"/>
                      <wp:effectExtent l="0" t="0" r="0" b="0"/>
                      <wp:wrapNone/>
                      <wp:docPr id="543" name="Frame5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38785" cy="175260"/>
                      <wp:effectExtent l="0" t="0" r="0" b="0"/>
                      <wp:wrapNone/>
                      <wp:docPr id="544" name="Frame5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9215" cy="175260"/>
                      <wp:effectExtent l="0" t="0" r="0" b="0"/>
                      <wp:wrapNone/>
                      <wp:docPr id="545" name="Frame5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61925" cy="175260"/>
                      <wp:effectExtent l="0" t="0" r="0" b="0"/>
                      <wp:wrapNone/>
                      <wp:docPr id="546" name="Frame546"/>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571500" cy="175260"/>
                      <wp:effectExtent l="0" t="0" r="0" b="0"/>
                      <wp:wrapNone/>
                      <wp:docPr id="547" name="Frame54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8" name="Frame5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92405" cy="175260"/>
                      <wp:effectExtent l="0" t="0" r="0" b="0"/>
                      <wp:wrapNone/>
                      <wp:docPr id="549" name="Frame54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64845" cy="175260"/>
                      <wp:effectExtent l="0" t="0" r="0" b="0"/>
                      <wp:wrapNone/>
                      <wp:docPr id="550" name="Frame550"/>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2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March 31, 2024</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Cumulative Fair</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 Hedging</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Adjustment in the</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Carrying Amount</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Carrying Amount of</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Notional</w:t>
            </w:r>
          </w:p>
        </w:tc>
        <w:tc>
          <w:tcPr>
            <w:tcW w:w="109"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Hedged Assets/</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Hedged Assets/</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Liabilities</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Liabilities</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Mortgage-backed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Residential agency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198,210</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(1,790)</w:t>
            </w:r>
          </w:p>
        </w:tc>
      </w:tr>
      <w:tr>
        <w:trPr/>
        <w:tc>
          <w:tcPr>
            <w:tcW w:w="20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Mortgage loan pools </w:t>
            </w: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400,000</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399,830</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600,000</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598,040</w:t>
            </w:r>
          </w:p>
        </w:tc>
        <w:tc>
          <w:tcPr>
            <w:tcW w:w="32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(1,960)</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amounts related to residential agency mortgage-backed securities currently designated as the hedged item in a fair value hedge using the portfolio layer method. At March 31, 2024, the amortized cost of the closed portfolios used in these hedging relationships was $320.7</w:t>
            </w:r>
            <w:r>
              <w:rPr>
                <w:caps w:val="false"/>
                <w:smallCaps w:val="false"/>
              </w:rPr>
              <w:t xml:space="preserve"> </w:t>
            </w:r>
            <w:r>
              <w:rPr>
                <w:rFonts w:ascii="Times New Roman;Times;serif" w:hAnsi="Times New Roman;Times;serif"/>
                <w:b w:val="false"/>
                <w:i w:val="false"/>
                <w:caps w:val="false"/>
                <w:smallCaps w:val="false"/>
                <w:sz w:val="16"/>
              </w:rPr>
              <w:t>million.</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These amounts include the amortized cost basis of residential real estate loans that were used to designate hedging relationships in which the hedged item is the stated amount of assets in the closed portfolio anticipated to be outstanding for the designated hedged period. At March 31, 2024, the amortized cost basis of the residential real estate loans used in these hedging relationships was $664.1</w:t>
            </w:r>
            <w:r>
              <w:rPr>
                <w:caps w:val="false"/>
                <w:smallCaps w:val="false"/>
              </w:rPr>
              <w:t xml:space="preserve"> </w:t>
            </w:r>
            <w:r>
              <w:rPr>
                <w:rFonts w:ascii="Times New Roman;Times;serif" w:hAnsi="Times New Roman;Times;serif"/>
                <w:b w:val="false"/>
                <w:i w:val="false"/>
                <w:caps w:val="false"/>
                <w:smallCaps w:val="false"/>
                <w:sz w:val="16"/>
              </w:rPr>
              <w:t>million.</w:t>
            </w:r>
          </w:p>
        </w:tc>
      </w:tr>
    </w:tbl>
    <w:p>
      <w:pPr>
        <w:pStyle w:val="TextBody"/>
        <w:bidi w:val="0"/>
        <w:spacing w:before="0" w:after="0"/>
        <w:ind w:left="0" w:right="0" w:hanging="0"/>
        <w:jc w:val="left"/>
        <w:rPr/>
      </w:pPr>
      <w:r>
        <w:rPr/>
        <w:t>​</w:t>
      </w:r>
    </w:p>
    <w:tbl>
      <w:tblPr>
        <w:tblW w:w="6224" w:type="dxa"/>
        <w:jc w:val="left"/>
        <w:tblInd w:w="0" w:type="dxa"/>
        <w:tblLayout w:type="fixed"/>
        <w:tblCellMar>
          <w:top w:w="0" w:type="dxa"/>
          <w:left w:w="0" w:type="dxa"/>
          <w:bottom w:w="0" w:type="dxa"/>
          <w:right w:w="0" w:type="dxa"/>
        </w:tblCellMar>
      </w:tblPr>
      <w:tblGrid>
        <w:gridCol w:w="2071"/>
        <w:gridCol w:w="326"/>
        <w:gridCol w:w="196"/>
        <w:gridCol w:w="691"/>
        <w:gridCol w:w="109"/>
        <w:gridCol w:w="255"/>
        <w:gridCol w:w="900"/>
        <w:gridCol w:w="326"/>
        <w:gridCol w:w="389"/>
        <w:gridCol w:w="961"/>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315085" cy="175260"/>
                      <wp:effectExtent l="0" t="0" r="0" b="0"/>
                      <wp:wrapNone/>
                      <wp:docPr id="551" name="Frame55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07010" cy="175260"/>
                      <wp:effectExtent l="0" t="0" r="0" b="0"/>
                      <wp:wrapNone/>
                      <wp:docPr id="552" name="Frame5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24460" cy="175260"/>
                      <wp:effectExtent l="0" t="0" r="0" b="0"/>
                      <wp:wrapNone/>
                      <wp:docPr id="553" name="Frame5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438785" cy="175260"/>
                      <wp:effectExtent l="0" t="0" r="0" b="0"/>
                      <wp:wrapNone/>
                      <wp:docPr id="554" name="Frame5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9215" cy="175260"/>
                      <wp:effectExtent l="0" t="0" r="0" b="0"/>
                      <wp:wrapNone/>
                      <wp:docPr id="555" name="Frame5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61925" cy="175260"/>
                      <wp:effectExtent l="0" t="0" r="0" b="0"/>
                      <wp:wrapNone/>
                      <wp:docPr id="556" name="Frame556"/>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71500" cy="175260"/>
                      <wp:effectExtent l="0" t="0" r="0" b="0"/>
                      <wp:wrapNone/>
                      <wp:docPr id="557" name="Frame55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8" name="Frame5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47015" cy="175260"/>
                      <wp:effectExtent l="0" t="0" r="0" b="0"/>
                      <wp:wrapNone/>
                      <wp:docPr id="559" name="Frame559"/>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10235" cy="175260"/>
                      <wp:effectExtent l="0" t="0" r="0" b="0"/>
                      <wp:wrapNone/>
                      <wp:docPr id="560" name="Frame56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2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2023</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Cumulative Fair</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 Hedging</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Adjustment in the</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Carrying Amount</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Carrying Amount of</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Notional</w:t>
            </w:r>
          </w:p>
        </w:tc>
        <w:tc>
          <w:tcPr>
            <w:tcW w:w="109"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Hedged Assets/</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Hedged Assets/</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Liabilities</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Liabilities</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Mortgage-backed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Residential agency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200,241</w:t>
            </w:r>
          </w:p>
        </w:tc>
        <w:tc>
          <w:tcPr>
            <w:tcW w:w="326"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r>
      <w:tr>
        <w:trPr/>
        <w:tc>
          <w:tcPr>
            <w:tcW w:w="20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Mortgage loan pools </w:t>
            </w: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400,000</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400,098</w:t>
            </w:r>
          </w:p>
        </w:tc>
        <w:tc>
          <w:tcPr>
            <w:tcW w:w="326" w:type="dxa"/>
            <w:tcBorders/>
            <w:shd w:fill="CCEEFF" w:val="clear"/>
            <w:vAlign w:val="center"/>
          </w:tcPr>
          <w:p>
            <w:pPr>
              <w:pStyle w:val="TableContents"/>
              <w:bidi w:val="0"/>
              <w:spacing w:before="0" w:after="0"/>
              <w:ind w:left="0" w:right="0" w:hanging="0"/>
              <w:jc w:val="left"/>
              <w:rPr/>
            </w:pPr>
            <w:r>
              <w:rPr/>
              <w:t>​</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600,000</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600,339</w:t>
            </w:r>
          </w:p>
        </w:tc>
        <w:tc>
          <w:tcPr>
            <w:tcW w:w="326" w:type="dxa"/>
            <w:tcBorders/>
            <w:vAlign w:val="center"/>
          </w:tcPr>
          <w:p>
            <w:pPr>
              <w:pStyle w:val="TableContents"/>
              <w:bidi w:val="0"/>
              <w:spacing w:before="0" w:after="0"/>
              <w:ind w:left="0" w:right="0" w:hanging="0"/>
              <w:jc w:val="left"/>
              <w:rPr/>
            </w:pPr>
            <w:r>
              <w:rPr/>
              <w:t>​</w:t>
            </w:r>
          </w:p>
        </w:tc>
        <w:tc>
          <w:tcPr>
            <w:tcW w:w="3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339</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amounts related to residential agency mortgage-backed securities currently designated as the hedged item in a fair value hedge using the portfolio layer method. At December 31, 2023, the amortized cost of the closed portfolios used in these hedging relationships was $323.4</w:t>
            </w:r>
            <w:r>
              <w:rPr>
                <w:caps w:val="false"/>
                <w:smallCaps w:val="false"/>
              </w:rPr>
              <w:t xml:space="preserve"> </w:t>
            </w:r>
            <w:r>
              <w:rPr>
                <w:rFonts w:ascii="Times New Roman;Times;serif" w:hAnsi="Times New Roman;Times;serif"/>
                <w:b w:val="false"/>
                <w:i w:val="false"/>
                <w:caps w:val="false"/>
                <w:smallCaps w:val="false"/>
                <w:sz w:val="16"/>
              </w:rPr>
              <w:t>million.</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These amounts include the amortized cost basis of residential real estate loans that were used to designate hedging relationships in which the hedged item is the stated amount of assets in the closed portfolio anticipated to be outstanding for the designated hedged period. At December 31, 2023, the amortized cost basis of the residential real estate loans used in these hedging relationships was $687.5</w:t>
            </w:r>
            <w:r>
              <w:rPr>
                <w:caps w:val="false"/>
                <w:smallCaps w:val="false"/>
              </w:rPr>
              <w:t xml:space="preserve"> </w:t>
            </w:r>
            <w:r>
              <w:rPr>
                <w:rFonts w:ascii="Times New Roman;Times;serif" w:hAnsi="Times New Roman;Times;serif"/>
                <w:b w:val="false"/>
                <w:i w:val="false"/>
                <w:caps w:val="false"/>
                <w:smallCaps w:val="false"/>
                <w:sz w:val="16"/>
              </w:rPr>
              <w:t>million.</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gain (loss) recognized on derivatives not designated as hedging relationships for the three months ended March 31, 2024 and 2023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20"/>
        <w:gridCol w:w="326"/>
        <w:gridCol w:w="3119"/>
        <w:gridCol w:w="326"/>
        <w:gridCol w:w="279"/>
        <w:gridCol w:w="536"/>
        <w:gridCol w:w="464"/>
        <w:gridCol w:w="279"/>
        <w:gridCol w:w="756"/>
      </w:tblGrid>
      <w:tr>
        <w:trPr/>
        <w:tc>
          <w:tcPr>
            <w:tcW w:w="4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616200" cy="175260"/>
                      <wp:effectExtent l="0" t="0" r="0" b="0"/>
                      <wp:wrapNone/>
                      <wp:docPr id="561" name="Frame561"/>
                      <a:graphic xmlns:a="http://schemas.openxmlformats.org/drawingml/2006/main">
                        <a:graphicData uri="http://schemas.microsoft.com/office/word/2010/wordprocessingShape">
                          <wps:wsp>
                            <wps:cNvSpPr txBox="1"/>
                            <wps:spPr>
                              <a:xfrm>
                                <a:off x="0" y="0"/>
                                <a:ext cx="261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7010" cy="175260"/>
                      <wp:effectExtent l="0" t="0" r="0" b="0"/>
                      <wp:wrapNone/>
                      <wp:docPr id="562" name="Frame5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980565" cy="175260"/>
                      <wp:effectExtent l="0" t="0" r="0" b="0"/>
                      <wp:wrapNone/>
                      <wp:docPr id="563" name="Frame563"/>
                      <a:graphic xmlns:a="http://schemas.openxmlformats.org/drawingml/2006/main">
                        <a:graphicData uri="http://schemas.microsoft.com/office/word/2010/wordprocessingShape">
                          <wps:wsp>
                            <wps:cNvSpPr txBox="1"/>
                            <wps:spPr>
                              <a:xfrm>
                                <a:off x="0" y="0"/>
                                <a:ext cx="198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4" name="Frame5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77165" cy="175260"/>
                      <wp:effectExtent l="0" t="0" r="0" b="0"/>
                      <wp:wrapNone/>
                      <wp:docPr id="565" name="Frame565"/>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340360" cy="175260"/>
                      <wp:effectExtent l="0" t="0" r="0" b="0"/>
                      <wp:wrapNone/>
                      <wp:docPr id="566" name="Frame566"/>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94640" cy="175260"/>
                      <wp:effectExtent l="0" t="0" r="0" b="0"/>
                      <wp:wrapNone/>
                      <wp:docPr id="567" name="Frame567"/>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77165" cy="175260"/>
                      <wp:effectExtent l="0" t="0" r="0" b="0"/>
                      <wp:wrapNone/>
                      <wp:docPr id="568" name="Frame568"/>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480060" cy="175260"/>
                      <wp:effectExtent l="0" t="0" r="0" b="0"/>
                      <wp:wrapNone/>
                      <wp:docPr id="569" name="Frame569"/>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center"/>
              <w:rPr/>
            </w:pPr>
            <w:r>
              <w:rPr/>
              <w:t>​</w:t>
            </w:r>
          </w:p>
        </w:tc>
        <w:tc>
          <w:tcPr>
            <w:tcW w:w="536" w:type="dxa"/>
            <w:tcBorders/>
            <w:vAlign w:val="center"/>
          </w:tcPr>
          <w:p>
            <w:pPr>
              <w:pStyle w:val="TableContents"/>
              <w:bidi w:val="0"/>
              <w:spacing w:before="0" w:after="0"/>
              <w:ind w:left="0" w:right="0" w:hanging="0"/>
              <w:jc w:val="center"/>
              <w:rPr/>
            </w:pPr>
            <w:r>
              <w:rPr/>
              <w:t>​</w:t>
            </w:r>
          </w:p>
        </w:tc>
        <w:tc>
          <w:tcPr>
            <w:tcW w:w="464" w:type="dxa"/>
            <w:tcBorders/>
            <w:vAlign w:val="center"/>
          </w:tcPr>
          <w:p>
            <w:pPr>
              <w:pStyle w:val="TableContents"/>
              <w:bidi w:val="0"/>
              <w:spacing w:before="0" w:after="0"/>
              <w:ind w:left="0" w:right="0" w:hanging="0"/>
              <w:jc w:val="center"/>
              <w:rPr/>
            </w:pPr>
            <w:r>
              <w:rPr/>
              <w:t>​</w:t>
            </w:r>
          </w:p>
        </w:tc>
        <w:tc>
          <w:tcPr>
            <w:tcW w:w="279" w:type="dxa"/>
            <w:tcBorders/>
            <w:vAlign w:val="center"/>
          </w:tcPr>
          <w:p>
            <w:pPr>
              <w:pStyle w:val="TableContents"/>
              <w:bidi w:val="0"/>
              <w:spacing w:before="0" w:after="0"/>
              <w:ind w:left="0" w:right="0" w:hanging="0"/>
              <w:jc w:val="center"/>
              <w:rPr/>
            </w:pPr>
            <w:r>
              <w:rPr/>
              <w:t>​</w:t>
            </w:r>
          </w:p>
        </w:tc>
        <w:tc>
          <w:tcPr>
            <w:tcW w:w="756" w:type="dxa"/>
            <w:tcBorders/>
            <w:vAlign w:val="center"/>
          </w:tcPr>
          <w:p>
            <w:pPr>
              <w:pStyle w:val="TableContents"/>
              <w:bidi w:val="0"/>
              <w:spacing w:before="0" w:after="0"/>
              <w:ind w:left="0" w:right="0" w:hanging="0"/>
              <w:jc w:val="center"/>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26" w:type="dxa"/>
            <w:tcBorders/>
            <w:vAlign w:val="center"/>
          </w:tcPr>
          <w:p>
            <w:pPr>
              <w:pStyle w:val="TableContents"/>
              <w:bidi w:val="0"/>
              <w:spacing w:before="0" w:after="0"/>
              <w:ind w:left="0" w:right="0" w:hanging="0"/>
              <w:jc w:val="center"/>
              <w:rPr/>
            </w:pPr>
            <w:r>
              <w:rPr/>
              <w:t>​</w:t>
            </w:r>
          </w:p>
        </w:tc>
        <w:tc>
          <w:tcPr>
            <w:tcW w:w="31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Derivatives not designated as hedging instruments</w:t>
            </w:r>
          </w:p>
        </w:tc>
        <w:tc>
          <w:tcPr>
            <w:tcW w:w="326" w:type="dxa"/>
            <w:tcBorders/>
            <w:vAlign w:val="center"/>
          </w:tcPr>
          <w:p>
            <w:pPr>
              <w:pStyle w:val="TableContents"/>
              <w:bidi w:val="0"/>
              <w:spacing w:before="0" w:after="0"/>
              <w:ind w:left="0" w:right="0" w:hanging="0"/>
              <w:jc w:val="left"/>
              <w:rPr/>
            </w:pPr>
            <w:r>
              <w:rPr/>
              <w:t>    </w:t>
            </w:r>
          </w:p>
        </w:tc>
        <w:tc>
          <w:tcPr>
            <w:tcW w:w="311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Consolidated Statements of Income Location</w:t>
            </w:r>
          </w:p>
        </w:tc>
        <w:tc>
          <w:tcPr>
            <w:tcW w:w="326" w:type="dxa"/>
            <w:tcBorders/>
            <w:vAlign w:val="center"/>
          </w:tcPr>
          <w:p>
            <w:pPr>
              <w:pStyle w:val="TableContents"/>
              <w:bidi w:val="0"/>
              <w:spacing w:before="0" w:after="0"/>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464" w:type="dxa"/>
            <w:tcBorders/>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rate swaps</w:t>
            </w:r>
          </w:p>
        </w:tc>
        <w:tc>
          <w:tcPr>
            <w:tcW w:w="326" w:type="dxa"/>
            <w:tcBorders/>
            <w:shd w:fill="CCEEFF" w:val="clear"/>
            <w:vAlign w:val="center"/>
          </w:tcPr>
          <w:p>
            <w:pPr>
              <w:pStyle w:val="TableContents"/>
              <w:bidi w:val="0"/>
              <w:spacing w:before="0" w:after="0"/>
              <w:ind w:left="0" w:right="0" w:hanging="0"/>
              <w:jc w:val="left"/>
              <w:rPr/>
            </w:pPr>
            <w:r>
              <w:rPr/>
              <w:t> </w:t>
            </w:r>
          </w:p>
        </w:tc>
        <w:tc>
          <w:tcPr>
            <w:tcW w:w="31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464"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rate lock commitments</w:t>
            </w:r>
          </w:p>
        </w:tc>
        <w:tc>
          <w:tcPr>
            <w:tcW w:w="326" w:type="dxa"/>
            <w:tcBorders/>
            <w:vAlign w:val="center"/>
          </w:tcPr>
          <w:p>
            <w:pPr>
              <w:pStyle w:val="TableContents"/>
              <w:bidi w:val="0"/>
              <w:spacing w:before="0" w:after="0"/>
              <w:ind w:left="0" w:right="0" w:hanging="0"/>
              <w:jc w:val="left"/>
              <w:rPr/>
            </w:pPr>
            <w:r>
              <w:rPr/>
              <w:t> </w:t>
            </w:r>
          </w:p>
        </w:tc>
        <w:tc>
          <w:tcPr>
            <w:tcW w:w="31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 banking</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5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464"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Forward loan sales commitments</w:t>
            </w:r>
          </w:p>
        </w:tc>
        <w:tc>
          <w:tcPr>
            <w:tcW w:w="326" w:type="dxa"/>
            <w:tcBorders/>
            <w:shd w:fill="CCEEFF" w:val="clear"/>
            <w:vAlign w:val="center"/>
          </w:tcPr>
          <w:p>
            <w:pPr>
              <w:pStyle w:val="TableContents"/>
              <w:bidi w:val="0"/>
              <w:spacing w:before="0" w:after="0"/>
              <w:ind w:left="0" w:right="0" w:hanging="0"/>
              <w:jc w:val="left"/>
              <w:rPr/>
            </w:pPr>
            <w:r>
              <w:rPr/>
              <w:t> </w:t>
            </w:r>
          </w:p>
        </w:tc>
        <w:tc>
          <w:tcPr>
            <w:tcW w:w="31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 banking</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464"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To-be-announced mortgage backed securities</w:t>
            </w:r>
          </w:p>
        </w:tc>
        <w:tc>
          <w:tcPr>
            <w:tcW w:w="326" w:type="dxa"/>
            <w:tcBorders/>
            <w:vAlign w:val="center"/>
          </w:tcPr>
          <w:p>
            <w:pPr>
              <w:pStyle w:val="TableContents"/>
              <w:bidi w:val="0"/>
              <w:spacing w:before="0" w:after="0"/>
              <w:ind w:left="0" w:right="0" w:hanging="0"/>
              <w:jc w:val="left"/>
              <w:rPr/>
            </w:pPr>
            <w:r>
              <w:rPr/>
              <w:t> </w:t>
            </w:r>
          </w:p>
        </w:tc>
        <w:tc>
          <w:tcPr>
            <w:tcW w:w="31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 banking</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464"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gain (loss) from derivatives not designated as hedging instruments</w:t>
            </w:r>
          </w:p>
        </w:tc>
        <w:tc>
          <w:tcPr>
            <w:tcW w:w="326" w:type="dxa"/>
            <w:tcBorders/>
            <w:shd w:fill="CCEEFF" w:val="clear"/>
            <w:vAlign w:val="center"/>
          </w:tcPr>
          <w:p>
            <w:pPr>
              <w:pStyle w:val="TableContents"/>
              <w:bidi w:val="0"/>
              <w:spacing w:before="0" w:after="0"/>
              <w:ind w:left="0" w:right="0" w:hanging="0"/>
              <w:jc w:val="left"/>
              <w:rPr/>
            </w:pPr>
            <w:r>
              <w:rPr/>
              <w:t> </w:t>
            </w:r>
          </w:p>
        </w:tc>
        <w:tc>
          <w:tcPr>
            <w:tcW w:w="311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w:t>
            </w:r>
          </w:p>
        </w:tc>
        <w:tc>
          <w:tcPr>
            <w:tcW w:w="464"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161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third party agreements that require a minimum dollar transfer amount upon a margin call. These requirements are dependent on certain specified credit measures. There was no collateral posted with third parties at March 31, 2024. The amount of collateral posted with third parties was $550 thousand at December 31, 2023. The amount of collateral posted with third parties was deemed to be sufficient as of those dates to collateralize both the fair market value change as well as any additional amounts that may be required as a result of a change in the specified credit measures.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Credit Risk-Related Contingent Features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By using derivatives, the Company is exposed to credit risk to the extent that counterparties to the derivative contracts do not perform as required. Should a counterparty fail to perform under the terms of a derivative contract, the Company’s credit exposure on interest rate swaps is limited to the net positive fair value and accrued interest of all swaps with each counterparty. The Company seeks to minimize counterparty credit risk through credit approvals, limits, monitoring procedures, and obtaining collateral, where appropriate. As such, management believes the risk of incurring credit losses on derivative contracts with institutional counterparties is remote.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agreements with its derivative counterparties that contain a provision where, if the Company defaults on any of its indebtedness, including defaults where repayment of the indebtedness has not been accelerated by the lender, the Company could also be declared in default on its derivative obligations. In addition, the Company also has agreements with certain of its derivative counterparties that contain a provision where, if the Company fails to maintain its status as a well-capitalized institution, the counterparty could terminate the derivative position(s) and the Company could be required to settle its obligations under the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2024 and December 31, 2023, the fair value of derivatives in a net liability position, which included accrued interest but excludes any adjustment for non-performance risk, related to these agreements was $0 and $649 thousand, respectively. As of March 31, 2024 and December 31, 2023, the Company had minimum collateral posting thresholds with certain of its derivative counterparties and has posted cash collateral of $0 and $550 thousand, respectively. If the Company had breached any of these provisions at March 31, 2024 or December 31, 2023, it could have been required to settle its obligations under the agreements at their termination value of $0 and $649 thousand,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218" w:name="Tc_D72EZD689kOrxixWTZkAgA_19_14"/>
      <w:bookmarkStart w:id="3219" w:name="Tc_h5_Q6EP7S0aOT6nS_gCpJA_19_12"/>
      <w:bookmarkStart w:id="3220" w:name="Tc_3mG0R6oHqka68UHcb12jEw_19_11"/>
      <w:bookmarkStart w:id="3221" w:name="Tc_haYgRruAtU-X4-8ZinepSw_19_8"/>
      <w:bookmarkStart w:id="3222" w:name="Tc_gKc3enUzJ0KHOiqOf36AmQ_19_6"/>
      <w:bookmarkStart w:id="3223" w:name="Tc_bRiyOlTYVUmuk2hSFFQuPQ_19_5"/>
      <w:bookmarkStart w:id="3224" w:name="Tc_7i84jfIsYES3Upq6ta31WA_19_2"/>
      <w:bookmarkStart w:id="3225" w:name="Tc_gMfvcE7b6EuTQJq9pRGqyQ_19_0"/>
      <w:bookmarkStart w:id="3226" w:name="Tc_3kuMw4wXdUqWz_M6pvUNEg_18_12"/>
      <w:bookmarkStart w:id="3227" w:name="Tc_EzpF2i-7SUO0VwlHgVaWkg_18_6"/>
      <w:bookmarkStart w:id="3228" w:name="Tc_8ym--reM7EqgQ1AwuCb_sA_18_0"/>
      <w:bookmarkStart w:id="3229" w:name="Tc_gJhuXmVi60G14fgluMIIlQ_17_12"/>
      <w:bookmarkStart w:id="3230" w:name="Tc_ajiz1lAPfkqBc8DpbqVa6g_17_6"/>
      <w:bookmarkStart w:id="3231" w:name="Tc_mpMSGt7YeEqOUEONeRIvUA_17_0"/>
      <w:bookmarkStart w:id="3232" w:name="Tc_a3jQ02ckNUWJXXEUzZYGCQ_16_15"/>
      <w:bookmarkStart w:id="3233" w:name="Tc_griwRU1FFUGytleH9FcbTw_16_14"/>
      <w:bookmarkStart w:id="3234" w:name="Tc_9RhU1D1xl0WXl5IOvh141A_16_12"/>
      <w:bookmarkStart w:id="3235" w:name="Tc_fTC5LWh0W0qe_v_C7hs4gQ_16_11"/>
      <w:bookmarkStart w:id="3236" w:name="Tc_S3R18AZnc06tTxa7GPgEew_16_9"/>
      <w:bookmarkStart w:id="3237" w:name="Tc_EHiIJXzHmkKvNhwgKAZHxg_16_8"/>
      <w:bookmarkStart w:id="3238" w:name="Tc_yGV29Iw_hEKIBHV-Pjf8Sw_16_6"/>
      <w:bookmarkStart w:id="3239" w:name="Tc_7pG_TG73MEGpVjg4G2IrIw_16_5"/>
      <w:bookmarkStart w:id="3240" w:name="Tc_a33tISBp1kiuWIjppOiBMQ_16_3"/>
      <w:bookmarkStart w:id="3241" w:name="Tc_YwHBnAhDK0aHHQYm9Mkr4w_16_2"/>
      <w:bookmarkStart w:id="3242" w:name="Tc_pwYWL-G5B0CZK1k9moXgVw_16_0"/>
      <w:bookmarkStart w:id="3243" w:name="Tc_w0K1E6XkXEGnf2Q6kyo_QA_15_0"/>
      <w:bookmarkStart w:id="3244" w:name="Tc_9CTq3BHU606fHsB5m5U6Aw_14_14"/>
      <w:bookmarkStart w:id="3245" w:name="Tc_vR_SQ7dUxUSHe7DC4JNX_Q_14_11"/>
      <w:bookmarkStart w:id="3246" w:name="Tc_CPbyUWJjzECh_75_I1IrMw_14_8"/>
      <w:bookmarkStart w:id="3247" w:name="Tc_0X8Ib94EPU2sYDzITE5PdA_14_6"/>
      <w:bookmarkStart w:id="3248" w:name="Tc_2Vccb4fo9EiZVCuoJvvAfA_14_5"/>
      <w:bookmarkStart w:id="3249" w:name="Tc_YKEKGotAKUCLvDAkg6RfNw_14_2"/>
      <w:bookmarkStart w:id="3250" w:name="Tc_JMLxkDSG7EitqXlXEhz37w_14_0"/>
      <w:bookmarkStart w:id="3251" w:name="Tc_AkwFaDndcEul5uNJALG0zA_13_15"/>
      <w:bookmarkStart w:id="3252" w:name="Tc_dfWOi9DAvUqXu4limN9YHA_13_12"/>
      <w:bookmarkStart w:id="3253" w:name="Tc_57kBFHV53EuL-BoOen5iAQ_13_9"/>
      <w:bookmarkStart w:id="3254" w:name="Tc_LiIHLqnHLEu8j8wPpe23rA_13_6"/>
      <w:bookmarkStart w:id="3255" w:name="Tc_7202kD18o0OoqSJaILPcmw_13_3"/>
      <w:bookmarkStart w:id="3256" w:name="Tc_bHHw1YBFEUuz2jdRID9K3w_13_0"/>
      <w:bookmarkStart w:id="3257" w:name="Tc_CxeJi4svu0ivBe0-9u1lgA_12_6"/>
      <w:bookmarkStart w:id="3258" w:name="Tc_Y53qwkcYKEW8fI0_EQQqkQ_12_0"/>
      <w:bookmarkStart w:id="3259" w:name="Tc_QWNVSD_dXUK7WQYkg5Bndg_11_14"/>
      <w:bookmarkStart w:id="3260" w:name="Tc_fohOOFaZH0K6g1cQdfAyKA_11_11"/>
      <w:bookmarkStart w:id="3261" w:name="Tc_b7lLVqduLEmP0KK0Dqo4_A_11_8"/>
      <w:bookmarkStart w:id="3262" w:name="Tc_3ZWkri8TQU6cxiTYXk1Ptg_11_6"/>
      <w:bookmarkStart w:id="3263" w:name="Tc_Aysm_O0EvUiTvoTs0iBDHA_11_5"/>
      <w:bookmarkStart w:id="3264" w:name="Tc_dsicBpY8wE-njwLGEuJEeQ_11_2"/>
      <w:bookmarkStart w:id="3265" w:name="Tc_6ruOAWOIqE6V0s43BHL7BQ_11_0"/>
      <w:bookmarkStart w:id="3266" w:name="Tc_afyHphu9gUOqtT952zqZww_10_0"/>
      <w:bookmarkStart w:id="3267" w:name="Tc_KXpdoOztDk-e79mVllRRfw_9_0"/>
      <w:bookmarkStart w:id="3268" w:name="Tc_pm2jAecGZka6z5dFaNNwpw_8_14"/>
      <w:bookmarkStart w:id="3269" w:name="Tc_AJfuvLEqF06BTuyhRx8uNg_8_11"/>
      <w:bookmarkStart w:id="3270" w:name="Tc_QHMypNrNXEOKMe8Upwu0VQ_8_8"/>
      <w:bookmarkStart w:id="3271" w:name="Tc_GenvNoKCPUWEDiU8UrkTGw_8_5"/>
      <w:bookmarkStart w:id="3272" w:name="Tc_x65wbPvJtki97BHLe51UgQ_8_2"/>
      <w:bookmarkStart w:id="3273" w:name="Tc_hWmQfEho_k6lqZd19XY2bg_8_0"/>
      <w:bookmarkStart w:id="3274" w:name="Tc_86-HOaA4vkC5xcWmagTlNw_7_11"/>
      <w:bookmarkStart w:id="3275" w:name="Tc_w4WkLLpTQ0aepGcf1WW5Yg_7_8"/>
      <w:bookmarkStart w:id="3276" w:name="Tc_RaJFg9MlcEGdIhpPniJ_nA_7_5"/>
      <w:bookmarkStart w:id="3277" w:name="Tc_1sDzuHJ3lUy8azi6mIF_fA_7_2"/>
      <w:bookmarkStart w:id="3278" w:name="Tc_gBrK_ZQLMEyIi16bDcqORw_6_8"/>
      <w:bookmarkStart w:id="3279" w:name="Tc_9ShDQdw33UKTf9F6Mtt7Dg_6_5"/>
      <w:bookmarkStart w:id="3280" w:name="Tc_WEyqhwUqg02WI8ASXgbEGA_6_2"/>
      <w:bookmarkStart w:id="3281" w:name="Tc_ISAYDiV3h0CMz0KQanWHBA_5_8"/>
      <w:bookmarkStart w:id="3282" w:name="Tc_66Ty6t3MDUybSVe-yIal_A_5_5"/>
      <w:bookmarkStart w:id="3283" w:name="Tc_vla66GKKKUea9Lh9_nQECg_5_2"/>
      <w:bookmarkStart w:id="3284" w:name="Tc__FSgJLcZcEW10Mcq45Td3Q_4_11"/>
      <w:bookmarkStart w:id="3285" w:name="Tc_IMvP1AC8kUyweZffReipLA_3_11"/>
      <w:bookmarkStart w:id="3286" w:name="Tc_SVdLSCNRmUKTIB9gknE3Bg_2_11"/>
      <w:bookmarkStart w:id="3287" w:name="Tc_VyX6RnbDy0C9mJ1mSr2DBg_1_11"/>
      <w:bookmarkStart w:id="3288" w:name="_064d7824_50dd_4d93_ace2_2a17894128b5"/>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r>
        <w:rPr>
          <w:rFonts w:ascii="Times New Roman;Times;serif" w:hAnsi="Times New Roman;Times;serif"/>
          <w:b/>
          <w:sz w:val="20"/>
        </w:rPr>
        <w:t>Balance Sheet Offsetting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present the Company’s derivative positions and the potential effect of netting arrangements on its financial position as of the dates indicated:</w:t>
      </w:r>
    </w:p>
    <w:p>
      <w:pPr>
        <w:pStyle w:val="TextBody"/>
        <w:bidi w:val="0"/>
        <w:spacing w:before="0" w:after="0"/>
        <w:ind w:left="0" w:right="0" w:hanging="0"/>
        <w:jc w:val="left"/>
        <w:rPr/>
      </w:pPr>
      <w:r>
        <w:rPr/>
        <w:t>​</w:t>
      </w:r>
    </w:p>
    <w:tbl>
      <w:tblPr>
        <w:tblW w:w="10191" w:type="dxa"/>
        <w:jc w:val="left"/>
        <w:tblInd w:w="0" w:type="dxa"/>
        <w:tblLayout w:type="fixed"/>
        <w:tblCellMar>
          <w:top w:w="0" w:type="dxa"/>
          <w:left w:w="0" w:type="dxa"/>
          <w:bottom w:w="0" w:type="dxa"/>
          <w:right w:w="0" w:type="dxa"/>
        </w:tblCellMar>
      </w:tblPr>
      <w:tblGrid>
        <w:gridCol w:w="3316"/>
        <w:gridCol w:w="109"/>
        <w:gridCol w:w="382"/>
        <w:gridCol w:w="998"/>
        <w:gridCol w:w="109"/>
        <w:gridCol w:w="421"/>
        <w:gridCol w:w="749"/>
        <w:gridCol w:w="109"/>
        <w:gridCol w:w="349"/>
        <w:gridCol w:w="911"/>
        <w:gridCol w:w="109"/>
        <w:gridCol w:w="351"/>
        <w:gridCol w:w="1134"/>
        <w:gridCol w:w="109"/>
        <w:gridCol w:w="250"/>
        <w:gridCol w:w="785"/>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105660" cy="175260"/>
                      <wp:effectExtent l="0" t="0" r="0" b="0"/>
                      <wp:wrapNone/>
                      <wp:docPr id="570" name="Frame570"/>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9215" cy="175260"/>
                      <wp:effectExtent l="0" t="0" r="0" b="0"/>
                      <wp:wrapNone/>
                      <wp:docPr id="571" name="Frame5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42570" cy="175260"/>
                      <wp:effectExtent l="0" t="0" r="0" b="0"/>
                      <wp:wrapNone/>
                      <wp:docPr id="572" name="Frame572"/>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33730" cy="175260"/>
                      <wp:effectExtent l="0" t="0" r="0" b="0"/>
                      <wp:wrapNone/>
                      <wp:docPr id="573" name="Frame573"/>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9215" cy="175260"/>
                      <wp:effectExtent l="0" t="0" r="0" b="0"/>
                      <wp:wrapNone/>
                      <wp:docPr id="574" name="Frame5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67335" cy="175260"/>
                      <wp:effectExtent l="0" t="0" r="0" b="0"/>
                      <wp:wrapNone/>
                      <wp:docPr id="575" name="Frame57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475615" cy="175260"/>
                      <wp:effectExtent l="0" t="0" r="0" b="0"/>
                      <wp:wrapNone/>
                      <wp:docPr id="576" name="Frame576"/>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9215" cy="175260"/>
                      <wp:effectExtent l="0" t="0" r="0" b="0"/>
                      <wp:wrapNone/>
                      <wp:docPr id="577" name="Frame5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21615" cy="175260"/>
                      <wp:effectExtent l="0" t="0" r="0" b="0"/>
                      <wp:wrapNone/>
                      <wp:docPr id="578" name="Frame578"/>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578485" cy="175260"/>
                      <wp:effectExtent l="0" t="0" r="0" b="0"/>
                      <wp:wrapNone/>
                      <wp:docPr id="579" name="Frame579"/>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9215" cy="175260"/>
                      <wp:effectExtent l="0" t="0" r="0" b="0"/>
                      <wp:wrapNone/>
                      <wp:docPr id="580" name="Frame5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22885" cy="175260"/>
                      <wp:effectExtent l="0" t="0" r="0" b="0"/>
                      <wp:wrapNone/>
                      <wp:docPr id="581" name="Frame581"/>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720090" cy="175260"/>
                      <wp:effectExtent l="0" t="0" r="0" b="0"/>
                      <wp:wrapNone/>
                      <wp:docPr id="582" name="Frame582"/>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9215" cy="175260"/>
                      <wp:effectExtent l="0" t="0" r="0" b="0"/>
                      <wp:wrapNone/>
                      <wp:docPr id="583" name="Frame5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58750" cy="175260"/>
                      <wp:effectExtent l="0" t="0" r="0" b="0"/>
                      <wp:wrapNone/>
                      <wp:docPr id="584" name="Frame58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498475" cy="175260"/>
                      <wp:effectExtent l="0" t="0" r="0" b="0"/>
                      <wp:wrapNone/>
                      <wp:docPr id="585" name="Frame585"/>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center"/>
              <w:rPr/>
            </w:pPr>
            <w:r>
              <w:rPr/>
              <w:t>​</w:t>
            </w:r>
          </w:p>
        </w:tc>
        <w:tc>
          <w:tcPr>
            <w:tcW w:w="99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74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49" w:type="dxa"/>
            <w:tcBorders/>
            <w:vAlign w:val="center"/>
          </w:tcPr>
          <w:p>
            <w:pPr>
              <w:pStyle w:val="TableContents"/>
              <w:bidi w:val="0"/>
              <w:spacing w:before="0" w:after="1"/>
              <w:ind w:left="0" w:right="0" w:hanging="0"/>
              <w:jc w:val="center"/>
              <w:rPr/>
            </w:pPr>
            <w:r>
              <w:rPr/>
              <w:t>​</w:t>
            </w:r>
          </w:p>
        </w:tc>
        <w:tc>
          <w:tcPr>
            <w:tcW w:w="91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4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Amount</w:t>
            </w:r>
          </w:p>
        </w:tc>
        <w:tc>
          <w:tcPr>
            <w:tcW w:w="109"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center"/>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center"/>
              <w:rPr/>
            </w:pPr>
            <w:r>
              <w:rPr/>
              <w:t>​</w:t>
            </w:r>
          </w:p>
        </w:tc>
        <w:tc>
          <w:tcPr>
            <w:tcW w:w="99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74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49" w:type="dxa"/>
            <w:tcBorders/>
            <w:vAlign w:val="center"/>
          </w:tcPr>
          <w:p>
            <w:pPr>
              <w:pStyle w:val="TableContents"/>
              <w:bidi w:val="0"/>
              <w:spacing w:before="0" w:after="1"/>
              <w:ind w:left="0" w:right="0" w:hanging="0"/>
              <w:jc w:val="center"/>
              <w:rPr/>
            </w:pPr>
            <w:r>
              <w:rPr/>
              <w:t>​</w:t>
            </w:r>
          </w:p>
        </w:tc>
        <w:tc>
          <w:tcPr>
            <w:tcW w:w="91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4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 Offset in the</w:t>
            </w:r>
          </w:p>
        </w:tc>
        <w:tc>
          <w:tcPr>
            <w:tcW w:w="109"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center"/>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center"/>
              <w:rPr/>
            </w:pPr>
            <w:r>
              <w:rPr/>
              <w:t>​</w:t>
            </w:r>
          </w:p>
        </w:tc>
        <w:tc>
          <w:tcPr>
            <w:tcW w:w="99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74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49" w:type="dxa"/>
            <w:tcBorders/>
            <w:vAlign w:val="center"/>
          </w:tcPr>
          <w:p>
            <w:pPr>
              <w:pStyle w:val="TableContents"/>
              <w:bidi w:val="0"/>
              <w:spacing w:before="0" w:after="1"/>
              <w:ind w:left="0" w:right="0" w:hanging="0"/>
              <w:jc w:val="center"/>
              <w:rPr/>
            </w:pPr>
            <w:r>
              <w:rPr/>
              <w:t>​</w:t>
            </w:r>
          </w:p>
        </w:tc>
        <w:tc>
          <w:tcPr>
            <w:tcW w:w="91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4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center"/>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center"/>
              <w:rPr/>
            </w:pPr>
            <w:r>
              <w:rPr/>
              <w:t>​</w:t>
            </w:r>
          </w:p>
        </w:tc>
        <w:tc>
          <w:tcPr>
            <w:tcW w:w="99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74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49" w:type="dxa"/>
            <w:tcBorders/>
            <w:vAlign w:val="center"/>
          </w:tcPr>
          <w:p>
            <w:pPr>
              <w:pStyle w:val="TableContents"/>
              <w:bidi w:val="0"/>
              <w:spacing w:before="0" w:after="1"/>
              <w:ind w:left="0" w:right="0" w:hanging="0"/>
              <w:jc w:val="center"/>
              <w:rPr/>
            </w:pPr>
            <w:r>
              <w:rPr/>
              <w:t>​</w:t>
            </w:r>
          </w:p>
        </w:tc>
        <w:tc>
          <w:tcPr>
            <w:tcW w:w="91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109"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center"/>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Amount</w:t>
            </w:r>
          </w:p>
        </w:tc>
        <w:tc>
          <w:tcPr>
            <w:tcW w:w="109" w:type="dxa"/>
            <w:tcBorders/>
            <w:vAlign w:val="center"/>
          </w:tcPr>
          <w:p>
            <w:pPr>
              <w:pStyle w:val="TableContents"/>
              <w:bidi w:val="0"/>
              <w:spacing w:before="0" w:after="1"/>
              <w:ind w:left="0" w:right="0" w:hanging="0"/>
              <w:jc w:val="center"/>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Amount</w:t>
            </w:r>
          </w:p>
        </w:tc>
        <w:tc>
          <w:tcPr>
            <w:tcW w:w="109" w:type="dxa"/>
            <w:tcBorders/>
            <w:vAlign w:val="center"/>
          </w:tcPr>
          <w:p>
            <w:pPr>
              <w:pStyle w:val="TableContents"/>
              <w:bidi w:val="0"/>
              <w:spacing w:before="0" w:after="1"/>
              <w:ind w:left="0" w:right="0" w:hanging="0"/>
              <w:jc w:val="center"/>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Amount</w:t>
            </w:r>
          </w:p>
        </w:tc>
        <w:tc>
          <w:tcPr>
            <w:tcW w:w="109" w:type="dxa"/>
            <w:tcBorders/>
            <w:vAlign w:val="center"/>
          </w:tcPr>
          <w:p>
            <w:pPr>
              <w:pStyle w:val="TableContents"/>
              <w:bidi w:val="0"/>
              <w:spacing w:before="0" w:after="1"/>
              <w:ind w:left="0" w:right="0" w:hanging="0"/>
              <w:jc w:val="center"/>
              <w:rPr/>
            </w:pPr>
            <w:r>
              <w:rPr/>
              <w:t>​</w:t>
            </w:r>
          </w:p>
        </w:tc>
        <w:tc>
          <w:tcPr>
            <w:tcW w:w="148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center"/>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Recognized in the</w:t>
            </w:r>
          </w:p>
        </w:tc>
        <w:tc>
          <w:tcPr>
            <w:tcW w:w="109" w:type="dxa"/>
            <w:tcBorders/>
            <w:vAlign w:val="center"/>
          </w:tcPr>
          <w:p>
            <w:pPr>
              <w:pStyle w:val="TableContents"/>
              <w:bidi w:val="0"/>
              <w:spacing w:before="0" w:after="1"/>
              <w:ind w:left="0" w:right="0" w:hanging="0"/>
              <w:jc w:val="center"/>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Offset in the</w:t>
            </w:r>
          </w:p>
        </w:tc>
        <w:tc>
          <w:tcPr>
            <w:tcW w:w="109" w:type="dxa"/>
            <w:tcBorders/>
            <w:vAlign w:val="center"/>
          </w:tcPr>
          <w:p>
            <w:pPr>
              <w:pStyle w:val="TableContents"/>
              <w:bidi w:val="0"/>
              <w:spacing w:before="0" w:after="1"/>
              <w:ind w:left="0" w:right="0" w:hanging="0"/>
              <w:jc w:val="center"/>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Presented in the</w:t>
            </w:r>
          </w:p>
        </w:tc>
        <w:tc>
          <w:tcPr>
            <w:tcW w:w="109" w:type="dxa"/>
            <w:tcBorders/>
            <w:vAlign w:val="center"/>
          </w:tcPr>
          <w:p>
            <w:pPr>
              <w:pStyle w:val="TableContents"/>
              <w:bidi w:val="0"/>
              <w:spacing w:before="0" w:after="1"/>
              <w:ind w:left="0" w:right="0" w:hanging="0"/>
              <w:jc w:val="center"/>
              <w:rPr/>
            </w:pPr>
            <w:r>
              <w:rPr/>
              <w:t>​</w:t>
            </w:r>
          </w:p>
        </w:tc>
        <w:tc>
          <w:tcPr>
            <w:tcW w:w="148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center"/>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1"/>
              <w:ind w:left="0" w:right="0" w:hanging="0"/>
              <w:jc w:val="center"/>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1"/>
              <w:ind w:left="0" w:right="0" w:hanging="0"/>
              <w:jc w:val="center"/>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1"/>
              <w:ind w:left="0" w:right="0" w:hanging="0"/>
              <w:jc w:val="center"/>
              <w:rPr/>
            </w:pPr>
            <w:r>
              <w:rPr/>
              <w:t>​</w:t>
            </w:r>
          </w:p>
        </w:tc>
        <w:tc>
          <w:tcPr>
            <w:tcW w:w="14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Collateral</w:t>
            </w:r>
          </w:p>
        </w:tc>
        <w:tc>
          <w:tcPr>
            <w:tcW w:w="109" w:type="dxa"/>
            <w:tcBorders/>
            <w:vAlign w:val="center"/>
          </w:tcPr>
          <w:p>
            <w:pPr>
              <w:pStyle w:val="TableContents"/>
              <w:bidi w:val="0"/>
              <w:spacing w:before="0" w:after="1"/>
              <w:ind w:left="0" w:right="0" w:hanging="0"/>
              <w:jc w:val="center"/>
              <w:rPr/>
            </w:pPr>
            <w:r>
              <w:rPr/>
              <w:t>​</w:t>
            </w:r>
          </w:p>
        </w:tc>
        <w:tc>
          <w:tcPr>
            <w:tcW w:w="250" w:type="dxa"/>
            <w:tcBorders/>
            <w:vAlign w:val="center"/>
          </w:tcPr>
          <w:p>
            <w:pPr>
              <w:pStyle w:val="TableContents"/>
              <w:bidi w:val="0"/>
              <w:spacing w:before="0" w:after="1"/>
              <w:ind w:left="0" w:right="0" w:hanging="0"/>
              <w:jc w:val="center"/>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109" w:type="dxa"/>
            <w:tcBorders/>
            <w:vAlign w:val="center"/>
          </w:tcPr>
          <w:p>
            <w:pPr>
              <w:pStyle w:val="TableContents"/>
              <w:bidi w:val="0"/>
              <w:spacing w:before="0" w:after="1"/>
              <w:ind w:left="0" w:right="0" w:hanging="0"/>
              <w:jc w:val="left"/>
              <w:rPr/>
            </w:pPr>
            <w:r>
              <w:rPr/>
              <w:t>​</w:t>
            </w:r>
          </w:p>
        </w:tc>
        <w:tc>
          <w:tcPr>
            <w:tcW w:w="13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109" w:type="dxa"/>
            <w:tcBorders/>
            <w:vAlign w:val="center"/>
          </w:tcPr>
          <w:p>
            <w:pPr>
              <w:pStyle w:val="TableContents"/>
              <w:bidi w:val="0"/>
              <w:spacing w:before="0" w:after="1"/>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109" w:type="dxa"/>
            <w:tcBorders/>
            <w:vAlign w:val="center"/>
          </w:tcPr>
          <w:p>
            <w:pPr>
              <w:pStyle w:val="TableContents"/>
              <w:bidi w:val="0"/>
              <w:spacing w:before="0" w:after="1"/>
              <w:ind w:left="0" w:right="0" w:hanging="0"/>
              <w:jc w:val="center"/>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109" w:type="dxa"/>
            <w:tcBorders/>
            <w:vAlign w:val="center"/>
          </w:tcPr>
          <w:p>
            <w:pPr>
              <w:pStyle w:val="TableContents"/>
              <w:bidi w:val="0"/>
              <w:spacing w:before="0" w:after="1"/>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Pledged (Received)</w:t>
            </w:r>
          </w:p>
        </w:tc>
        <w:tc>
          <w:tcPr>
            <w:tcW w:w="109" w:type="dxa"/>
            <w:tcBorders/>
            <w:vAlign w:val="center"/>
          </w:tcPr>
          <w:p>
            <w:pPr>
              <w:pStyle w:val="TableContents"/>
              <w:bidi w:val="0"/>
              <w:spacing w:before="0" w:after="1"/>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Amount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March 31, 2024</w:t>
            </w:r>
          </w:p>
        </w:tc>
        <w:tc>
          <w:tcPr>
            <w:tcW w:w="109"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pPr>
            <w:r>
              <w:rPr/>
              <w:t>​</w:t>
            </w:r>
          </w:p>
        </w:tc>
        <w:tc>
          <w:tcPr>
            <w:tcW w:w="99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Derivative assets:</w:t>
            </w:r>
          </w:p>
        </w:tc>
        <w:tc>
          <w:tcPr>
            <w:tcW w:w="109"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99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left"/>
              <w:rPr/>
            </w:pPr>
            <w:r>
              <w:rPr/>
              <w:t>​</w:t>
            </w:r>
          </w:p>
        </w:tc>
      </w:tr>
      <w:tr>
        <w:trPr/>
        <w:tc>
          <w:tcPr>
            <w:tcW w:w="33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Interest rate swaps − Company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2,324</w:t>
            </w:r>
          </w:p>
        </w:tc>
        <w:tc>
          <w:tcPr>
            <w:tcW w:w="109"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2,324</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(2,459)</w:t>
            </w:r>
          </w:p>
        </w:tc>
        <w:tc>
          <w:tcPr>
            <w:tcW w:w="109"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w:t>
            </w:r>
          </w:p>
        </w:tc>
      </w:tr>
      <w:tr>
        <w:trPr/>
        <w:tc>
          <w:tcPr>
            <w:tcW w:w="331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Interest rate swaps − dealer bank </w:t>
            </w:r>
            <w:r>
              <w:rPr>
                <w:rFonts w:ascii="Times New Roman;Times;serif" w:hAnsi="Times New Roman;Times;serif"/>
                <w:sz w:val="14"/>
              </w:rPr>
              <w:t>(1)</w:t>
            </w:r>
          </w:p>
        </w:tc>
        <w:tc>
          <w:tcPr>
            <w:tcW w:w="109"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99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6,294</w:t>
            </w:r>
          </w:p>
        </w:tc>
        <w:tc>
          <w:tcPr>
            <w:tcW w:w="109"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6,294</w:t>
            </w:r>
          </w:p>
        </w:tc>
        <w:tc>
          <w:tcPr>
            <w:tcW w:w="109"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(4,681)</w:t>
            </w:r>
          </w:p>
        </w:tc>
        <w:tc>
          <w:tcPr>
            <w:tcW w:w="109"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To-be-announced mortgage backed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109" w:type="dxa"/>
            <w:tcBorders/>
            <w:vAlign w:val="center"/>
          </w:tcPr>
          <w:p>
            <w:pPr>
              <w:pStyle w:val="TableContents"/>
              <w:bidi w:val="0"/>
              <w:spacing w:before="0" w:after="1"/>
              <w:ind w:left="0" w:right="0" w:hanging="0"/>
              <w:jc w:val="left"/>
              <w:rPr/>
            </w:pPr>
            <w:r>
              <w:rPr/>
              <w:t>​</w:t>
            </w:r>
          </w:p>
        </w:tc>
        <w:tc>
          <w:tcPr>
            <w:tcW w:w="38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8,618</w:t>
            </w:r>
          </w:p>
        </w:tc>
        <w:tc>
          <w:tcPr>
            <w:tcW w:w="109" w:type="dxa"/>
            <w:tcBorders/>
            <w:vAlign w:val="center"/>
          </w:tcPr>
          <w:p>
            <w:pPr>
              <w:pStyle w:val="TableContents"/>
              <w:bidi w:val="0"/>
              <w:spacing w:before="0" w:after="1"/>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8,618</w:t>
            </w:r>
          </w:p>
        </w:tc>
        <w:tc>
          <w:tcPr>
            <w:tcW w:w="109" w:type="dxa"/>
            <w:tcBorders/>
            <w:vAlign w:val="center"/>
          </w:tcPr>
          <w:p>
            <w:pPr>
              <w:pStyle w:val="TableContents"/>
              <w:bidi w:val="0"/>
              <w:spacing w:before="0" w:after="1"/>
              <w:ind w:left="0" w:right="0" w:hanging="0"/>
              <w:jc w:val="left"/>
              <w:rPr/>
            </w:pPr>
            <w:r>
              <w:rPr/>
              <w:t>​</w:t>
            </w:r>
          </w:p>
        </w:tc>
        <w:tc>
          <w:tcPr>
            <w:tcW w:w="3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(7,140)</w:t>
            </w:r>
          </w:p>
        </w:tc>
        <w:tc>
          <w:tcPr>
            <w:tcW w:w="109"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1,478</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Derivative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pPr>
            <w:r>
              <w:rPr/>
              <w:t>​</w:t>
            </w:r>
          </w:p>
        </w:tc>
        <w:tc>
          <w:tcPr>
            <w:tcW w:w="99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Interest rate swaps − Company </w:t>
            </w:r>
            <w:r>
              <w:rPr>
                <w:rFonts w:ascii="Times New Roman;Times;serif" w:hAnsi="Times New Roman;Times;serif"/>
                <w:sz w:val="14"/>
              </w:rPr>
              <w:t>(1)</w:t>
            </w:r>
          </w:p>
        </w:tc>
        <w:tc>
          <w:tcPr>
            <w:tcW w:w="109"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85"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Interest rate swaps − customer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pPr>
            <w:r>
              <w:rPr/>
              <w:t>​</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6,294</w:t>
            </w:r>
          </w:p>
        </w:tc>
        <w:tc>
          <w:tcPr>
            <w:tcW w:w="109"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6,294</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6,294</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To-be-announced mortgage backed securities</w:t>
            </w:r>
          </w:p>
        </w:tc>
        <w:tc>
          <w:tcPr>
            <w:tcW w:w="109" w:type="dxa"/>
            <w:tcBorders/>
            <w:vAlign w:val="center"/>
          </w:tcPr>
          <w:p>
            <w:pPr>
              <w:pStyle w:val="TableContents"/>
              <w:bidi w:val="0"/>
              <w:spacing w:before="0" w:after="1"/>
              <w:ind w:left="0" w:right="0" w:hanging="0"/>
              <w:jc w:val="left"/>
              <w:rPr/>
            </w:pPr>
            <w:r>
              <w:rPr/>
              <w:t>​</w:t>
            </w:r>
          </w:p>
        </w:tc>
        <w:tc>
          <w:tcPr>
            <w:tcW w:w="3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109" w:type="dxa"/>
            <w:tcBorders/>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109" w:type="dxa"/>
            <w:tcBorders/>
            <w:vAlign w:val="center"/>
          </w:tcPr>
          <w:p>
            <w:pPr>
              <w:pStyle w:val="TableContents"/>
              <w:bidi w:val="0"/>
              <w:spacing w:before="0" w:after="1"/>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3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6,318</w:t>
            </w:r>
          </w:p>
        </w:tc>
        <w:tc>
          <w:tcPr>
            <w:tcW w:w="109" w:type="dxa"/>
            <w:tcBorders/>
            <w:shd w:fill="CCEEFF" w:val="clear"/>
            <w:vAlign w:val="center"/>
          </w:tcPr>
          <w:p>
            <w:pPr>
              <w:pStyle w:val="TableContents"/>
              <w:bidi w:val="0"/>
              <w:spacing w:before="0" w:after="1"/>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6,318</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8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6,318</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Company maintains a master netting agreement with each counterparty and settles collateral on a net basis for all interest rate swaps with counterparty banks.</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Company manages its net exposure on its customer loan swaps by obtaining collateral as part of the normal loan policy and underwriting practices. The Company does not post collateral to its customers as part of its contract.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3289" w:name="Tc_3XkfPHEqsEe_f0xjbBWTMg_19_14"/>
      <w:bookmarkStart w:id="3290" w:name="Tc_mhVlM4r4iUyyqKmwl8BwSA_19_11"/>
      <w:bookmarkStart w:id="3291" w:name="Tc_BZ8QkGdI5km_HcbaBA3mkQ_19_8"/>
      <w:bookmarkStart w:id="3292" w:name="Tc_wIlz23rCSU-HC7ajRrVYFQ_19_6"/>
      <w:bookmarkStart w:id="3293" w:name="Tc_II_2EVJpCkqkV5B7uzkLcw_19_5"/>
      <w:bookmarkStart w:id="3294" w:name="Tc_zVlrhXjZ3kaMYEd30t5LDw_19_2"/>
      <w:bookmarkStart w:id="3295" w:name="Tc_xtBLfS2Ln0iSEvghcMr8bw_19_0"/>
      <w:bookmarkStart w:id="3296" w:name="Tc_mwGgwQtyAUegHA0bwAR7sw_18_12"/>
      <w:bookmarkStart w:id="3297" w:name="Tc_FSIhzGZ54EeBhRv8L2tN7A_18_6"/>
      <w:bookmarkStart w:id="3298" w:name="Tc_p-JsypzXYEaeIdmlnp1vpQ_18_0"/>
      <w:bookmarkStart w:id="3299" w:name="Tc_XugAq5i_30SAszwqH8fSSg_17_12"/>
      <w:bookmarkStart w:id="3300" w:name="Tc_uvPx9hUP-0WhrpOgcjgiGQ_17_6"/>
      <w:bookmarkStart w:id="3301" w:name="Tc_tOoxd0VE7kKkmmh9cdZ-bA_17_5"/>
      <w:bookmarkStart w:id="3302" w:name="Tc_xSulE-8J80uoolCBP7_E9Q_17_0"/>
      <w:bookmarkStart w:id="3303" w:name="Tc_8Xvuig2oN0-6U2jbPpXaCQ_16_14"/>
      <w:bookmarkStart w:id="3304" w:name="Tc_NTy0HCyjJU6jgMoVhwy3EA_16_11"/>
      <w:bookmarkStart w:id="3305" w:name="Tc_Mc5vy8IKo0uj6vZgsY5_Og_16_8"/>
      <w:bookmarkStart w:id="3306" w:name="Tc_KugnVnYmK0CQFrL0mZAfoQ_16_6"/>
      <w:bookmarkStart w:id="3307" w:name="Tc_pKqyBKgwk0Kn0Nnv8QrVOA_16_5"/>
      <w:bookmarkStart w:id="3308" w:name="Tc_k-TthE7n8UqY_-xJB2xCdQ_16_2"/>
      <w:bookmarkStart w:id="3309" w:name="Tc_ZyqPB1Ywe0quV01iA64kzQ_16_0"/>
      <w:bookmarkStart w:id="3310" w:name="Tc_tTs-0Lojp0idatsnSBQ4tQ_15_0"/>
      <w:bookmarkStart w:id="3311" w:name="Tc_qPg8JBp0kkaDkpiHsLkYdQ_14_14"/>
      <w:bookmarkStart w:id="3312" w:name="Tc_btjK9sr3YEW-t2J0EbSKDw_14_11"/>
      <w:bookmarkStart w:id="3313" w:name="Tc_1BASM5FPGkO7PWHOtJJ54w_14_8"/>
      <w:bookmarkStart w:id="3314" w:name="Tc_9SAZ_Sbs3UeLvEZoYZAOGw_14_6"/>
      <w:bookmarkStart w:id="3315" w:name="Tc_fLdVcOnf1k-aUEfc9aF5Wg_14_5"/>
      <w:bookmarkStart w:id="3316" w:name="Tc_QBsGY8rTJEiNqR0dJoi9cQ_14_2"/>
      <w:bookmarkStart w:id="3317" w:name="Tc_Co20CnVrlkSGC-_BXV4Hcw_14_0"/>
      <w:bookmarkStart w:id="3318" w:name="Tc_ga-31wkNzkC5rW84kaS_Gg_13_15"/>
      <w:bookmarkStart w:id="3319" w:name="Tc_CYIKyu-SxUiOzhgN-XXOmQ_13_12"/>
      <w:bookmarkStart w:id="3320" w:name="Tc_LQhLrT2G9Uigo-wqWVUA_Q_13_9"/>
      <w:bookmarkStart w:id="3321" w:name="Tc_9tThz3QFGUqFcT3Wx7KqXA_13_6"/>
      <w:bookmarkStart w:id="3322" w:name="Tc_FE9d77tJgkG1zPcwAkrz-A_13_3"/>
      <w:bookmarkStart w:id="3323" w:name="Tc_gIW8E2DYNUGU0gkGZB_qtQ_13_0"/>
      <w:bookmarkStart w:id="3324" w:name="Tc_NVDXlJVMg0ixopv90dhBPQ_12_6"/>
      <w:bookmarkStart w:id="3325" w:name="Tc_SIz6kxIZ6E-WQaEYB-dujg_12_0"/>
      <w:bookmarkStart w:id="3326" w:name="Tc_IREtU2_b_U6xJ0ZzNfscug_11_15"/>
      <w:bookmarkStart w:id="3327" w:name="Tc_7PE0LaY1X0-1UWipztIM7g_11_14"/>
      <w:bookmarkStart w:id="3328" w:name="Tc__y2EaEzKGk2w4YMoOtiaMA_11_12"/>
      <w:bookmarkStart w:id="3329" w:name="Tc_C6kXFFmP0keUJY0ThMNLHw_11_11"/>
      <w:bookmarkStart w:id="3330" w:name="Tc_132W8bQ8CUelR5b4744etg_11_9"/>
      <w:bookmarkStart w:id="3331" w:name="Tc_sVyFT7GiYUCeT4N8USrEhw_11_8"/>
      <w:bookmarkStart w:id="3332" w:name="Tc_ltRq-_QGhE28JE4DwlxXcw_11_6"/>
      <w:bookmarkStart w:id="3333" w:name="Tc_5gAICa_1X0K7sJvKFR4jzw_11_5"/>
      <w:bookmarkStart w:id="3334" w:name="Tc_YGWPefqggU2Qcew8PGAfxA_11_3"/>
      <w:bookmarkStart w:id="3335" w:name="Tc_LYGNWnIQIE-Zzb5kGCKR7Q_11_2"/>
      <w:bookmarkStart w:id="3336" w:name="Tc_6g-g-4nfxUm-aPDLpeDJqw_11_0"/>
      <w:bookmarkStart w:id="3337" w:name="Tc_MIoW3wjkF0uwIXT1KB7XqA_10_0"/>
      <w:bookmarkStart w:id="3338" w:name="Tc_9gwujj-cHkukbf-xn-cv9g_9_0"/>
      <w:bookmarkStart w:id="3339" w:name="Tc_FQGaNUWo_Emq7AtPNW1FTw_8_14"/>
      <w:bookmarkStart w:id="3340" w:name="Tc_rfpH6mFZek6Kyw3qyLZSkQ_8_11"/>
      <w:bookmarkStart w:id="3341" w:name="Tc_HPXeB10vn0W42FZbaxgZPA_8_8"/>
      <w:bookmarkStart w:id="3342" w:name="Tc_DJcKMNw3hEmS_Rkw2LaSuA_8_5"/>
      <w:bookmarkStart w:id="3343" w:name="Tc_rPJCHI4_bUaflpXT5aP3Fw_8_2"/>
      <w:bookmarkStart w:id="3344" w:name="Tc_H3eCX1ySAUaPwHRZj9aUxg_8_0"/>
      <w:bookmarkStart w:id="3345" w:name="Tc_tWQYB8_TVUiEdixdXJIyRQ_7_11"/>
      <w:bookmarkStart w:id="3346" w:name="Tc_p1BOkRtmhEqBj2TRfD6dZA_7_8"/>
      <w:bookmarkStart w:id="3347" w:name="Tc_xjAG7AOfIEKTFrudjRfztg_7_5"/>
      <w:bookmarkStart w:id="3348" w:name="Tc_pO3S_SzHd0G_GRwMk2h5tg_7_2"/>
      <w:bookmarkStart w:id="3349" w:name="Tc_9jM88ZNBzUaW-2CFFcX2jQ_6_8"/>
      <w:bookmarkStart w:id="3350" w:name="Tc_F2wZbSnZ40ua8xgBPO1cDQ_6_5"/>
      <w:bookmarkStart w:id="3351" w:name="Tc_6X6guz4QnkWwLIh61Ij2mg_6_2"/>
      <w:bookmarkStart w:id="3352" w:name="Tc_74Z2paSb70qY-Qh-BcjIHg_5_8"/>
      <w:bookmarkStart w:id="3353" w:name="Tc_hETBed-hmkinoHQdCq7afA_5_5"/>
      <w:bookmarkStart w:id="3354" w:name="Tc_OjwCe6yqCUSMghk99w0USg_5_2"/>
      <w:bookmarkStart w:id="3355" w:name="Tc_3fG9sy9Iu022oxWbit5ygA_4_11"/>
      <w:bookmarkStart w:id="3356" w:name="Tc_xk-pkVsOkkW3thdXZi31mg_3_11"/>
      <w:bookmarkStart w:id="3357" w:name="Tc_SpY2X7SEc0qkphw_T9Oz-Q_2_11"/>
      <w:bookmarkStart w:id="3358" w:name="Tc_B6_5HPd4ckeaMbyEQACKAg_1_11"/>
      <w:bookmarkStart w:id="3359" w:name="_605b4ff0_6b12_4522_a4ce_f36dc8b6d9ee"/>
      <w:bookmarkStart w:id="3360" w:name="Tc_3XkfPHEqsEe_f0xjbBWTMg_19_14"/>
      <w:bookmarkStart w:id="3361" w:name="Tc_mhVlM4r4iUyyqKmwl8BwSA_19_11"/>
      <w:bookmarkStart w:id="3362" w:name="Tc_BZ8QkGdI5km_HcbaBA3mkQ_19_8"/>
      <w:bookmarkStart w:id="3363" w:name="Tc_wIlz23rCSU-HC7ajRrVYFQ_19_6"/>
      <w:bookmarkStart w:id="3364" w:name="Tc_II_2EVJpCkqkV5B7uzkLcw_19_5"/>
      <w:bookmarkStart w:id="3365" w:name="Tc_zVlrhXjZ3kaMYEd30t5LDw_19_2"/>
      <w:bookmarkStart w:id="3366" w:name="Tc_xtBLfS2Ln0iSEvghcMr8bw_19_0"/>
      <w:bookmarkStart w:id="3367" w:name="Tc_mwGgwQtyAUegHA0bwAR7sw_18_12"/>
      <w:bookmarkStart w:id="3368" w:name="Tc_FSIhzGZ54EeBhRv8L2tN7A_18_6"/>
      <w:bookmarkStart w:id="3369" w:name="Tc_p-JsypzXYEaeIdmlnp1vpQ_18_0"/>
      <w:bookmarkStart w:id="3370" w:name="Tc_XugAq5i_30SAszwqH8fSSg_17_12"/>
      <w:bookmarkStart w:id="3371" w:name="Tc_uvPx9hUP-0WhrpOgcjgiGQ_17_6"/>
      <w:bookmarkStart w:id="3372" w:name="Tc_tOoxd0VE7kKkmmh9cdZ-bA_17_5"/>
      <w:bookmarkStart w:id="3373" w:name="Tc_xSulE-8J80uoolCBP7_E9Q_17_0"/>
      <w:bookmarkStart w:id="3374" w:name="Tc_8Xvuig2oN0-6U2jbPpXaCQ_16_14"/>
      <w:bookmarkStart w:id="3375" w:name="Tc_NTy0HCyjJU6jgMoVhwy3EA_16_11"/>
      <w:bookmarkStart w:id="3376" w:name="Tc_Mc5vy8IKo0uj6vZgsY5_Og_16_8"/>
      <w:bookmarkStart w:id="3377" w:name="Tc_KugnVnYmK0CQFrL0mZAfoQ_16_6"/>
      <w:bookmarkStart w:id="3378" w:name="Tc_pKqyBKgwk0Kn0Nnv8QrVOA_16_5"/>
      <w:bookmarkStart w:id="3379" w:name="Tc_k-TthE7n8UqY_-xJB2xCdQ_16_2"/>
      <w:bookmarkStart w:id="3380" w:name="Tc_ZyqPB1Ywe0quV01iA64kzQ_16_0"/>
      <w:bookmarkStart w:id="3381" w:name="Tc_tTs-0Lojp0idatsnSBQ4tQ_15_0"/>
      <w:bookmarkStart w:id="3382" w:name="Tc_qPg8JBp0kkaDkpiHsLkYdQ_14_14"/>
      <w:bookmarkStart w:id="3383" w:name="Tc_btjK9sr3YEW-t2J0EbSKDw_14_11"/>
      <w:bookmarkStart w:id="3384" w:name="Tc_1BASM5FPGkO7PWHOtJJ54w_14_8"/>
      <w:bookmarkStart w:id="3385" w:name="Tc_9SAZ_Sbs3UeLvEZoYZAOGw_14_6"/>
      <w:bookmarkStart w:id="3386" w:name="Tc_fLdVcOnf1k-aUEfc9aF5Wg_14_5"/>
      <w:bookmarkStart w:id="3387" w:name="Tc_QBsGY8rTJEiNqR0dJoi9cQ_14_2"/>
      <w:bookmarkStart w:id="3388" w:name="Tc_Co20CnVrlkSGC-_BXV4Hcw_14_0"/>
      <w:bookmarkStart w:id="3389" w:name="Tc_ga-31wkNzkC5rW84kaS_Gg_13_15"/>
      <w:bookmarkStart w:id="3390" w:name="Tc_CYIKyu-SxUiOzhgN-XXOmQ_13_12"/>
      <w:bookmarkStart w:id="3391" w:name="Tc_LQhLrT2G9Uigo-wqWVUA_Q_13_9"/>
      <w:bookmarkStart w:id="3392" w:name="Tc_9tThz3QFGUqFcT3Wx7KqXA_13_6"/>
      <w:bookmarkStart w:id="3393" w:name="Tc_FE9d77tJgkG1zPcwAkrz-A_13_3"/>
      <w:bookmarkStart w:id="3394" w:name="Tc_gIW8E2DYNUGU0gkGZB_qtQ_13_0"/>
      <w:bookmarkStart w:id="3395" w:name="Tc_NVDXlJVMg0ixopv90dhBPQ_12_6"/>
      <w:bookmarkStart w:id="3396" w:name="Tc_SIz6kxIZ6E-WQaEYB-dujg_12_0"/>
      <w:bookmarkStart w:id="3397" w:name="Tc_IREtU2_b_U6xJ0ZzNfscug_11_15"/>
      <w:bookmarkStart w:id="3398" w:name="Tc_7PE0LaY1X0-1UWipztIM7g_11_14"/>
      <w:bookmarkStart w:id="3399" w:name="Tc__y2EaEzKGk2w4YMoOtiaMA_11_12"/>
      <w:bookmarkStart w:id="3400" w:name="Tc_C6kXFFmP0keUJY0ThMNLHw_11_11"/>
      <w:bookmarkStart w:id="3401" w:name="Tc_132W8bQ8CUelR5b4744etg_11_9"/>
      <w:bookmarkStart w:id="3402" w:name="Tc_sVyFT7GiYUCeT4N8USrEhw_11_8"/>
      <w:bookmarkStart w:id="3403" w:name="Tc_ltRq-_QGhE28JE4DwlxXcw_11_6"/>
      <w:bookmarkStart w:id="3404" w:name="Tc_5gAICa_1X0K7sJvKFR4jzw_11_5"/>
      <w:bookmarkStart w:id="3405" w:name="Tc_YGWPefqggU2Qcew8PGAfxA_11_3"/>
      <w:bookmarkStart w:id="3406" w:name="Tc_LYGNWnIQIE-Zzb5kGCKR7Q_11_2"/>
      <w:bookmarkStart w:id="3407" w:name="Tc_6g-g-4nfxUm-aPDLpeDJqw_11_0"/>
      <w:bookmarkStart w:id="3408" w:name="Tc_MIoW3wjkF0uwIXT1KB7XqA_10_0"/>
      <w:bookmarkStart w:id="3409" w:name="Tc_9gwujj-cHkukbf-xn-cv9g_9_0"/>
      <w:bookmarkStart w:id="3410" w:name="Tc_FQGaNUWo_Emq7AtPNW1FTw_8_14"/>
      <w:bookmarkStart w:id="3411" w:name="Tc_rfpH6mFZek6Kyw3qyLZSkQ_8_11"/>
      <w:bookmarkStart w:id="3412" w:name="Tc_HPXeB10vn0W42FZbaxgZPA_8_8"/>
      <w:bookmarkStart w:id="3413" w:name="Tc_DJcKMNw3hEmS_Rkw2LaSuA_8_5"/>
      <w:bookmarkStart w:id="3414" w:name="Tc_rPJCHI4_bUaflpXT5aP3Fw_8_2"/>
      <w:bookmarkStart w:id="3415" w:name="Tc_H3eCX1ySAUaPwHRZj9aUxg_8_0"/>
      <w:bookmarkStart w:id="3416" w:name="Tc_tWQYB8_TVUiEdixdXJIyRQ_7_11"/>
      <w:bookmarkStart w:id="3417" w:name="Tc_p1BOkRtmhEqBj2TRfD6dZA_7_8"/>
      <w:bookmarkStart w:id="3418" w:name="Tc_xjAG7AOfIEKTFrudjRfztg_7_5"/>
      <w:bookmarkStart w:id="3419" w:name="Tc_pO3S_SzHd0G_GRwMk2h5tg_7_2"/>
      <w:bookmarkStart w:id="3420" w:name="Tc_9jM88ZNBzUaW-2CFFcX2jQ_6_8"/>
      <w:bookmarkStart w:id="3421" w:name="Tc_F2wZbSnZ40ua8xgBPO1cDQ_6_5"/>
      <w:bookmarkStart w:id="3422" w:name="Tc_6X6guz4QnkWwLIh61Ij2mg_6_2"/>
      <w:bookmarkStart w:id="3423" w:name="Tc_74Z2paSb70qY-Qh-BcjIHg_5_8"/>
      <w:bookmarkStart w:id="3424" w:name="Tc_hETBed-hmkinoHQdCq7afA_5_5"/>
      <w:bookmarkStart w:id="3425" w:name="Tc_OjwCe6yqCUSMghk99w0USg_5_2"/>
      <w:bookmarkStart w:id="3426" w:name="Tc_3fG9sy9Iu022oxWbit5ygA_4_11"/>
      <w:bookmarkStart w:id="3427" w:name="Tc_xk-pkVsOkkW3thdXZi31mg_3_11"/>
      <w:bookmarkStart w:id="3428" w:name="Tc_SpY2X7SEc0qkphw_T9Oz-Q_2_11"/>
      <w:bookmarkStart w:id="3429" w:name="Tc_B6_5HPd4ckeaMbyEQACKAg_1_11"/>
      <w:bookmarkStart w:id="3430" w:name="_605b4ff0_6b12_4522_a4ce_f36dc8b6d9ee"/>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p>
    <w:tbl>
      <w:tblPr>
        <w:tblW w:w="10191" w:type="dxa"/>
        <w:jc w:val="left"/>
        <w:tblInd w:w="0" w:type="dxa"/>
        <w:tblLayout w:type="fixed"/>
        <w:tblCellMar>
          <w:top w:w="0" w:type="dxa"/>
          <w:left w:w="0" w:type="dxa"/>
          <w:bottom w:w="0" w:type="dxa"/>
          <w:right w:w="0" w:type="dxa"/>
        </w:tblCellMar>
      </w:tblPr>
      <w:tblGrid>
        <w:gridCol w:w="3316"/>
        <w:gridCol w:w="109"/>
        <w:gridCol w:w="382"/>
        <w:gridCol w:w="998"/>
        <w:gridCol w:w="109"/>
        <w:gridCol w:w="421"/>
        <w:gridCol w:w="749"/>
        <w:gridCol w:w="109"/>
        <w:gridCol w:w="349"/>
        <w:gridCol w:w="911"/>
        <w:gridCol w:w="109"/>
        <w:gridCol w:w="351"/>
        <w:gridCol w:w="1134"/>
        <w:gridCol w:w="109"/>
        <w:gridCol w:w="250"/>
        <w:gridCol w:w="785"/>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105660" cy="175260"/>
                      <wp:effectExtent l="0" t="0" r="0" b="0"/>
                      <wp:wrapNone/>
                      <wp:docPr id="586" name="Frame586"/>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9215" cy="175260"/>
                      <wp:effectExtent l="0" t="0" r="0" b="0"/>
                      <wp:wrapNone/>
                      <wp:docPr id="587" name="Frame5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42570" cy="175260"/>
                      <wp:effectExtent l="0" t="0" r="0" b="0"/>
                      <wp:wrapNone/>
                      <wp:docPr id="588" name="Frame588"/>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33730" cy="175260"/>
                      <wp:effectExtent l="0" t="0" r="0" b="0"/>
                      <wp:wrapNone/>
                      <wp:docPr id="589" name="Frame589"/>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9215" cy="175260"/>
                      <wp:effectExtent l="0" t="0" r="0" b="0"/>
                      <wp:wrapNone/>
                      <wp:docPr id="590" name="Frame5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67335" cy="175260"/>
                      <wp:effectExtent l="0" t="0" r="0" b="0"/>
                      <wp:wrapNone/>
                      <wp:docPr id="591" name="Frame59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475615" cy="175260"/>
                      <wp:effectExtent l="0" t="0" r="0" b="0"/>
                      <wp:wrapNone/>
                      <wp:docPr id="592" name="Frame592"/>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9215" cy="175260"/>
                      <wp:effectExtent l="0" t="0" r="0" b="0"/>
                      <wp:wrapNone/>
                      <wp:docPr id="593" name="Frame5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21615" cy="175260"/>
                      <wp:effectExtent l="0" t="0" r="0" b="0"/>
                      <wp:wrapNone/>
                      <wp:docPr id="594" name="Frame594"/>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578485" cy="175260"/>
                      <wp:effectExtent l="0" t="0" r="0" b="0"/>
                      <wp:wrapNone/>
                      <wp:docPr id="595" name="Frame595"/>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9215" cy="175260"/>
                      <wp:effectExtent l="0" t="0" r="0" b="0"/>
                      <wp:wrapNone/>
                      <wp:docPr id="596" name="Frame5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22885" cy="175260"/>
                      <wp:effectExtent l="0" t="0" r="0" b="0"/>
                      <wp:wrapNone/>
                      <wp:docPr id="597" name="Frame597"/>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720090" cy="175260"/>
                      <wp:effectExtent l="0" t="0" r="0" b="0"/>
                      <wp:wrapNone/>
                      <wp:docPr id="598" name="Frame598"/>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9215" cy="175260"/>
                      <wp:effectExtent l="0" t="0" r="0" b="0"/>
                      <wp:wrapNone/>
                      <wp:docPr id="599" name="Frame5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58750" cy="175260"/>
                      <wp:effectExtent l="0" t="0" r="0" b="0"/>
                      <wp:wrapNone/>
                      <wp:docPr id="600" name="Frame60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498475" cy="175260"/>
                      <wp:effectExtent l="0" t="0" r="0" b="0"/>
                      <wp:wrapNone/>
                      <wp:docPr id="601" name="Frame601"/>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center"/>
              <w:rPr/>
            </w:pPr>
            <w:r>
              <w:rPr/>
              <w:t>​</w:t>
            </w:r>
          </w:p>
        </w:tc>
        <w:tc>
          <w:tcPr>
            <w:tcW w:w="99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9" w:type="dxa"/>
            <w:tcBorders/>
            <w:vAlign w:val="center"/>
          </w:tcPr>
          <w:p>
            <w:pPr>
              <w:pStyle w:val="TableContents"/>
              <w:bidi w:val="0"/>
              <w:spacing w:before="0" w:after="0"/>
              <w:ind w:left="0" w:right="0" w:hanging="0"/>
              <w:jc w:val="center"/>
              <w:rPr/>
            </w:pPr>
            <w:r>
              <w:rPr/>
              <w:t>​</w:t>
            </w:r>
          </w:p>
        </w:tc>
        <w:tc>
          <w:tcPr>
            <w:tcW w:w="9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center"/>
              <w:rPr/>
            </w:pPr>
            <w:r>
              <w:rPr/>
              <w:t>​</w:t>
            </w:r>
          </w:p>
        </w:tc>
        <w:tc>
          <w:tcPr>
            <w:tcW w:w="99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9" w:type="dxa"/>
            <w:tcBorders/>
            <w:vAlign w:val="center"/>
          </w:tcPr>
          <w:p>
            <w:pPr>
              <w:pStyle w:val="TableContents"/>
              <w:bidi w:val="0"/>
              <w:spacing w:before="0" w:after="0"/>
              <w:ind w:left="0" w:right="0" w:hanging="0"/>
              <w:jc w:val="center"/>
              <w:rPr/>
            </w:pPr>
            <w:r>
              <w:rPr/>
              <w:t>​</w:t>
            </w:r>
          </w:p>
        </w:tc>
        <w:tc>
          <w:tcPr>
            <w:tcW w:w="9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 Offset in the</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center"/>
              <w:rPr/>
            </w:pPr>
            <w:r>
              <w:rPr/>
              <w:t>​</w:t>
            </w:r>
          </w:p>
        </w:tc>
        <w:tc>
          <w:tcPr>
            <w:tcW w:w="99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9" w:type="dxa"/>
            <w:tcBorders/>
            <w:vAlign w:val="center"/>
          </w:tcPr>
          <w:p>
            <w:pPr>
              <w:pStyle w:val="TableContents"/>
              <w:bidi w:val="0"/>
              <w:spacing w:before="0" w:after="0"/>
              <w:ind w:left="0" w:right="0" w:hanging="0"/>
              <w:jc w:val="center"/>
              <w:rPr/>
            </w:pPr>
            <w:r>
              <w:rPr/>
              <w:t>​</w:t>
            </w:r>
          </w:p>
        </w:tc>
        <w:tc>
          <w:tcPr>
            <w:tcW w:w="9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center"/>
              <w:rPr/>
            </w:pPr>
            <w:r>
              <w:rPr/>
              <w:t>​</w:t>
            </w:r>
          </w:p>
        </w:tc>
        <w:tc>
          <w:tcPr>
            <w:tcW w:w="99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7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9" w:type="dxa"/>
            <w:tcBorders/>
            <w:vAlign w:val="center"/>
          </w:tcPr>
          <w:p>
            <w:pPr>
              <w:pStyle w:val="TableContents"/>
              <w:bidi w:val="0"/>
              <w:spacing w:before="0" w:after="0"/>
              <w:ind w:left="0" w:right="0" w:hanging="0"/>
              <w:jc w:val="center"/>
              <w:rPr/>
            </w:pPr>
            <w:r>
              <w:rPr/>
              <w:t>​</w:t>
            </w:r>
          </w:p>
        </w:tc>
        <w:tc>
          <w:tcPr>
            <w:tcW w:w="9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Amount</w:t>
            </w:r>
          </w:p>
        </w:tc>
        <w:tc>
          <w:tcPr>
            <w:tcW w:w="109"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Amount</w:t>
            </w:r>
          </w:p>
        </w:tc>
        <w:tc>
          <w:tcPr>
            <w:tcW w:w="109" w:type="dxa"/>
            <w:tcBorders/>
            <w:vAlign w:val="center"/>
          </w:tcPr>
          <w:p>
            <w:pPr>
              <w:pStyle w:val="TableContents"/>
              <w:bidi w:val="0"/>
              <w:spacing w:before="0" w:after="0"/>
              <w:ind w:left="0" w:right="0" w:hanging="0"/>
              <w:jc w:val="center"/>
              <w:rPr/>
            </w:pPr>
            <w:r>
              <w:rPr/>
              <w:t>​</w:t>
            </w:r>
          </w:p>
        </w:tc>
        <w:tc>
          <w:tcPr>
            <w:tcW w:w="1485"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in the</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Offset in the</w:t>
            </w:r>
          </w:p>
        </w:tc>
        <w:tc>
          <w:tcPr>
            <w:tcW w:w="109"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Presented in the</w:t>
            </w:r>
          </w:p>
        </w:tc>
        <w:tc>
          <w:tcPr>
            <w:tcW w:w="109" w:type="dxa"/>
            <w:tcBorders/>
            <w:vAlign w:val="center"/>
          </w:tcPr>
          <w:p>
            <w:pPr>
              <w:pStyle w:val="TableContents"/>
              <w:bidi w:val="0"/>
              <w:spacing w:before="0" w:after="0"/>
              <w:ind w:left="0" w:right="0" w:hanging="0"/>
              <w:jc w:val="center"/>
              <w:rPr/>
            </w:pPr>
            <w:r>
              <w:rPr/>
              <w:t>​</w:t>
            </w:r>
          </w:p>
        </w:tc>
        <w:tc>
          <w:tcPr>
            <w:tcW w:w="1485"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0"/>
              <w:ind w:left="0" w:right="0" w:hanging="0"/>
              <w:jc w:val="center"/>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Collateral</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109" w:type="dxa"/>
            <w:tcBorders/>
            <w:vAlign w:val="center"/>
          </w:tcPr>
          <w:p>
            <w:pPr>
              <w:pStyle w:val="TableContents"/>
              <w:bidi w:val="0"/>
              <w:spacing w:before="0" w:after="0"/>
              <w:ind w:left="0" w:right="0" w:hanging="0"/>
              <w:jc w:val="center"/>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Sheets</w:t>
            </w:r>
          </w:p>
        </w:tc>
        <w:tc>
          <w:tcPr>
            <w:tcW w:w="109" w:type="dxa"/>
            <w:tcBorders/>
            <w:vAlign w:val="center"/>
          </w:tcPr>
          <w:p>
            <w:pPr>
              <w:pStyle w:val="TableContents"/>
              <w:bidi w:val="0"/>
              <w:spacing w:before="0" w:after="0"/>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Pledged (Received)</w:t>
            </w:r>
          </w:p>
        </w:tc>
        <w:tc>
          <w:tcPr>
            <w:tcW w:w="109" w:type="dxa"/>
            <w:tcBorders/>
            <w:vAlign w:val="center"/>
          </w:tcPr>
          <w:p>
            <w:pPr>
              <w:pStyle w:val="TableContents"/>
              <w:bidi w:val="0"/>
              <w:spacing w:before="0" w:after="0"/>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Amount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18"/>
              </w:rPr>
            </w:pPr>
            <w:r>
              <w:rPr>
                <w:rFonts w:ascii="Times New Roman;Times;serif" w:hAnsi="Times New Roman;Times;serif"/>
                <w:b/>
                <w:i/>
                <w:sz w:val="18"/>
              </w:rPr>
              <w:t>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Derivative assets:</w:t>
            </w:r>
          </w:p>
        </w:tc>
        <w:tc>
          <w:tcPr>
            <w:tcW w:w="109"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r>
      <w:tr>
        <w:trPr/>
        <w:tc>
          <w:tcPr>
            <w:tcW w:w="33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Interest rate swaps − Company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5" w:type="dxa"/>
            <w:tcBorders/>
            <w:shd w:fill="CCEEFF" w:val="clear"/>
            <w:vAlign w:val="center"/>
          </w:tcPr>
          <w:p>
            <w:pPr>
              <w:pStyle w:val="TableContents"/>
              <w:bidi w:val="0"/>
              <w:spacing w:before="0" w:after="0"/>
              <w:ind w:left="0" w:right="0" w:hanging="0"/>
              <w:jc w:val="right"/>
              <w:rPr/>
            </w:pPr>
            <w:r>
              <w:rPr/>
              <w:t>—</w:t>
            </w:r>
          </w:p>
        </w:tc>
      </w:tr>
      <w:tr>
        <w:trPr/>
        <w:tc>
          <w:tcPr>
            <w:tcW w:w="33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Interest rate swaps − dealer bank </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8,327</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8,327</w:t>
            </w:r>
          </w:p>
        </w:tc>
        <w:tc>
          <w:tcPr>
            <w:tcW w:w="109"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(1,740)</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6,587</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To-be-announced mortgage backed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109" w:type="dxa"/>
            <w:tcBorders/>
            <w:vAlign w:val="center"/>
          </w:tcPr>
          <w:p>
            <w:pPr>
              <w:pStyle w:val="TableContents"/>
              <w:bidi w:val="0"/>
              <w:spacing w:before="0" w:after="0"/>
              <w:ind w:left="0" w:right="0" w:hanging="0"/>
              <w:jc w:val="left"/>
              <w:rPr/>
            </w:pPr>
            <w:r>
              <w:rPr/>
              <w:t>​</w:t>
            </w:r>
          </w:p>
        </w:tc>
        <w:tc>
          <w:tcPr>
            <w:tcW w:w="3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8,327</w:t>
            </w:r>
          </w:p>
        </w:tc>
        <w:tc>
          <w:tcPr>
            <w:tcW w:w="109"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8,327</w:t>
            </w:r>
          </w:p>
        </w:tc>
        <w:tc>
          <w:tcPr>
            <w:tcW w:w="109" w:type="dxa"/>
            <w:tcBorders/>
            <w:vAlign w:val="center"/>
          </w:tcPr>
          <w:p>
            <w:pPr>
              <w:pStyle w:val="TableContents"/>
              <w:bidi w:val="0"/>
              <w:spacing w:before="0" w:after="0"/>
              <w:ind w:left="0" w:right="0" w:hanging="0"/>
              <w:jc w:val="left"/>
              <w:rPr/>
            </w:pPr>
            <w:r>
              <w:rPr/>
              <w:t>​</w:t>
            </w:r>
          </w:p>
        </w:tc>
        <w:tc>
          <w:tcPr>
            <w:tcW w:w="3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(1,740)</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6,587</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Derivative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Interest rate swaps − Company </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649</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649</w:t>
            </w:r>
          </w:p>
        </w:tc>
        <w:tc>
          <w:tcPr>
            <w:tcW w:w="109"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550</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w:t>
            </w:r>
          </w:p>
        </w:tc>
      </w:tr>
      <w:tr>
        <w:trPr/>
        <w:tc>
          <w:tcPr>
            <w:tcW w:w="33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Interest rate swaps − customer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8,348</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8,348</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8,348</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To-be-announced mortgage backed securities</w:t>
            </w:r>
          </w:p>
        </w:tc>
        <w:tc>
          <w:tcPr>
            <w:tcW w:w="109" w:type="dxa"/>
            <w:tcBorders/>
            <w:vAlign w:val="center"/>
          </w:tcPr>
          <w:p>
            <w:pPr>
              <w:pStyle w:val="TableContents"/>
              <w:bidi w:val="0"/>
              <w:spacing w:before="0" w:after="0"/>
              <w:ind w:left="0" w:right="0" w:hanging="0"/>
              <w:jc w:val="left"/>
              <w:rPr/>
            </w:pPr>
            <w:r>
              <w:rPr/>
              <w:t>​</w:t>
            </w:r>
          </w:p>
        </w:tc>
        <w:tc>
          <w:tcPr>
            <w:tcW w:w="3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w:t>
            </w:r>
          </w:p>
        </w:tc>
        <w:tc>
          <w:tcPr>
            <w:tcW w:w="109"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w:t>
            </w:r>
          </w:p>
        </w:tc>
        <w:tc>
          <w:tcPr>
            <w:tcW w:w="109" w:type="dxa"/>
            <w:tcBorders/>
            <w:vAlign w:val="center"/>
          </w:tcPr>
          <w:p>
            <w:pPr>
              <w:pStyle w:val="TableContents"/>
              <w:bidi w:val="0"/>
              <w:spacing w:before="0" w:after="0"/>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9,180</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9,180</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550</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8,630</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Company maintains a master netting agreement with each counterparty and settles collateral on a net basis for all interest rate swaps with counterparty banks.</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Company manages its net exposure on its customer loan swaps by obtaining collateral as part of the normal loan policy and underwriting practices. The Company does not post collateral to its customers as part of its contract.</w:t>
            </w:r>
          </w:p>
        </w:tc>
      </w:tr>
    </w:tbl>
    <w:p>
      <w:pPr>
        <w:pStyle w:val="TextBody"/>
        <w:bidi w:val="0"/>
        <w:spacing w:before="0" w:after="24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18 Regulatory Matters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Quantitative measures established by regulation to ensure capital adequacy require the Company and the Bank to maintain minimum amounts and ratios (set forth in the following table) of common equity tier 1, tier 1, and total capital (as defined in the regulations) to risk weighted assets (as defined) and of tier 1 capital (as defined) to average assets (as defined). Management believes at March 31, 2024 and December 31, 2023, each of the Company and the Bank had met all of the capital adequacy requirements to which it was subject.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3431" w:name="Tc_W9b2wDEJVUCfzH2A3t_JcA_18_16"/>
      <w:bookmarkStart w:id="3432" w:name="Tc_DHa8FHRVu0Sq_X6T42VqSw_18_11"/>
      <w:bookmarkStart w:id="3433" w:name="Tc_zzMPtcjdtk6YwuCqWGX54w_18_6"/>
      <w:bookmarkStart w:id="3434" w:name="Tc_QOdSsRMgbk-vnL5e28vSbQ_18_0"/>
      <w:bookmarkStart w:id="3435" w:name="Tc_2YP9Hn5sWkqVtHZqWu780w_17_15"/>
      <w:bookmarkStart w:id="3436" w:name="Tc_1irdcb6AYkiSiF9uoc8JHQ_17_13"/>
      <w:bookmarkStart w:id="3437" w:name="Tc_iEggUCOcJkOqu3NtrL6IXw_17_11"/>
      <w:bookmarkStart w:id="3438" w:name="Tc_sb5yHdfZrEWYcKjyh7xOCg_17_6"/>
      <w:bookmarkStart w:id="3439" w:name="Tc_OvvTBSHbG06m1emKn0V7Ow_17_0"/>
      <w:bookmarkStart w:id="3440" w:name="Tc_xaO1wIheMkeXYLqAANblMA_16_0"/>
      <w:bookmarkStart w:id="3441" w:name="Tc_YYtVuNXM30yUQ45Cr-n9nw_15_16"/>
      <w:bookmarkStart w:id="3442" w:name="Tc_z6Febr9jrkqzbc8mtB23nQ_15_11"/>
      <w:bookmarkStart w:id="3443" w:name="Tc_x6fPh3x5iky5bfew0gsoUg_15_6"/>
      <w:bookmarkStart w:id="3444" w:name="Tc__ZEZ0ZWYsk-4pcDk6T3XPg_15_0"/>
      <w:bookmarkStart w:id="3445" w:name="Tc_GOl-f1v5wUaByFFDtPFt8w_14_15"/>
      <w:bookmarkStart w:id="3446" w:name="Tc__492aUI9o0yoGIKCr7i7ug_14_13"/>
      <w:bookmarkStart w:id="3447" w:name="Tc_i_hFXGJ2j0SIiQ1BcJUPjg_14_11"/>
      <w:bookmarkStart w:id="3448" w:name="Tc_x_a4IRTvCUaICmkGXYS1Hw_14_6"/>
      <w:bookmarkStart w:id="3449" w:name="Tc_c9AlnjW2Y0uKXuqI1ohiKQ_14_0"/>
      <w:bookmarkStart w:id="3450" w:name="Tc_wxB8FdiSF0eW5qg4wsUefA_13_0"/>
      <w:bookmarkStart w:id="3451" w:name="Tc_FN3TsAaSl0yg0dErk_Frgw_12_16"/>
      <w:bookmarkStart w:id="3452" w:name="Tc_wx9f06acikKhgaOZ-1YWHQ_12_11"/>
      <w:bookmarkStart w:id="3453" w:name="Tc_s6KchNU90kiMeGXx8mCZew_12_6"/>
      <w:bookmarkStart w:id="3454" w:name="Tc_WrMImV-nz0iN_8szou-pkQ_12_0"/>
      <w:bookmarkStart w:id="3455" w:name="Tc_O3W0kvhrOkKo_QYtc7VcbQ_11_15"/>
      <w:bookmarkStart w:id="3456" w:name="Tc_nr0Bdpj0O06YB3J4vA3ldA_11_13"/>
      <w:bookmarkStart w:id="3457" w:name="Tc_N2WjZS_Kwkyv-nKDYeNA1g_11_11"/>
      <w:bookmarkStart w:id="3458" w:name="Tc_npvZVAphWEKnkX9n4HX14g_11_6"/>
      <w:bookmarkStart w:id="3459" w:name="Tc_aJfw_Nt8cUysRwEr4QkLAA_11_0"/>
      <w:bookmarkStart w:id="3460" w:name="Tc_7KMQ2fpNJ0CBO3Pd0Dom7w_10_13"/>
      <w:bookmarkStart w:id="3461" w:name="Tc_yIeR3K3cBEejgKWUU3VOXw_10_0"/>
      <w:bookmarkStart w:id="3462" w:name="Tc_MEU2KSzaVEOAtnHNaDd-xw_9_16"/>
      <w:bookmarkStart w:id="3463" w:name="Tc_XnQbB147VU2_q906DTG7XA_9_11"/>
      <w:bookmarkStart w:id="3464" w:name="Tc_cmQsu5mx6U6oBnZY1MuQdg_9_6"/>
      <w:bookmarkStart w:id="3465" w:name="Tc_1PcrxVk-FkWx_mAvWqVp4Q_9_0"/>
      <w:bookmarkStart w:id="3466" w:name="Tc_PlkXKuPc6EWto3Jm-HUbhA_8_15"/>
      <w:bookmarkStart w:id="3467" w:name="Tc_Hvp1Rm7B2UKYGdV4dYHQvg_8_13"/>
      <w:bookmarkStart w:id="3468" w:name="Tc_CF4r6fUE1kWWdz3-7NNL2w_8_12"/>
      <w:bookmarkStart w:id="3469" w:name="Tc_q5E9Fe3sD0q_XmOjSF0YFg_8_11"/>
      <w:bookmarkStart w:id="3470" w:name="Tc_ksqqeMIV4UKRV95hpYVrWQ_8_7"/>
      <w:bookmarkStart w:id="3471" w:name="Tc_tu0w__OYa0-SpLHiQOuQZw_8_6"/>
      <w:bookmarkStart w:id="3472" w:name="Tc_KgI6YC_VX0Cgmc_F_tdFgg_8_2"/>
      <w:bookmarkStart w:id="3473" w:name="Tc_C1SGFWMp1EenLa6VYwDvVw_8_0"/>
      <w:bookmarkStart w:id="3474" w:name="Tc_mhtcw4eSrU-i3xaSpMxlkA_7_0"/>
      <w:bookmarkStart w:id="3475" w:name="Tc_X08GtdWY8E-qYTJY3L_8BA_6_15"/>
      <w:bookmarkStart w:id="3476" w:name="Tc_ScK9hOA4E0GzaPs1iBgr3w_6_12"/>
      <w:bookmarkStart w:id="3477" w:name="Tc_5J2MmTATakOhXoT5hPHaRQ_6_10"/>
      <w:bookmarkStart w:id="3478" w:name="Tc_2E7yvgC_jUO-u0O4us77AQ_6_7"/>
      <w:bookmarkStart w:id="3479" w:name="Tc_7fODeD9gqUWoIUe_AHVHrQ_6_5"/>
      <w:bookmarkStart w:id="3480" w:name="Tc_I_mibXFICkm9bnXUj4d0YA_6_2"/>
      <w:bookmarkStart w:id="3481" w:name="Tc_Ees_usvs_Eue9t0yjPEy2Q_6_0"/>
      <w:bookmarkStart w:id="3482" w:name="Tc_t_ELg-LU4E6ngJpzq7ggOA_5_12"/>
      <w:bookmarkStart w:id="3483" w:name="Tc_sp9I6M9-a06iNW61_FcWuA_5_7"/>
      <w:bookmarkStart w:id="3484" w:name="Tc_M_76uIzQpEmXOjzoEgY05g_5_2"/>
      <w:bookmarkStart w:id="3485" w:name="Tc_hDr94UAPyE6-7C-wcqCEbQ_4_12"/>
      <w:bookmarkStart w:id="3486" w:name="Tc__Oj3aYniA0CD-i1f0pjvEQ_4_7"/>
      <w:bookmarkStart w:id="3487" w:name="Tc_nQN2XP-9AEayfvDmzeuLvw_3_12"/>
      <w:bookmarkStart w:id="3488" w:name="Tc_6Mi-yjdUz0CQmZj210Uh1A_3_7"/>
      <w:bookmarkStart w:id="3489" w:name="Tc_KOH-wOUf70O6cYnnHKKnxg_2_12"/>
      <w:bookmarkStart w:id="3490" w:name="Tc_CEuxvGirikifU1715TvMGA_1_2"/>
      <w:bookmarkStart w:id="3491" w:name="_ef04418d_6b9b_4bd9_96e9_33012271ac6e"/>
      <w:bookmarkStart w:id="3492" w:name="Tc_of5cjjrJFk2csl8CF7BGmQ_18_16"/>
      <w:bookmarkStart w:id="3493" w:name="Tc_D9MLQmm_ok-FkPZtcVRKdw_18_11"/>
      <w:bookmarkStart w:id="3494" w:name="Tc_mu2v-qXeoUyplOxCi3yCEg_18_6"/>
      <w:bookmarkStart w:id="3495" w:name="Tc_lFRxBCNsxkmLEVazlGd-_Q_18_0"/>
      <w:bookmarkStart w:id="3496" w:name="Tc_qi7CesBM6UmKNaxePNZCaA_17_15"/>
      <w:bookmarkStart w:id="3497" w:name="Tc_q3WPLQOyBUOhk71sMdm0UA_17_13"/>
      <w:bookmarkStart w:id="3498" w:name="Tc_jbTf7iY6EEGAVRbuvOwfIQ_17_11"/>
      <w:bookmarkStart w:id="3499" w:name="Tc_1JVcmkUkRUOwgxYcLiBP1g_17_6"/>
      <w:bookmarkStart w:id="3500" w:name="Tc_P3x2IWd0O0SaBCKS3BbRtA_17_0"/>
      <w:bookmarkStart w:id="3501" w:name="Tc_tSDtabJDsUa0K0uDoj23Kw_16_0"/>
      <w:bookmarkStart w:id="3502" w:name="Tc_d-cjE8KjW0ujFh0U51DlXg_15_16"/>
      <w:bookmarkStart w:id="3503" w:name="Tc_8K4E00C3KUyfRk6Cy11SHw_15_11"/>
      <w:bookmarkStart w:id="3504" w:name="Tc_Cc3YHBqDuEefkD8LdNUp7g_15_6"/>
      <w:bookmarkStart w:id="3505" w:name="Tc_9WQCHZKB5UmZ7yuBzpydBA_15_0"/>
      <w:bookmarkStart w:id="3506" w:name="Tc_7JLEdt1Wfky4g2oCWzLc4Q_14_15"/>
      <w:bookmarkStart w:id="3507" w:name="Tc_WhgHvDmuXkWJQcOP9AH57Q_14_13"/>
      <w:bookmarkStart w:id="3508" w:name="Tc_Y4EaWuf-TE2QcF8sXbbE1Q_14_11"/>
      <w:bookmarkStart w:id="3509" w:name="Tc_RWpzKN8ya0GcSGSI8Zp-gw_14_6"/>
      <w:bookmarkStart w:id="3510" w:name="Tc_UUZ1ybfpyEyX_t0LkXfMeA_14_0"/>
      <w:bookmarkStart w:id="3511" w:name="Tc_y1yN_0jdfkuI_2SJdiK1ZA_13_0"/>
      <w:bookmarkStart w:id="3512" w:name="Tc_H9WnwbrpDkWQmVMsMIXTdw_12_16"/>
      <w:bookmarkStart w:id="3513" w:name="Tc_cJC-wBVXl0qCQPLCZU8Tng_12_11"/>
      <w:bookmarkStart w:id="3514" w:name="Tc_NcfeDLkeZ0Oii9JNE3dd1A_12_6"/>
      <w:bookmarkStart w:id="3515" w:name="Tc_9Hyry3i7GkOw8BbcJBWsHw_12_0"/>
      <w:bookmarkStart w:id="3516" w:name="Tc_mvcQd34wrUaA9wo-Q6XbxA_11_15"/>
      <w:bookmarkStart w:id="3517" w:name="Tc_yw2oEoHhn0ig6dpMII_Sow_11_13"/>
      <w:bookmarkStart w:id="3518" w:name="Tc_7E1NhDJm00KM81Xx2VnFDg_11_11"/>
      <w:bookmarkStart w:id="3519" w:name="Tc_5NKRtNj5J0iKWuvukawhzw_11_6"/>
      <w:bookmarkStart w:id="3520" w:name="Tc_X14ryD3SAUKAGw0QfEHEnw_11_0"/>
      <w:bookmarkStart w:id="3521" w:name="Tc_UlmNVwl4oUyp80Pow-WtGg_10_13"/>
      <w:bookmarkStart w:id="3522" w:name="Tc_8kDKJsh59E2KrQhM3aHppQ_10_0"/>
      <w:bookmarkStart w:id="3523" w:name="Tc_yu0SC2eI80ik82r4ymffgg_9_16"/>
      <w:bookmarkStart w:id="3524" w:name="Tc_fuRCYCIhSku78GbRThFVGQ_9_11"/>
      <w:bookmarkStart w:id="3525" w:name="Tc_ffcodqr270WddvbrBdfN4Q_9_6"/>
      <w:bookmarkStart w:id="3526" w:name="Tc_1BidNQ7n1UCdK7pgwuedVQ_9_0"/>
      <w:bookmarkStart w:id="3527" w:name="Tc_5pB7pYwHD0arRfBXX_AIhw_8_15"/>
      <w:bookmarkStart w:id="3528" w:name="Tc_AwlKhn7p_Ui_RmJfOYNSuQ_8_13"/>
      <w:bookmarkStart w:id="3529" w:name="Tc_r2X6GjN470-7V5TVQd01dQ_8_12"/>
      <w:bookmarkStart w:id="3530" w:name="Tc_uQX-Ccb_-UWI1-tQhG1nww_8_11"/>
      <w:bookmarkStart w:id="3531" w:name="Tc_DX_AMTJMHUSzBGD5H6m_dA_8_7"/>
      <w:bookmarkStart w:id="3532" w:name="Tc_CoxD633kYUmlwiz67BOMxQ_8_6"/>
      <w:bookmarkStart w:id="3533" w:name="Tc_cC0I9atPuUCKHafRb9wiEg_8_2"/>
      <w:bookmarkStart w:id="3534" w:name="Tc_NFJhgwlNw0yFWrcoEqzusw_8_0"/>
      <w:bookmarkStart w:id="3535" w:name="Tc_SfgKWCARHkuGxCkXGiUvUQ_7_0"/>
      <w:bookmarkStart w:id="3536" w:name="Tc_NgUF_hUyhUi89aV_YqIM-g_6_15"/>
      <w:bookmarkStart w:id="3537" w:name="Tc_3oSlIFvTYEiRS9Sowp3bbQ_6_12"/>
      <w:bookmarkStart w:id="3538" w:name="Tc_rgrxfpycjkGH93xaT52WnA_6_10"/>
      <w:bookmarkStart w:id="3539" w:name="Tc_jKYs2pHkeEWnL8eNf3nrCQ_6_7"/>
      <w:bookmarkStart w:id="3540" w:name="Tc_6lAuKU9rIkyTJQOhPY8LVQ_6_5"/>
      <w:bookmarkStart w:id="3541" w:name="Tc_WjOgyV5nJEG7FES1mpKJyw_6_2"/>
      <w:bookmarkStart w:id="3542" w:name="Tc_CfA3AeBtUUq8ETEK9wYSVA_6_0"/>
      <w:bookmarkStart w:id="3543" w:name="Tc_HMX_CuvD60qfQ_6fm8l13w_5_12"/>
      <w:bookmarkStart w:id="3544" w:name="Tc_rmVfVfs6B0qBYPoonz9asA_5_7"/>
      <w:bookmarkStart w:id="3545" w:name="Tc_oPLirKlUKECHZQg3QmuuXw_5_2"/>
      <w:bookmarkStart w:id="3546" w:name="Tc_EUqfaPO9VUy7WQJfgvbyNA_4_12"/>
      <w:bookmarkStart w:id="3547" w:name="Tc_IG5HgL7ddUGqv7oIY-jjew_4_7"/>
      <w:bookmarkStart w:id="3548" w:name="Tc_QGhKwXBdsEKf1BmE3eSrdA_3_12"/>
      <w:bookmarkStart w:id="3549" w:name="Tc_5P6_3ssQxEO9hjGA1ea_qw_3_7"/>
      <w:bookmarkStart w:id="3550" w:name="Tc_T3lGyZjrKkWMDDD6UIfeNQ_2_12"/>
      <w:bookmarkStart w:id="3551" w:name="Tc_rqKTCzv2eES35Os5V3Lggg_1_2"/>
      <w:bookmarkStart w:id="3552" w:name="_60db9b79_7481_41d6_9947_39326bad6cd3"/>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r>
        <w:rPr>
          <w:rFonts w:ascii="Times New Roman;Times;serif" w:hAnsi="Times New Roman;Times;serif"/>
          <w:sz w:val="20"/>
        </w:rPr>
        <w:t>The following table presents the Company’s and the Bank’s actual capital amounts and ratios as of March 31, 2024 and December 31,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14"/>
        <w:gridCol w:w="326"/>
        <w:gridCol w:w="196"/>
        <w:gridCol w:w="691"/>
        <w:gridCol w:w="326"/>
        <w:gridCol w:w="511"/>
        <w:gridCol w:w="346"/>
        <w:gridCol w:w="196"/>
        <w:gridCol w:w="691"/>
        <w:gridCol w:w="326"/>
        <w:gridCol w:w="511"/>
        <w:gridCol w:w="346"/>
        <w:gridCol w:w="196"/>
        <w:gridCol w:w="691"/>
        <w:gridCol w:w="326"/>
        <w:gridCol w:w="511"/>
        <w:gridCol w:w="301"/>
      </w:tblGrid>
      <w:tr>
        <w:trPr/>
        <w:tc>
          <w:tcPr>
            <w:tcW w:w="3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07010" cy="175260"/>
                      <wp:effectExtent l="0" t="0" r="0" b="0"/>
                      <wp:wrapNone/>
                      <wp:docPr id="602" name="Frame6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24460" cy="175260"/>
                      <wp:effectExtent l="0" t="0" r="0" b="0"/>
                      <wp:wrapNone/>
                      <wp:docPr id="603" name="Frame6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438785" cy="175260"/>
                      <wp:effectExtent l="0" t="0" r="0" b="0"/>
                      <wp:wrapNone/>
                      <wp:docPr id="604" name="Frame6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07010" cy="175260"/>
                      <wp:effectExtent l="0" t="0" r="0" b="0"/>
                      <wp:wrapNone/>
                      <wp:docPr id="605" name="Frame6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324485" cy="175260"/>
                      <wp:effectExtent l="0" t="0" r="0" b="0"/>
                      <wp:wrapNone/>
                      <wp:docPr id="606" name="Frame60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19710" cy="175260"/>
                      <wp:effectExtent l="0" t="0" r="0" b="0"/>
                      <wp:wrapNone/>
                      <wp:docPr id="607" name="Frame6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24460" cy="175260"/>
                      <wp:effectExtent l="0" t="0" r="0" b="0"/>
                      <wp:wrapNone/>
                      <wp:docPr id="608" name="Frame6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438785" cy="175260"/>
                      <wp:effectExtent l="0" t="0" r="0" b="0"/>
                      <wp:wrapNone/>
                      <wp:docPr id="609" name="Frame6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07010" cy="175260"/>
                      <wp:effectExtent l="0" t="0" r="0" b="0"/>
                      <wp:wrapNone/>
                      <wp:docPr id="610" name="Frame6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324485" cy="175260"/>
                      <wp:effectExtent l="0" t="0" r="0" b="0"/>
                      <wp:wrapNone/>
                      <wp:docPr id="611" name="Frame61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612" name="Frame6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24460" cy="175260"/>
                      <wp:effectExtent l="0" t="0" r="0" b="0"/>
                      <wp:wrapNone/>
                      <wp:docPr id="613" name="Frame6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438785" cy="175260"/>
                      <wp:effectExtent l="0" t="0" r="0" b="0"/>
                      <wp:wrapNone/>
                      <wp:docPr id="614" name="Frame6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07010" cy="175260"/>
                      <wp:effectExtent l="0" t="0" r="0" b="0"/>
                      <wp:wrapNone/>
                      <wp:docPr id="615" name="Frame6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324485" cy="175260"/>
                      <wp:effectExtent l="0" t="0" r="0" b="0"/>
                      <wp:wrapNone/>
                      <wp:docPr id="616" name="Frame61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91135" cy="175260"/>
                      <wp:effectExtent l="0" t="0" r="0" b="0"/>
                      <wp:wrapNone/>
                      <wp:docPr id="617" name="Frame61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6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01" w:type="dxa"/>
            <w:tcBorders/>
            <w:vAlign w:val="center"/>
          </w:tcPr>
          <w:p>
            <w:pPr>
              <w:pStyle w:val="TableContents"/>
              <w:bidi w:val="0"/>
              <w:spacing w:before="0" w:after="0"/>
              <w:ind w:left="0" w:right="0" w:hanging="0"/>
              <w:jc w:val="left"/>
              <w:rPr/>
            </w:pPr>
            <w:r>
              <w:rPr/>
              <w:t> </w:t>
            </w:r>
          </w:p>
        </w:tc>
      </w:tr>
      <w:tr>
        <w:trPr/>
        <w:tc>
          <w:tcPr>
            <w:tcW w:w="3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Minimum to be</w:t>
            </w:r>
          </w:p>
        </w:tc>
        <w:tc>
          <w:tcPr>
            <w:tcW w:w="301" w:type="dxa"/>
            <w:tcBorders/>
            <w:vAlign w:val="center"/>
          </w:tcPr>
          <w:p>
            <w:pPr>
              <w:pStyle w:val="TableContents"/>
              <w:bidi w:val="0"/>
              <w:spacing w:before="0" w:after="0"/>
              <w:ind w:left="0" w:right="0" w:hanging="0"/>
              <w:jc w:val="left"/>
              <w:rPr/>
            </w:pPr>
            <w:r>
              <w:rPr/>
              <w:t>​</w:t>
            </w:r>
          </w:p>
        </w:tc>
      </w:tr>
      <w:tr>
        <w:trPr/>
        <w:tc>
          <w:tcPr>
            <w:tcW w:w="3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Minimum Required</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Well Capitalized</w:t>
            </w:r>
          </w:p>
        </w:tc>
        <w:tc>
          <w:tcPr>
            <w:tcW w:w="301" w:type="dxa"/>
            <w:tcBorders/>
            <w:vAlign w:val="center"/>
          </w:tcPr>
          <w:p>
            <w:pPr>
              <w:pStyle w:val="TableContents"/>
              <w:bidi w:val="0"/>
              <w:spacing w:before="0" w:after="0"/>
              <w:ind w:left="0" w:right="0" w:hanging="0"/>
              <w:jc w:val="left"/>
              <w:rPr/>
            </w:pPr>
            <w:r>
              <w:rPr/>
              <w:t> </w:t>
            </w:r>
          </w:p>
        </w:tc>
      </w:tr>
      <w:tr>
        <w:trPr/>
        <w:tc>
          <w:tcPr>
            <w:tcW w:w="3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Capital </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Prompt</w:t>
            </w:r>
          </w:p>
        </w:tc>
        <w:tc>
          <w:tcPr>
            <w:tcW w:w="301" w:type="dxa"/>
            <w:tcBorders/>
            <w:vAlign w:val="center"/>
          </w:tcPr>
          <w:p>
            <w:pPr>
              <w:pStyle w:val="TableContents"/>
              <w:bidi w:val="0"/>
              <w:spacing w:before="0" w:after="0"/>
              <w:ind w:left="0" w:right="0" w:hanging="0"/>
              <w:jc w:val="left"/>
              <w:rPr/>
            </w:pPr>
            <w:r>
              <w:rPr/>
              <w:t> </w:t>
            </w:r>
          </w:p>
        </w:tc>
      </w:tr>
      <w:tr>
        <w:trPr/>
        <w:tc>
          <w:tcPr>
            <w:tcW w:w="3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Adequacy Purposes</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Corrective Action </w:t>
            </w:r>
            <w:r>
              <w:rPr>
                <w:rFonts w:ascii="Times New Roman;Times;serif" w:hAnsi="Times New Roman;Times;serif"/>
                <w:b/>
                <w:sz w:val="14"/>
              </w:rPr>
              <w:t>(1)</w:t>
            </w:r>
          </w:p>
        </w:tc>
        <w:tc>
          <w:tcPr>
            <w:tcW w:w="301" w:type="dxa"/>
            <w:tcBorders/>
            <w:vAlign w:val="center"/>
          </w:tcPr>
          <w:p>
            <w:pPr>
              <w:pStyle w:val="TableContents"/>
              <w:bidi w:val="0"/>
              <w:spacing w:before="0" w:after="0"/>
              <w:ind w:left="0" w:right="0" w:hanging="0"/>
              <w:jc w:val="left"/>
              <w:rPr/>
            </w:pPr>
            <w:r>
              <w:rPr/>
              <w:t> </w:t>
            </w:r>
          </w:p>
        </w:tc>
      </w:tr>
      <w:tr>
        <w:trPr/>
        <w:tc>
          <w:tcPr>
            <w:tcW w:w="3714"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Ratio</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Ratio</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Ratio</w:t>
            </w:r>
          </w:p>
        </w:tc>
        <w:tc>
          <w:tcPr>
            <w:tcW w:w="301" w:type="dxa"/>
            <w:tcBorders/>
            <w:vAlign w:val="center"/>
          </w:tcPr>
          <w:p>
            <w:pPr>
              <w:pStyle w:val="TableContents"/>
              <w:bidi w:val="0"/>
              <w:spacing w:before="0" w:after="0"/>
              <w:ind w:left="0" w:right="0" w:hanging="0"/>
              <w:jc w:val="left"/>
              <w:rPr/>
            </w:pPr>
            <w:r>
              <w:rPr/>
              <w:t> </w:t>
            </w:r>
          </w:p>
        </w:tc>
      </w:tr>
      <w:tr>
        <w:trPr/>
        <w:tc>
          <w:tcPr>
            <w:tcW w:w="37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equity tier 1 capital to risk weighted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714"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Consolidated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387,012</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146,733</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01" w:type="dxa"/>
            <w:tcBorders/>
            <w:vAlign w:val="center"/>
          </w:tcPr>
          <w:p>
            <w:pPr>
              <w:pStyle w:val="TableContents"/>
              <w:bidi w:val="0"/>
              <w:spacing w:before="0" w:after="0"/>
              <w:ind w:left="0" w:right="0" w:hanging="0"/>
              <w:jc w:val="left"/>
              <w:rPr/>
            </w:pPr>
            <w:r>
              <w:rPr/>
              <w:t>​</w:t>
            </w:r>
          </w:p>
        </w:tc>
      </w:tr>
      <w:tr>
        <w:trPr/>
        <w:tc>
          <w:tcPr>
            <w:tcW w:w="37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Bank</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371,632</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142,616</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206,001</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7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Tier 1 capital to risk weighted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w:t>
            </w:r>
          </w:p>
        </w:tc>
      </w:tr>
      <w:tr>
        <w:trPr/>
        <w:tc>
          <w:tcPr>
            <w:tcW w:w="371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Consolidated </w:t>
            </w: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395,997</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195,644</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7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Bank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371,632</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190,155</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253,540</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7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capital to risk weighted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714"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Consolidated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486,789</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260,858</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01" w:type="dxa"/>
            <w:tcBorders/>
            <w:vAlign w:val="center"/>
          </w:tcPr>
          <w:p>
            <w:pPr>
              <w:pStyle w:val="TableContents"/>
              <w:bidi w:val="0"/>
              <w:spacing w:before="0" w:after="0"/>
              <w:ind w:left="0" w:right="0" w:hanging="0"/>
              <w:jc w:val="left"/>
              <w:rPr/>
            </w:pPr>
            <w:r>
              <w:rPr/>
              <w:t>​</w:t>
            </w:r>
          </w:p>
        </w:tc>
      </w:tr>
      <w:tr>
        <w:trPr/>
        <w:tc>
          <w:tcPr>
            <w:tcW w:w="37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Bank</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411,294</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253,540</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316,925</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7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Tier 1 capital to average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w:t>
            </w:r>
          </w:p>
        </w:tc>
      </w:tr>
      <w:tr>
        <w:trPr/>
        <w:tc>
          <w:tcPr>
            <w:tcW w:w="371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Consolidated </w:t>
            </w: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395,997</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160,216</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7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Bank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371,632</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159,882</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199,852</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Minimum to be Well Capitalized Under Prompt Corrective Action” is not formally defined under applicable banking regulations for bank holding companies.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14"/>
        <w:gridCol w:w="326"/>
        <w:gridCol w:w="196"/>
        <w:gridCol w:w="691"/>
        <w:gridCol w:w="326"/>
        <w:gridCol w:w="511"/>
        <w:gridCol w:w="346"/>
        <w:gridCol w:w="196"/>
        <w:gridCol w:w="691"/>
        <w:gridCol w:w="326"/>
        <w:gridCol w:w="511"/>
        <w:gridCol w:w="346"/>
        <w:gridCol w:w="196"/>
        <w:gridCol w:w="691"/>
        <w:gridCol w:w="326"/>
        <w:gridCol w:w="511"/>
        <w:gridCol w:w="301"/>
      </w:tblGrid>
      <w:tr>
        <w:trPr/>
        <w:tc>
          <w:tcPr>
            <w:tcW w:w="3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07010" cy="175260"/>
                      <wp:effectExtent l="0" t="0" r="0" b="0"/>
                      <wp:wrapNone/>
                      <wp:docPr id="618" name="Frame6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24460" cy="175260"/>
                      <wp:effectExtent l="0" t="0" r="0" b="0"/>
                      <wp:wrapNone/>
                      <wp:docPr id="619" name="Frame6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438785" cy="175260"/>
                      <wp:effectExtent l="0" t="0" r="0" b="0"/>
                      <wp:wrapNone/>
                      <wp:docPr id="620" name="Frame6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07010" cy="175260"/>
                      <wp:effectExtent l="0" t="0" r="0" b="0"/>
                      <wp:wrapNone/>
                      <wp:docPr id="621" name="Frame6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324485" cy="175260"/>
                      <wp:effectExtent l="0" t="0" r="0" b="0"/>
                      <wp:wrapNone/>
                      <wp:docPr id="622" name="Frame62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19710" cy="175260"/>
                      <wp:effectExtent l="0" t="0" r="0" b="0"/>
                      <wp:wrapNone/>
                      <wp:docPr id="623" name="Frame6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124460" cy="175260"/>
                      <wp:effectExtent l="0" t="0" r="0" b="0"/>
                      <wp:wrapNone/>
                      <wp:docPr id="624" name="Frame6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438785" cy="175260"/>
                      <wp:effectExtent l="0" t="0" r="0" b="0"/>
                      <wp:wrapNone/>
                      <wp:docPr id="625" name="Frame6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07010" cy="175260"/>
                      <wp:effectExtent l="0" t="0" r="0" b="0"/>
                      <wp:wrapNone/>
                      <wp:docPr id="626" name="Frame6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324485" cy="175260"/>
                      <wp:effectExtent l="0" t="0" r="0" b="0"/>
                      <wp:wrapNone/>
                      <wp:docPr id="627" name="Frame62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19710" cy="175260"/>
                      <wp:effectExtent l="0" t="0" r="0" b="0"/>
                      <wp:wrapNone/>
                      <wp:docPr id="628" name="Frame6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24460" cy="175260"/>
                      <wp:effectExtent l="0" t="0" r="0" b="0"/>
                      <wp:wrapNone/>
                      <wp:docPr id="629" name="Frame6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438785" cy="175260"/>
                      <wp:effectExtent l="0" t="0" r="0" b="0"/>
                      <wp:wrapNone/>
                      <wp:docPr id="630" name="Frame6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07010" cy="175260"/>
                      <wp:effectExtent l="0" t="0" r="0" b="0"/>
                      <wp:wrapNone/>
                      <wp:docPr id="631" name="Frame6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324485" cy="175260"/>
                      <wp:effectExtent l="0" t="0" r="0" b="0"/>
                      <wp:wrapNone/>
                      <wp:docPr id="632" name="Frame63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91135" cy="175260"/>
                      <wp:effectExtent l="0" t="0" r="0" b="0"/>
                      <wp:wrapNone/>
                      <wp:docPr id="633" name="Frame63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6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01" w:type="dxa"/>
            <w:tcBorders/>
            <w:vAlign w:val="center"/>
          </w:tcPr>
          <w:p>
            <w:pPr>
              <w:pStyle w:val="TableContents"/>
              <w:bidi w:val="0"/>
              <w:spacing w:before="0" w:after="0"/>
              <w:ind w:left="0" w:right="0" w:hanging="0"/>
              <w:jc w:val="left"/>
              <w:rPr/>
            </w:pPr>
            <w:r>
              <w:rPr/>
              <w:t> </w:t>
            </w:r>
          </w:p>
        </w:tc>
      </w:tr>
      <w:tr>
        <w:trPr/>
        <w:tc>
          <w:tcPr>
            <w:tcW w:w="3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Minimum to be</w:t>
            </w:r>
          </w:p>
        </w:tc>
        <w:tc>
          <w:tcPr>
            <w:tcW w:w="301" w:type="dxa"/>
            <w:tcBorders/>
            <w:vAlign w:val="center"/>
          </w:tcPr>
          <w:p>
            <w:pPr>
              <w:pStyle w:val="TableContents"/>
              <w:bidi w:val="0"/>
              <w:spacing w:before="0" w:after="0"/>
              <w:ind w:left="0" w:right="0" w:hanging="0"/>
              <w:jc w:val="left"/>
              <w:rPr/>
            </w:pPr>
            <w:r>
              <w:rPr/>
              <w:t>​</w:t>
            </w:r>
          </w:p>
        </w:tc>
      </w:tr>
      <w:tr>
        <w:trPr/>
        <w:tc>
          <w:tcPr>
            <w:tcW w:w="3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Minimum Required</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Well Capitalized</w:t>
            </w:r>
          </w:p>
        </w:tc>
        <w:tc>
          <w:tcPr>
            <w:tcW w:w="301" w:type="dxa"/>
            <w:tcBorders/>
            <w:vAlign w:val="center"/>
          </w:tcPr>
          <w:p>
            <w:pPr>
              <w:pStyle w:val="TableContents"/>
              <w:bidi w:val="0"/>
              <w:spacing w:before="0" w:after="0"/>
              <w:ind w:left="0" w:right="0" w:hanging="0"/>
              <w:jc w:val="left"/>
              <w:rPr/>
            </w:pPr>
            <w:r>
              <w:rPr/>
              <w:t> </w:t>
            </w:r>
          </w:p>
        </w:tc>
      </w:tr>
      <w:tr>
        <w:trPr/>
        <w:tc>
          <w:tcPr>
            <w:tcW w:w="3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Capital </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Prompt</w:t>
            </w:r>
          </w:p>
        </w:tc>
        <w:tc>
          <w:tcPr>
            <w:tcW w:w="301" w:type="dxa"/>
            <w:tcBorders/>
            <w:vAlign w:val="center"/>
          </w:tcPr>
          <w:p>
            <w:pPr>
              <w:pStyle w:val="TableContents"/>
              <w:bidi w:val="0"/>
              <w:spacing w:before="0" w:after="0"/>
              <w:ind w:left="0" w:right="0" w:hanging="0"/>
              <w:jc w:val="left"/>
              <w:rPr/>
            </w:pPr>
            <w:r>
              <w:rPr/>
              <w:t> </w:t>
            </w:r>
          </w:p>
        </w:tc>
      </w:tr>
      <w:tr>
        <w:trPr/>
        <w:tc>
          <w:tcPr>
            <w:tcW w:w="37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Adequacy Purposes</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Corrective Action </w:t>
            </w:r>
            <w:r>
              <w:rPr>
                <w:rFonts w:ascii="Times New Roman;Times;serif" w:hAnsi="Times New Roman;Times;serif"/>
                <w:b/>
                <w:sz w:val="14"/>
              </w:rPr>
              <w:t>(1)</w:t>
            </w:r>
          </w:p>
        </w:tc>
        <w:tc>
          <w:tcPr>
            <w:tcW w:w="301" w:type="dxa"/>
            <w:tcBorders/>
            <w:vAlign w:val="center"/>
          </w:tcPr>
          <w:p>
            <w:pPr>
              <w:pStyle w:val="TableContents"/>
              <w:bidi w:val="0"/>
              <w:spacing w:before="0" w:after="0"/>
              <w:ind w:left="0" w:right="0" w:hanging="0"/>
              <w:jc w:val="left"/>
              <w:rPr/>
            </w:pPr>
            <w:r>
              <w:rPr/>
              <w:t> </w:t>
            </w:r>
          </w:p>
        </w:tc>
      </w:tr>
      <w:tr>
        <w:trPr/>
        <w:tc>
          <w:tcPr>
            <w:tcW w:w="3714"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Ratio</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Ratio</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Ratio</w:t>
            </w:r>
          </w:p>
        </w:tc>
        <w:tc>
          <w:tcPr>
            <w:tcW w:w="301" w:type="dxa"/>
            <w:tcBorders/>
            <w:vAlign w:val="center"/>
          </w:tcPr>
          <w:p>
            <w:pPr>
              <w:pStyle w:val="TableContents"/>
              <w:bidi w:val="0"/>
              <w:spacing w:before="0" w:after="0"/>
              <w:ind w:left="0" w:right="0" w:hanging="0"/>
              <w:jc w:val="left"/>
              <w:rPr/>
            </w:pPr>
            <w:r>
              <w:rPr/>
              <w:t> </w:t>
            </w:r>
          </w:p>
        </w:tc>
      </w:tr>
      <w:tr>
        <w:trPr/>
        <w:tc>
          <w:tcPr>
            <w:tcW w:w="37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equity tier 1 capital to risk weighted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714"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Consolidated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382,578</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145,605</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01" w:type="dxa"/>
            <w:tcBorders/>
            <w:vAlign w:val="center"/>
          </w:tcPr>
          <w:p>
            <w:pPr>
              <w:pStyle w:val="TableContents"/>
              <w:bidi w:val="0"/>
              <w:spacing w:before="0" w:after="0"/>
              <w:ind w:left="0" w:right="0" w:hanging="0"/>
              <w:jc w:val="left"/>
              <w:rPr/>
            </w:pPr>
            <w:r>
              <w:rPr/>
              <w:t>​</w:t>
            </w:r>
          </w:p>
        </w:tc>
      </w:tr>
      <w:tr>
        <w:trPr/>
        <w:tc>
          <w:tcPr>
            <w:tcW w:w="37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Bank</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367,445</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145,101</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209,590</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7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Tier 1 capital to risk weighted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w:t>
            </w:r>
          </w:p>
        </w:tc>
      </w:tr>
      <w:tr>
        <w:trPr/>
        <w:tc>
          <w:tcPr>
            <w:tcW w:w="371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Consolidated </w:t>
            </w: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391,534</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194,139</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7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Bank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367,445</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193,468</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257,957</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7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capital to risk weighted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  </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714"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Consolidated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477,590</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258,853</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01" w:type="dxa"/>
            <w:tcBorders/>
            <w:vAlign w:val="center"/>
          </w:tcPr>
          <w:p>
            <w:pPr>
              <w:pStyle w:val="TableContents"/>
              <w:bidi w:val="0"/>
              <w:spacing w:before="0" w:after="0"/>
              <w:ind w:left="0" w:right="0" w:hanging="0"/>
              <w:jc w:val="left"/>
              <w:rPr/>
            </w:pPr>
            <w:r>
              <w:rPr/>
              <w:t>​</w:t>
            </w:r>
          </w:p>
        </w:tc>
      </w:tr>
      <w:tr>
        <w:trPr/>
        <w:tc>
          <w:tcPr>
            <w:tcW w:w="37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Bank</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403,501</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257,957</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322,446</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7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Tier 1 capital to average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w:t>
            </w:r>
          </w:p>
        </w:tc>
      </w:tr>
      <w:tr>
        <w:trPr/>
        <w:tc>
          <w:tcPr>
            <w:tcW w:w="371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Consolidated </w:t>
            </w: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391,534</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148,111</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371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Bank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367,445</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148,186</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185,232</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Minimum to be Well Capitalized Under Prompt Corrective Action” is not formally defined under applicable banking regulations for bank holding companies.</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Bank is subject to certain restrictions on the amount of dividends that it may pay without prior regulatory approval. The Company and the Bank are subject to the rules of the Basel III regulatory capital framework and related Dodd-Frank Wall Street Reform and Consumer Protection Act rules. The rules include a 2.5 percent capital conservation buffer that is added to the minimum requirements for capital adequacy purposes. A banking organization with a conservation buffer of less than the required amount will be subject to the limitations on capital distributions, including dividend payments and certain discretionary bonus payments to executive officers. As of March 31, 2024, the capital ratios for the Company and the Bank were sufficient to meet the conservation buffer. In addition, the Company must adhere to various U.S. Department of Housing and Urban Development, or HUD, regulatory guidelines including required minimum capital and liquidity to maintain their Federal Housing Administration approval status. Failure to comply with the HUD guidelines could result in withdrawal of this certification. As of March 31, 2024 and December 31, 2023, the Company was in compliance with the aforementioned guidelines.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553" w:name="Tc_PmYN9SADwUOGa8Whdi858A_15_6"/>
      <w:bookmarkStart w:id="3554" w:name="Tc_NmPprB0O9EiNen2n2uK3og_15_0"/>
      <w:bookmarkStart w:id="3555" w:name="Tc_8H_a68JBVUeX2FskenUXuQ_14_6"/>
      <w:bookmarkStart w:id="3556" w:name="Tc_QdOvX8ZOj0i9IjAYJ4cR1A_14_0"/>
      <w:bookmarkStart w:id="3557" w:name="Tc_tS9dHPqUKE6GTMefuYPjIg_13_9"/>
      <w:bookmarkStart w:id="3558" w:name="Tc_44MkQgW2hkGrxHpVCmMZfA_13_6"/>
      <w:bookmarkStart w:id="3559" w:name="Tc_VLs_4dGiO0WHf_wSmGcdYg_13_0"/>
      <w:bookmarkStart w:id="3560" w:name="Tc_TFqO2wA16kizwjHuQoXGCw_12_6"/>
      <w:bookmarkStart w:id="3561" w:name="Tc_X5Rrt117ok-HPKcTXcfxrQ_12_0"/>
      <w:bookmarkStart w:id="3562" w:name="Tc_Yt8DLnfG2kiLgnqrTuVBdA_11_11"/>
      <w:bookmarkStart w:id="3563" w:name="Tc_ptdA0r1QAkG_rhesFBvflQ_11_8"/>
      <w:bookmarkStart w:id="3564" w:name="Tc_PAAzJHEplk6ytF4x045WcQ_11_6"/>
      <w:bookmarkStart w:id="3565" w:name="Tc_CiOAaHH200yqn2UJZv7Tdg_11_5"/>
      <w:bookmarkStart w:id="3566" w:name="Tc_IJOqfa5160KhrhPBbTazZQ_11_2"/>
      <w:bookmarkStart w:id="3567" w:name="Tc_9CZyEbflC02fZGjQa3VuHw_11_0"/>
      <w:bookmarkStart w:id="3568" w:name="Tc_wQFMBUJ_fk2rWX6m_taviA_9_2"/>
      <w:bookmarkStart w:id="3569" w:name="Tc_llJ5s4cQeUe4ayaKiDQI_w_9_0"/>
      <w:bookmarkStart w:id="3570" w:name="Tc_wx3WJJrTDEaQusK731lIJA_8_0"/>
      <w:bookmarkStart w:id="3571" w:name="Tc_cRFppLqwSUmQ-tmew0ejKg_7_9"/>
      <w:bookmarkStart w:id="3572" w:name="Tc_OcIiwmBuVkyH1YCGaNYbfA_7_0"/>
      <w:bookmarkStart w:id="3573" w:name="Tc_F6XPCdDAqE2MmCaZ2cmJLQ_6_0"/>
      <w:bookmarkStart w:id="3574" w:name="Tc_r8Q4KjKeC0eFfhSOSOzwQw_5_11"/>
      <w:bookmarkStart w:id="3575" w:name="Tc_HNB4jh1-v0ikkYFEgZg6cw_5_8"/>
      <w:bookmarkStart w:id="3576" w:name="Tc_t3oPUQXLJUyyhLigw7kt4A_5_5"/>
      <w:bookmarkStart w:id="3577" w:name="Tc_BTsJVPGOyEWiu9Dd6Z4eCw_5_2"/>
      <w:bookmarkStart w:id="3578" w:name="Tc_vi9dcEjMwUGrPzpW8Hs46w_5_0"/>
      <w:bookmarkStart w:id="3579" w:name="Tc_v3kyrdkk00mH2rljUeH6og_4_11"/>
      <w:bookmarkStart w:id="3580" w:name="Tc_aI4bqIqi-Ua4X7d-l4VWAw_4_8"/>
      <w:bookmarkStart w:id="3581" w:name="Tc_1JRnQ0iEZk2GsqnKrtQxug_4_5"/>
      <w:bookmarkStart w:id="3582" w:name="Tc_2_koi0ybjU2Mmh5s3xUkbw_4_2"/>
      <w:bookmarkStart w:id="3583" w:name="Tc_1lZXedeNx0KLTyY0onPxLg_4_0"/>
      <w:bookmarkStart w:id="3584" w:name="Tc_03E4V2DxbEmzujdU7j4VvQ_3_8"/>
      <w:bookmarkStart w:id="3585" w:name="Tc_EIJgKgJ59U6Oo_jyzsmgoQ_3_5"/>
      <w:bookmarkStart w:id="3586" w:name="Tc_W6FQQBtsuUGH4yYDyfkUPA_3_2"/>
      <w:bookmarkStart w:id="3587" w:name="Tc_2UMo1p7kDkmvr2e1ISVG-Q_2_8"/>
      <w:bookmarkStart w:id="3588" w:name="Tc_z58ZibEnPkytaZAKZxYf-g_2_5"/>
      <w:bookmarkStart w:id="3589" w:name="Tc_jbLTqdqDW0KlZgn9fC_7VQ_2_2"/>
      <w:bookmarkStart w:id="3590" w:name="Tc_NYldfQ68Y0S-SLYrSdTuQQ_1_8"/>
      <w:bookmarkStart w:id="3591" w:name="Tc_U4uvif3q_kaIwN8VTX8xag_1_5"/>
      <w:bookmarkStart w:id="3592" w:name="_0aaa522e_e53d_42d9_9e08_d67f12ed0957"/>
      <w:bookmarkStart w:id="3593" w:name="Tc_sB7UEMn2hEC8s-AZ9d_rCg_19_17"/>
      <w:bookmarkStart w:id="3594" w:name="Tc_RenS0vgZjUGkGgtwn0yGyQ_19_14"/>
      <w:bookmarkStart w:id="3595" w:name="Tc_Ya5TNBRT40e4jbX0xjs0Uw_19_11"/>
      <w:bookmarkStart w:id="3596" w:name="Tc_AjEUhKUOvUyKa0vkOE0DAw_19_8"/>
      <w:bookmarkStart w:id="3597" w:name="Tc_IXvpzk8-oEyXopriqWq-Fw_19_5"/>
      <w:bookmarkStart w:id="3598" w:name="Tc_r6kCH6j4oEO7YikmuaKXgg_19_2"/>
      <w:bookmarkStart w:id="3599" w:name="Tc_qKIBjV-aqkK8oqj2VQ8JKw_19_0"/>
      <w:bookmarkStart w:id="3600" w:name="Tc_jhZgxsFA5EeGJKJf8jBBeQ_18_0"/>
      <w:bookmarkStart w:id="3601" w:name="Tc_WJ6n8XZo-0q8A7IdtROvTw_17_18"/>
      <w:bookmarkStart w:id="3602" w:name="Tc_6dj_VCHAyk23XYPW7DaH9Q_17_15"/>
      <w:bookmarkStart w:id="3603" w:name="Tc_lkPM80CRIkqrV4nXlSlzzA_17_12"/>
      <w:bookmarkStart w:id="3604" w:name="Tc_LAwiRdYoQUeWWD-BephR1g_17_9"/>
      <w:bookmarkStart w:id="3605" w:name="Tc_eOKUtav61UGKvJLhwtQI_g_17_6"/>
      <w:bookmarkStart w:id="3606" w:name="Tc_MBbxvNzYWkO_p-fm6n1OqA_17_3"/>
      <w:bookmarkStart w:id="3607" w:name="Tc_6EoAxai2W0m2KAT-2ccoCQ_17_0"/>
      <w:bookmarkStart w:id="3608" w:name="Tc_fMBEmddTfk-_lVy4gXGNZA_16_0"/>
      <w:bookmarkStart w:id="3609" w:name="Tc_jGSW5x7loEOb7gsq2Y8p4Q_15_0"/>
      <w:bookmarkStart w:id="3610" w:name="Tc_ot59AXoPG0er_86VoqM-xA_14_18"/>
      <w:bookmarkStart w:id="3611" w:name="Tc_cRIZRlzAY0OvRH_kXstjQw_14_15"/>
      <w:bookmarkStart w:id="3612" w:name="Tc_jTwSEzY4bkKl3Srmp5aKtw_14_12"/>
      <w:bookmarkStart w:id="3613" w:name="Tc_i8xMqn6cIkmfckE_b98GRA_14_0"/>
      <w:bookmarkStart w:id="3614" w:name="Tc_hfYHPERIe0SD9933Isg0Eg_13_18"/>
      <w:bookmarkStart w:id="3615" w:name="Tc_O1RC_7kZSEiz0cSTdvEdsQ_13_15"/>
      <w:bookmarkStart w:id="3616" w:name="Tc_MNOjrWl1EkymeiJwSpS4tQ_13_12"/>
      <w:bookmarkStart w:id="3617" w:name="Tc_oawhaTsTPE64Us0DvuCUyQ_13_0"/>
      <w:bookmarkStart w:id="3618" w:name="Tc_WXdhfRjl90uP0naAyFtGog_12_18"/>
      <w:bookmarkStart w:id="3619" w:name="Tc_3AKOiSz6yk6RckNTbCcRZw_12_15"/>
      <w:bookmarkStart w:id="3620" w:name="Tc_XMiVuoobw0CDZd8RVUjNbQ_12_12"/>
      <w:bookmarkStart w:id="3621" w:name="Tc_CcV4NIxeZU6iRFw0qVXvrQ_12_0"/>
      <w:bookmarkStart w:id="3622" w:name="Tc_BrJMZbz97UOnMqMPujD6Yw_11_0"/>
      <w:bookmarkStart w:id="3623" w:name="Tc_PhGJtdhYJ0u4791tc_H3oQ_10_0"/>
      <w:bookmarkStart w:id="3624" w:name="Tc_43YDBC1plEG7fpkfRvPa-g_9_18"/>
      <w:bookmarkStart w:id="3625" w:name="Tc_Tpd5dxEL6UCODwXVoS6lvg_9_15"/>
      <w:bookmarkStart w:id="3626" w:name="Tc_nETC6ztv40SAzUJDVRgWeg_9_12"/>
      <w:bookmarkStart w:id="3627" w:name="Tc_M17BaVgkHUKx-n7YHfiN_g_9_9"/>
      <w:bookmarkStart w:id="3628" w:name="Tc_0aHgqAD-n0yOsSnblnA3ww_9_6"/>
      <w:bookmarkStart w:id="3629" w:name="Tc_DaG__aW7wEiZ6_lOUa6-NA_9_3"/>
      <w:bookmarkStart w:id="3630" w:name="Tc_Up1sYQlS3EqqwJBGIvJ-lg_9_0"/>
      <w:bookmarkStart w:id="3631" w:name="Tc__2GDu8BpgE-GAHi6eCyJ8g_8_0"/>
      <w:bookmarkStart w:id="3632" w:name="Tc_8aupmc1KN0KdjAsmUkP5AQ_7_17"/>
      <w:bookmarkStart w:id="3633" w:name="Tc_RcXHXhnGXUaxmuM_CY13aQ_7_14"/>
      <w:bookmarkStart w:id="3634" w:name="Tc_vxuy_cCnjkSovNr2HXEdOQ_7_11"/>
      <w:bookmarkStart w:id="3635" w:name="Tc_LFcgi-2St0i7x1NUGgHUHQ_7_8"/>
      <w:bookmarkStart w:id="3636" w:name="Tc_qEllKZojaU2bZJKFVWJtGw_7_5"/>
      <w:bookmarkStart w:id="3637" w:name="Tc_zwRkdGXaXEuXHFuAV6TUBw_7_2"/>
      <w:bookmarkStart w:id="3638" w:name="Tc_FyxpGLi7u02rl5zJmNzXFg_7_0"/>
      <w:bookmarkStart w:id="3639" w:name="Tc_ErH0pmMc6EC3URJkYgOOqw_6_0"/>
      <w:bookmarkStart w:id="3640" w:name="Tc_xLpCWN0neUuhhk376QvFRA_5_17"/>
      <w:bookmarkStart w:id="3641" w:name="Tc_zE7H0iQy40GtGvW87LFz1Q_5_14"/>
      <w:bookmarkStart w:id="3642" w:name="Tc_NDO-VwHHMkKmDQCeRA0rUA_5_11"/>
      <w:bookmarkStart w:id="3643" w:name="Tc_DGOrKvXh0U6pXDI9-o2VNQ_5_8"/>
      <w:bookmarkStart w:id="3644" w:name="Tc_kZmzvNtK3EaHzXICTsfhbQ_5_5"/>
      <w:bookmarkStart w:id="3645" w:name="Tc_cO1igumNuUe2evI5YfbdPw_5_2"/>
      <w:bookmarkStart w:id="3646" w:name="Tc_I28rAyieSEyQ8XoJWbA-eA_5_0"/>
      <w:bookmarkStart w:id="3647" w:name="Tc_lmWKE6aAjEi8COtUw5t97A_4_17"/>
      <w:bookmarkStart w:id="3648" w:name="Tc_PU5O3HuLbUOW0mdVQDgVog_4_14"/>
      <w:bookmarkStart w:id="3649" w:name="Tc_hseZJ23EEEmyQBRv3Oju9Q_4_11"/>
      <w:bookmarkStart w:id="3650" w:name="Tc_-MOIv3ZUaE-l2P5N4LlzGw_4_8"/>
      <w:bookmarkStart w:id="3651" w:name="Tc_rwTUHGehQE-yzeNxvvODhA_4_5"/>
      <w:bookmarkStart w:id="3652" w:name="Tc_xLIL58jzbUeh1QaKk3rjDg_4_2"/>
      <w:bookmarkStart w:id="3653" w:name="Tc_02oWkpUl60umD8BTxgsNEw_3_14"/>
      <w:bookmarkStart w:id="3654" w:name="Tc_BCC-eOXnUUithjo9CTdBRw_3_5"/>
      <w:bookmarkStart w:id="3655" w:name="Tc_CfXWv-q1cEW83gF-H9jxDg_2_11"/>
      <w:bookmarkStart w:id="3656" w:name="Tc_ipfpsetI6kCgZTLsDWTrIg_2_2"/>
      <w:bookmarkStart w:id="3657" w:name="Tc_yvHL08zDkUSHyuc0jQNykQ_1_2"/>
      <w:bookmarkStart w:id="3658" w:name="_6e6f2955_b0ff_41fd_9fb5_8b89ec0c0ec5"/>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r>
        <w:rPr>
          <w:rFonts w:ascii="Times New Roman;Times;serif" w:hAnsi="Times New Roman;Times;serif"/>
          <w:b/>
          <w:sz w:val="20"/>
        </w:rPr>
        <w:t>NOTE 19 Other Comprehensive Income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present a reconciliation of the changes in the components of other comprehensive income and loss for the periods indicated, including the amount of tax (expense) benefit allocated to each component: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93"/>
        <w:gridCol w:w="326"/>
        <w:gridCol w:w="196"/>
        <w:gridCol w:w="605"/>
        <w:gridCol w:w="109"/>
        <w:gridCol w:w="196"/>
        <w:gridCol w:w="476"/>
        <w:gridCol w:w="109"/>
        <w:gridCol w:w="196"/>
        <w:gridCol w:w="605"/>
        <w:gridCol w:w="326"/>
        <w:gridCol w:w="196"/>
        <w:gridCol w:w="605"/>
        <w:gridCol w:w="109"/>
        <w:gridCol w:w="196"/>
        <w:gridCol w:w="605"/>
        <w:gridCol w:w="109"/>
        <w:gridCol w:w="196"/>
        <w:gridCol w:w="652"/>
      </w:tblGrid>
      <w:tr>
        <w:trPr/>
        <w:tc>
          <w:tcPr>
            <w:tcW w:w="4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789555" cy="175260"/>
                      <wp:effectExtent l="0" t="0" r="0" b="0"/>
                      <wp:wrapNone/>
                      <wp:docPr id="634" name="Frame634"/>
                      <a:graphic xmlns:a="http://schemas.openxmlformats.org/drawingml/2006/main">
                        <a:graphicData uri="http://schemas.microsoft.com/office/word/2010/wordprocessingShape">
                          <wps:wsp>
                            <wps:cNvSpPr txBox="1"/>
                            <wps:spPr>
                              <a:xfrm>
                                <a:off x="0" y="0"/>
                                <a:ext cx="278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07010" cy="175260"/>
                      <wp:effectExtent l="0" t="0" r="0" b="0"/>
                      <wp:wrapNone/>
                      <wp:docPr id="635" name="Frame6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24460" cy="175260"/>
                      <wp:effectExtent l="0" t="0" r="0" b="0"/>
                      <wp:wrapNone/>
                      <wp:docPr id="636" name="Frame6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384175" cy="175260"/>
                      <wp:effectExtent l="0" t="0" r="0" b="0"/>
                      <wp:wrapNone/>
                      <wp:docPr id="637" name="Frame637"/>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9215" cy="175260"/>
                      <wp:effectExtent l="0" t="0" r="0" b="0"/>
                      <wp:wrapNone/>
                      <wp:docPr id="638" name="Frame6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124460" cy="175260"/>
                      <wp:effectExtent l="0" t="0" r="0" b="0"/>
                      <wp:wrapNone/>
                      <wp:docPr id="639" name="Frame6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302260" cy="175260"/>
                      <wp:effectExtent l="0" t="0" r="0" b="0"/>
                      <wp:wrapNone/>
                      <wp:docPr id="640" name="Frame640"/>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9215" cy="175260"/>
                      <wp:effectExtent l="0" t="0" r="0" b="0"/>
                      <wp:wrapNone/>
                      <wp:docPr id="641" name="Frame6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24460" cy="175260"/>
                      <wp:effectExtent l="0" t="0" r="0" b="0"/>
                      <wp:wrapNone/>
                      <wp:docPr id="642" name="Frame6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384175" cy="175260"/>
                      <wp:effectExtent l="0" t="0" r="0" b="0"/>
                      <wp:wrapNone/>
                      <wp:docPr id="643" name="Frame643"/>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07010" cy="175260"/>
                      <wp:effectExtent l="0" t="0" r="0" b="0"/>
                      <wp:wrapNone/>
                      <wp:docPr id="644" name="Frame6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24460" cy="175260"/>
                      <wp:effectExtent l="0" t="0" r="0" b="0"/>
                      <wp:wrapNone/>
                      <wp:docPr id="645" name="Frame6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384175" cy="175260"/>
                      <wp:effectExtent l="0" t="0" r="0" b="0"/>
                      <wp:wrapNone/>
                      <wp:docPr id="646" name="Frame646"/>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9215" cy="175260"/>
                      <wp:effectExtent l="0" t="0" r="0" b="0"/>
                      <wp:wrapNone/>
                      <wp:docPr id="647" name="Frame6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24460" cy="175260"/>
                      <wp:effectExtent l="0" t="0" r="0" b="0"/>
                      <wp:wrapNone/>
                      <wp:docPr id="648" name="Frame6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384175" cy="175260"/>
                      <wp:effectExtent l="0" t="0" r="0" b="0"/>
                      <wp:wrapNone/>
                      <wp:docPr id="649" name="Frame649"/>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9215" cy="175260"/>
                      <wp:effectExtent l="0" t="0" r="0" b="0"/>
                      <wp:wrapNone/>
                      <wp:docPr id="650" name="Frame6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124460" cy="175260"/>
                      <wp:effectExtent l="0" t="0" r="0" b="0"/>
                      <wp:wrapNone/>
                      <wp:docPr id="651" name="Frame6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414020" cy="175260"/>
                      <wp:effectExtent l="0" t="0" r="0" b="0"/>
                      <wp:wrapNone/>
                      <wp:docPr id="652" name="Frame652"/>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86"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For the Three Months Ended </w:t>
            </w:r>
          </w:p>
        </w:tc>
      </w:tr>
      <w:tr>
        <w:trPr/>
        <w:tc>
          <w:tcPr>
            <w:tcW w:w="43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9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March 31, 2024</w:t>
            </w:r>
          </w:p>
        </w:tc>
        <w:tc>
          <w:tcPr>
            <w:tcW w:w="326" w:type="dxa"/>
            <w:tcBorders/>
            <w:vAlign w:val="center"/>
          </w:tcPr>
          <w:p>
            <w:pPr>
              <w:pStyle w:val="TableContents"/>
              <w:bidi w:val="0"/>
              <w:spacing w:before="0" w:after="0"/>
              <w:ind w:left="0" w:right="0" w:hanging="0"/>
              <w:jc w:val="left"/>
              <w:rPr/>
            </w:pPr>
            <w:r>
              <w:rPr/>
              <w:t>    </w:t>
            </w:r>
          </w:p>
        </w:tc>
        <w:tc>
          <w:tcPr>
            <w:tcW w:w="266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March 31, 2023</w:t>
            </w:r>
          </w:p>
        </w:tc>
      </w:tr>
      <w:tr>
        <w:trPr/>
        <w:tc>
          <w:tcPr>
            <w:tcW w:w="43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Tax</w:t>
            </w:r>
          </w:p>
        </w:tc>
        <w:tc>
          <w:tcPr>
            <w:tcW w:w="109" w:type="dxa"/>
            <w:tcBorders/>
            <w:vAlign w:val="center"/>
          </w:tcPr>
          <w:p>
            <w:pPr>
              <w:pStyle w:val="TableContents"/>
              <w:bidi w:val="0"/>
              <w:spacing w:before="0" w:after="0"/>
              <w:ind w:left="0" w:right="0" w:hanging="0"/>
              <w:jc w:val="center"/>
              <w:rPr/>
            </w:pPr>
            <w:r>
              <w:rPr/>
              <w:t>​</w:t>
            </w:r>
          </w:p>
        </w:tc>
        <w:tc>
          <w:tcPr>
            <w:tcW w:w="80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0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Tax</w:t>
            </w:r>
          </w:p>
        </w:tc>
        <w:tc>
          <w:tcPr>
            <w:tcW w:w="109" w:type="dxa"/>
            <w:tcBorders/>
            <w:vAlign w:val="center"/>
          </w:tcPr>
          <w:p>
            <w:pPr>
              <w:pStyle w:val="TableContents"/>
              <w:bidi w:val="0"/>
              <w:spacing w:before="0" w:after="0"/>
              <w:ind w:left="0" w:right="0" w:hanging="0"/>
              <w:jc w:val="center"/>
              <w:rPr/>
            </w:pPr>
            <w:r>
              <w:rPr/>
              <w:t>​</w:t>
            </w:r>
          </w:p>
        </w:tc>
        <w:tc>
          <w:tcPr>
            <w:tcW w:w="848" w:type="dxa"/>
            <w:gridSpan w:val="2"/>
            <w:tcBorders/>
            <w:vAlign w:val="center"/>
          </w:tcPr>
          <w:p>
            <w:pPr>
              <w:pStyle w:val="TableContents"/>
              <w:bidi w:val="0"/>
              <w:spacing w:before="0" w:after="0"/>
              <w:ind w:left="0" w:right="0" w:hanging="0"/>
              <w:jc w:val="center"/>
              <w:rPr/>
            </w:pPr>
            <w:r>
              <w:rPr/>
              <w:t>​</w:t>
            </w:r>
          </w:p>
        </w:tc>
      </w:tr>
      <w:tr>
        <w:trPr/>
        <w:tc>
          <w:tcPr>
            <w:tcW w:w="43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Pre-Tax</w:t>
            </w:r>
          </w:p>
        </w:tc>
        <w:tc>
          <w:tcPr>
            <w:tcW w:w="109" w:type="dxa"/>
            <w:tcBorders/>
            <w:vAlign w:val="center"/>
          </w:tcPr>
          <w:p>
            <w:pPr>
              <w:pStyle w:val="TableContents"/>
              <w:bidi w:val="0"/>
              <w:spacing w:before="0" w:after="0"/>
              <w:ind w:left="0" w:right="0" w:hanging="0"/>
              <w:jc w:val="left"/>
              <w:rPr/>
            </w:pPr>
            <w:r>
              <w:rPr/>
              <w:t>​</w:t>
            </w:r>
          </w:p>
        </w:tc>
        <w:tc>
          <w:tcPr>
            <w:tcW w:w="6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(Expense)</w:t>
            </w:r>
          </w:p>
        </w:tc>
        <w:tc>
          <w:tcPr>
            <w:tcW w:w="109" w:type="dxa"/>
            <w:tcBorders/>
            <w:vAlign w:val="center"/>
          </w:tcPr>
          <w:p>
            <w:pPr>
              <w:pStyle w:val="TableContents"/>
              <w:bidi w:val="0"/>
              <w:spacing w:before="0" w:after="0"/>
              <w:ind w:left="0" w:right="0" w:hanging="0"/>
              <w:jc w:val="left"/>
              <w:rPr/>
            </w:pPr>
            <w:r>
              <w:rPr/>
              <w:t>​</w:t>
            </w:r>
          </w:p>
        </w:tc>
        <w:tc>
          <w:tcPr>
            <w:tcW w:w="8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After-Tax</w:t>
            </w:r>
          </w:p>
        </w:tc>
        <w:tc>
          <w:tcPr>
            <w:tcW w:w="326" w:type="dxa"/>
            <w:tcBorders/>
            <w:vAlign w:val="center"/>
          </w:tcPr>
          <w:p>
            <w:pPr>
              <w:pStyle w:val="TableContents"/>
              <w:bidi w:val="0"/>
              <w:spacing w:before="0" w:after="0"/>
              <w:ind w:left="0" w:right="0" w:hanging="0"/>
              <w:jc w:val="left"/>
              <w:rPr/>
            </w:pPr>
            <w:r>
              <w:rPr/>
              <w:t>​</w:t>
            </w:r>
          </w:p>
        </w:tc>
        <w:tc>
          <w:tcPr>
            <w:tcW w:w="8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Pre-Tax</w:t>
            </w:r>
          </w:p>
        </w:tc>
        <w:tc>
          <w:tcPr>
            <w:tcW w:w="109" w:type="dxa"/>
            <w:tcBorders/>
            <w:vAlign w:val="center"/>
          </w:tcPr>
          <w:p>
            <w:pPr>
              <w:pStyle w:val="TableContents"/>
              <w:bidi w:val="0"/>
              <w:spacing w:before="0" w:after="0"/>
              <w:ind w:left="0" w:right="0" w:hanging="0"/>
              <w:jc w:val="left"/>
              <w:rPr/>
            </w:pPr>
            <w:r>
              <w:rPr/>
              <w:t>​</w:t>
            </w:r>
          </w:p>
        </w:tc>
        <w:tc>
          <w:tcPr>
            <w:tcW w:w="8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(Expense)</w:t>
            </w:r>
          </w:p>
        </w:tc>
        <w:tc>
          <w:tcPr>
            <w:tcW w:w="109" w:type="dxa"/>
            <w:tcBorders/>
            <w:vAlign w:val="center"/>
          </w:tcPr>
          <w:p>
            <w:pPr>
              <w:pStyle w:val="TableContents"/>
              <w:bidi w:val="0"/>
              <w:spacing w:before="0" w:after="0"/>
              <w:ind w:left="0" w:right="0" w:hanging="0"/>
              <w:jc w:val="left"/>
              <w:rPr/>
            </w:pPr>
            <w:r>
              <w:rPr/>
              <w:t>​</w:t>
            </w:r>
          </w:p>
        </w:tc>
        <w:tc>
          <w:tcPr>
            <w:tcW w:w="848"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After-Tax</w:t>
            </w:r>
          </w:p>
        </w:tc>
      </w:tr>
      <w:tr>
        <w:trPr/>
        <w:tc>
          <w:tcPr>
            <w:tcW w:w="4393" w:type="dxa"/>
            <w:tcBorders/>
            <w:vAlign w:val="center"/>
          </w:tcPr>
          <w:p>
            <w:pPr>
              <w:pStyle w:val="TableContents"/>
              <w:bidi w:val="0"/>
              <w:spacing w:before="0" w:after="0"/>
              <w:ind w:left="0" w:right="0" w:hanging="0"/>
              <w:jc w:val="left"/>
              <w:rPr>
                <w:rFonts w:ascii="Times New Roman;Times;serif" w:hAnsi="Times New Roman;Times;serif"/>
                <w:i/>
                <w:sz w:val="14"/>
              </w:rPr>
            </w:pPr>
            <w:r>
              <w:rPr>
                <w:rFonts w:ascii="Times New Roman;Times;serif" w:hAnsi="Times New Roman;Times;serif"/>
                <w:i/>
                <w:sz w:val="14"/>
              </w:rPr>
              <w:t>(dollars in thousands)</w:t>
            </w:r>
          </w:p>
        </w:tc>
        <w:tc>
          <w:tcPr>
            <w:tcW w:w="326" w:type="dxa"/>
            <w:tcBorders/>
            <w:vAlign w:val="center"/>
          </w:tcPr>
          <w:p>
            <w:pPr>
              <w:pStyle w:val="TableContents"/>
              <w:bidi w:val="0"/>
              <w:spacing w:before="0" w:after="0"/>
              <w:ind w:left="0" w:right="0" w:hanging="0"/>
              <w:jc w:val="left"/>
              <w:rPr/>
            </w:pPr>
            <w:r>
              <w:rPr/>
              <w:t>​</w:t>
            </w:r>
          </w:p>
        </w:tc>
        <w:tc>
          <w:tcPr>
            <w:tcW w:w="8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0"/>
              <w:ind w:left="0" w:right="0" w:hanging="0"/>
              <w:jc w:val="left"/>
              <w:rPr/>
            </w:pPr>
            <w:r>
              <w:rPr/>
              <w:t>​</w:t>
            </w:r>
          </w:p>
        </w:tc>
        <w:tc>
          <w:tcPr>
            <w:tcW w:w="6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Benefit</w:t>
            </w:r>
          </w:p>
        </w:tc>
        <w:tc>
          <w:tcPr>
            <w:tcW w:w="109" w:type="dxa"/>
            <w:tcBorders/>
            <w:vAlign w:val="center"/>
          </w:tcPr>
          <w:p>
            <w:pPr>
              <w:pStyle w:val="TableContents"/>
              <w:bidi w:val="0"/>
              <w:spacing w:before="0" w:after="0"/>
              <w:ind w:left="0" w:right="0" w:hanging="0"/>
              <w:jc w:val="left"/>
              <w:rPr/>
            </w:pPr>
            <w:r>
              <w:rPr/>
              <w:t>​</w:t>
            </w:r>
          </w:p>
        </w:tc>
        <w:tc>
          <w:tcPr>
            <w:tcW w:w="8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w:t>
            </w:r>
          </w:p>
        </w:tc>
        <w:tc>
          <w:tcPr>
            <w:tcW w:w="8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0"/>
              <w:ind w:left="0" w:right="0" w:hanging="0"/>
              <w:jc w:val="left"/>
              <w:rPr/>
            </w:pPr>
            <w:r>
              <w:rPr/>
              <w:t>​</w:t>
            </w:r>
          </w:p>
        </w:tc>
        <w:tc>
          <w:tcPr>
            <w:tcW w:w="8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Benefit</w:t>
            </w:r>
          </w:p>
        </w:tc>
        <w:tc>
          <w:tcPr>
            <w:tcW w:w="109" w:type="dxa"/>
            <w:tcBorders/>
            <w:vAlign w:val="center"/>
          </w:tcPr>
          <w:p>
            <w:pPr>
              <w:pStyle w:val="TableContents"/>
              <w:bidi w:val="0"/>
              <w:spacing w:before="0" w:after="0"/>
              <w:ind w:left="0" w:right="0" w:hanging="0"/>
              <w:jc w:val="left"/>
              <w:rPr/>
            </w:pPr>
            <w:r>
              <w:rPr/>
              <w:t>​</w:t>
            </w:r>
          </w:p>
        </w:tc>
        <w:tc>
          <w:tcPr>
            <w:tcW w:w="8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r>
      <w:tr>
        <w:trPr/>
        <w:tc>
          <w:tcPr>
            <w:tcW w:w="439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7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52" w:type="dxa"/>
            <w:tcBorders/>
            <w:shd w:fill="CCEEFF" w:val="clear"/>
            <w:vAlign w:val="center"/>
          </w:tcPr>
          <w:p>
            <w:pPr>
              <w:pStyle w:val="TableContents"/>
              <w:bidi w:val="0"/>
              <w:spacing w:before="0" w:after="0"/>
              <w:ind w:left="0" w:right="0" w:hanging="0"/>
              <w:jc w:val="center"/>
              <w:rPr/>
            </w:pPr>
            <w:r>
              <w:rPr/>
              <w:t>​</w:t>
            </w:r>
          </w:p>
        </w:tc>
      </w:tr>
      <w:tr>
        <w:trPr/>
        <w:tc>
          <w:tcPr>
            <w:tcW w:w="43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3,561</w:t>
            </w:r>
          </w:p>
        </w:tc>
      </w:tr>
      <w:tr>
        <w:trPr/>
        <w:tc>
          <w:tcPr>
            <w:tcW w:w="4393"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Less: reclassification adjustment from amortization of securities transferred from AFS to HTM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r>
      <w:tr>
        <w:trPr/>
        <w:tc>
          <w:tcPr>
            <w:tcW w:w="4393"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Less: reclassification adjustment for net realized losses </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change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3,626</w:t>
            </w:r>
          </w:p>
        </w:tc>
      </w:tr>
      <w:tr>
        <w:trPr/>
        <w:tc>
          <w:tcPr>
            <w:tcW w:w="439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 Hedges: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52" w:type="dxa"/>
            <w:tcBorders/>
            <w:vAlign w:val="center"/>
          </w:tcPr>
          <w:p>
            <w:pPr>
              <w:pStyle w:val="TableContents"/>
              <w:bidi w:val="0"/>
              <w:spacing w:before="0" w:after="0"/>
              <w:ind w:left="0" w:right="0" w:hanging="0"/>
              <w:jc w:val="center"/>
              <w:rPr/>
            </w:pPr>
            <w:r>
              <w:rPr/>
              <w:t>​</w:t>
            </w:r>
          </w:p>
        </w:tc>
      </w:tr>
      <w:tr>
        <w:trPr/>
        <w:tc>
          <w:tcPr>
            <w:tcW w:w="43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pPr>
            <w:r>
              <w:rPr/>
              <w:t>—</w:t>
            </w:r>
          </w:p>
        </w:tc>
      </w:tr>
      <w:tr>
        <w:trPr/>
        <w:tc>
          <w:tcPr>
            <w:tcW w:w="4393"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Less: reclassified AOCI gain (loss) into interest expense </w:t>
            </w:r>
            <w:r>
              <w:rPr>
                <w:rFonts w:ascii="Times New Roman;Times;serif" w:hAnsi="Times New Roman;Times;serif"/>
                <w:sz w:val="12"/>
              </w:rPr>
              <w:t>(3)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change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39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Derivatives: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52" w:type="dxa"/>
            <w:tcBorders/>
            <w:vAlign w:val="center"/>
          </w:tcPr>
          <w:p>
            <w:pPr>
              <w:pStyle w:val="TableContents"/>
              <w:bidi w:val="0"/>
              <w:spacing w:before="0" w:after="0"/>
              <w:ind w:left="0" w:right="0" w:hanging="0"/>
              <w:jc w:val="center"/>
              <w:rPr/>
            </w:pPr>
            <w:r>
              <w:rPr/>
              <w:t>​</w:t>
            </w:r>
          </w:p>
        </w:tc>
      </w:tr>
      <w:tr>
        <w:trPr/>
        <w:tc>
          <w:tcPr>
            <w:tcW w:w="43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(1,292)</w:t>
            </w:r>
          </w:p>
        </w:tc>
      </w:tr>
      <w:tr>
        <w:trPr/>
        <w:tc>
          <w:tcPr>
            <w:tcW w:w="4393"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Less: reclassified AOCI gain (loss) into interest expense </w:t>
            </w:r>
            <w:r>
              <w:rPr>
                <w:rFonts w:ascii="Times New Roman;Times;serif" w:hAnsi="Times New Roman;Times;serif"/>
                <w:sz w:val="12"/>
              </w:rPr>
              <w:t>(4)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change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(1,292)</w:t>
            </w:r>
          </w:p>
        </w:tc>
      </w:tr>
      <w:tr>
        <w:trPr/>
        <w:tc>
          <w:tcPr>
            <w:tcW w:w="43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2,334</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Reclassified into taxable and/or exempt from federal income taxes interest income on investment securities on the consolidated statements of income. Refer to “NOTE 3 Investment Securities” for further details.</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Reclassified into net gains (losses) on investment securities in the consolidated statements of income. Refer to “NOTE 3 Investment Securities” for further details.</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Reclassified into interest expense on short-term borrowings on the consolidated statements of income. Refer to “NOTE 17 Derivative Instruments” for further details.</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Reclassified into interest income on loans, including fees and/or interest income on taxable investment securities on the consolidated statements of income. Refer to “NOTE 17 Derivative Instruments” for further details.</w:t>
            </w:r>
          </w:p>
        </w:tc>
      </w:tr>
    </w:tbl>
    <w:p>
      <w:pPr>
        <w:pStyle w:val="TextBody"/>
        <w:bidi w:val="0"/>
        <w:spacing w:before="0" w:after="240"/>
        <w:ind w:left="0" w:right="0" w:firstLine="720"/>
        <w:jc w:val="left"/>
        <w:rPr/>
      </w:pPr>
      <w:r>
        <w:rPr/>
        <w:t>​</w:t>
      </w:r>
    </w:p>
    <w:tbl>
      <w:tblPr>
        <w:tblW w:w="9797" w:type="dxa"/>
        <w:jc w:val="left"/>
        <w:tblInd w:w="0" w:type="dxa"/>
        <w:tblLayout w:type="fixed"/>
        <w:tblCellMar>
          <w:top w:w="0" w:type="dxa"/>
          <w:left w:w="0" w:type="dxa"/>
          <w:bottom w:w="0" w:type="dxa"/>
          <w:right w:w="0" w:type="dxa"/>
        </w:tblCellMar>
      </w:tblPr>
      <w:tblGrid>
        <w:gridCol w:w="4201"/>
        <w:gridCol w:w="326"/>
        <w:gridCol w:w="249"/>
        <w:gridCol w:w="921"/>
        <w:gridCol w:w="326"/>
        <w:gridCol w:w="361"/>
        <w:gridCol w:w="809"/>
        <w:gridCol w:w="326"/>
        <w:gridCol w:w="234"/>
        <w:gridCol w:w="756"/>
        <w:gridCol w:w="326"/>
        <w:gridCol w:w="196"/>
        <w:gridCol w:w="766"/>
      </w:tblGrid>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07010" cy="175260"/>
                      <wp:effectExtent l="0" t="0" r="0" b="0"/>
                      <wp:wrapNone/>
                      <wp:docPr id="653" name="Frame6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58115" cy="175260"/>
                      <wp:effectExtent l="0" t="0" r="0" b="0"/>
                      <wp:wrapNone/>
                      <wp:docPr id="654" name="Frame65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584835" cy="175260"/>
                      <wp:effectExtent l="0" t="0" r="0" b="0"/>
                      <wp:wrapNone/>
                      <wp:docPr id="655" name="Frame655"/>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07010" cy="175260"/>
                      <wp:effectExtent l="0" t="0" r="0" b="0"/>
                      <wp:wrapNone/>
                      <wp:docPr id="656" name="Frame6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229235" cy="175260"/>
                      <wp:effectExtent l="0" t="0" r="0" b="0"/>
                      <wp:wrapNone/>
                      <wp:docPr id="657" name="Frame65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513715" cy="175260"/>
                      <wp:effectExtent l="0" t="0" r="0" b="0"/>
                      <wp:wrapNone/>
                      <wp:docPr id="658" name="Frame658"/>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07010" cy="175260"/>
                      <wp:effectExtent l="0" t="0" r="0" b="0"/>
                      <wp:wrapNone/>
                      <wp:docPr id="659" name="Frame6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148590" cy="175260"/>
                      <wp:effectExtent l="0" t="0" r="0" b="0"/>
                      <wp:wrapNone/>
                      <wp:docPr id="660" name="Frame660"/>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480060" cy="175260"/>
                      <wp:effectExtent l="0" t="0" r="0" b="0"/>
                      <wp:wrapNone/>
                      <wp:docPr id="661" name="Frame661"/>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07010" cy="175260"/>
                      <wp:effectExtent l="0" t="0" r="0" b="0"/>
                      <wp:wrapNone/>
                      <wp:docPr id="662" name="Frame6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124460" cy="175260"/>
                      <wp:effectExtent l="0" t="0" r="0" b="0"/>
                      <wp:wrapNone/>
                      <wp:docPr id="663" name="Frame6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486410" cy="175260"/>
                      <wp:effectExtent l="0" t="0" r="0" b="0"/>
                      <wp:wrapNone/>
                      <wp:docPr id="664" name="Frame66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Net Unrealized</w:t>
            </w:r>
          </w:p>
        </w:tc>
        <w:tc>
          <w:tcPr>
            <w:tcW w:w="32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Net Unrealized</w:t>
            </w:r>
          </w:p>
        </w:tc>
        <w:tc>
          <w:tcPr>
            <w:tcW w:w="32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pPr>
            <w:r>
              <w:rPr/>
              <w:t>​</w:t>
            </w:r>
          </w:p>
        </w:tc>
      </w:tr>
      <w:tr>
        <w:trPr/>
        <w:tc>
          <w:tcPr>
            <w:tcW w:w="42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Net Unrealized</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Gains (Losses) on</w:t>
            </w:r>
          </w:p>
        </w:tc>
        <w:tc>
          <w:tcPr>
            <w:tcW w:w="32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Gains (Losses)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r>
      <w:tr>
        <w:trPr/>
        <w:tc>
          <w:tcPr>
            <w:tcW w:w="42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Gains (Losses) on</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Cash Flow</w:t>
            </w:r>
          </w:p>
        </w:tc>
        <w:tc>
          <w:tcPr>
            <w:tcW w:w="32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on Other</w:t>
            </w:r>
          </w:p>
        </w:tc>
        <w:tc>
          <w:tcPr>
            <w:tcW w:w="32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i/>
                <w:sz w:val="14"/>
              </w:rPr>
            </w:pPr>
            <w:r>
              <w:rPr>
                <w:rFonts w:ascii="Times New Roman;Times;serif" w:hAnsi="Times New Roman;Times;serif"/>
                <w:i/>
                <w:sz w:val="14"/>
              </w:rPr>
              <w:t>(dollars in thousands)</w:t>
            </w:r>
          </w:p>
        </w:tc>
        <w:tc>
          <w:tcPr>
            <w:tcW w:w="326" w:type="dxa"/>
            <w:tcBorders/>
            <w:vAlign w:val="center"/>
          </w:tcPr>
          <w:p>
            <w:pPr>
              <w:pStyle w:val="TableContents"/>
              <w:bidi w:val="0"/>
              <w:spacing w:before="0" w:after="0"/>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Debt Securities </w:t>
            </w:r>
            <w:r>
              <w:rPr>
                <w:rFonts w:ascii="Times New Roman;Times;serif" w:hAnsi="Times New Roman;Times;serif"/>
                <w:b/>
                <w:sz w:val="11"/>
              </w:rPr>
              <w:t>(1)</w:t>
            </w:r>
          </w:p>
        </w:tc>
        <w:tc>
          <w:tcPr>
            <w:tcW w:w="326" w:type="dxa"/>
            <w:tcBorders/>
            <w:vAlign w:val="center"/>
          </w:tcPr>
          <w:p>
            <w:pPr>
              <w:pStyle w:val="TableContents"/>
              <w:bidi w:val="0"/>
              <w:spacing w:before="0" w:after="0"/>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Hedges </w:t>
            </w:r>
            <w:r>
              <w:rPr>
                <w:rFonts w:ascii="Times New Roman;Times;serif" w:hAnsi="Times New Roman;Times;serif"/>
                <w:b/>
                <w:sz w:val="11"/>
              </w:rPr>
              <w:t>(1)</w:t>
            </w:r>
          </w:p>
        </w:tc>
        <w:tc>
          <w:tcPr>
            <w:tcW w:w="326" w:type="dxa"/>
            <w:tcBorders/>
            <w:vAlign w:val="center"/>
          </w:tcPr>
          <w:p>
            <w:pPr>
              <w:pStyle w:val="TableContents"/>
              <w:bidi w:val="0"/>
              <w:spacing w:before="0" w:after="0"/>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Derivatives </w:t>
            </w:r>
            <w:r>
              <w:rPr>
                <w:rFonts w:ascii="Times New Roman;Times;serif" w:hAnsi="Times New Roman;Times;serif"/>
                <w:b/>
                <w:sz w:val="11"/>
              </w:rPr>
              <w:t>(1)</w:t>
            </w:r>
          </w:p>
        </w:tc>
        <w:tc>
          <w:tcPr>
            <w:tcW w:w="326" w:type="dxa"/>
            <w:tcBorders/>
            <w:vAlign w:val="center"/>
          </w:tcPr>
          <w:p>
            <w:pPr>
              <w:pStyle w:val="TableContents"/>
              <w:bidi w:val="0"/>
              <w:spacing w:before="0" w:after="0"/>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 xml:space="preserve">AOCI </w:t>
            </w:r>
            <w:r>
              <w:rPr>
                <w:rFonts w:ascii="Times New Roman;Times;serif" w:hAnsi="Times New Roman;Times;serif"/>
                <w:b/>
                <w:sz w:val="11"/>
              </w:rPr>
              <w:t>(1)</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(73,158)</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(73,655)</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before reclassifications</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(2,579)</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(349)</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Amounts reclassified from AOCI</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(2,635)</w:t>
            </w:r>
          </w:p>
        </w:tc>
        <w:tc>
          <w:tcPr>
            <w:tcW w:w="326" w:type="dxa"/>
            <w:tcBorders/>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(75,793)</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(74,256)</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(98,547)</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(98,641)</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before reclassifications</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3,561</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2,269</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Amounts reclassified from AOCI</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3,626</w:t>
            </w:r>
          </w:p>
        </w:tc>
        <w:tc>
          <w:tcPr>
            <w:tcW w:w="326" w:type="dxa"/>
            <w:tcBorders/>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2,334</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(94,921)</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(96,307)</w:t>
            </w:r>
          </w:p>
        </w:tc>
      </w:tr>
    </w:tbl>
    <w:tbl>
      <w:tblPr>
        <w:tblW w:w="2072" w:type="dxa"/>
        <w:jc w:val="left"/>
        <w:tblInd w:w="0" w:type="dxa"/>
        <w:tblLayout w:type="fixed"/>
        <w:tblCellMar>
          <w:top w:w="0" w:type="dxa"/>
          <w:left w:w="0" w:type="dxa"/>
          <w:bottom w:w="0" w:type="dxa"/>
          <w:right w:w="0" w:type="dxa"/>
        </w:tblCellMar>
      </w:tblPr>
      <w:tblGrid>
        <w:gridCol w:w="331"/>
        <w:gridCol w:w="17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 amounts net of tax.</w:t>
            </w:r>
          </w:p>
        </w:tc>
      </w:tr>
    </w:tbl>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20 Stock Repurchase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February 18, 2021, the Board of Directors of the Company approved a stock repurchase program, or the Old Stock Repurchase Program, which authorized the Company to repurchase up to 770,000 shares of its common stock subject to certain limitations and conditions. The Old Stock Repurchase Program expired on February 18,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December 12, 2023, the Board of Directors of the Company approved a new stock repurchase program, or the New Stock Repurchase Program, which authorizes the Company to repurchase up to 1,000,000 shares of its common stock subject to certain limitations and conditions. The New Stock Repurchase Program became effective February 18, 2024, and will expire on February 18, 2027. On February 18, 2024, the New Stock Repurchase Program replaced and superseded the Old Stock Repurchase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New Stock Repurchase Program does not obligate the Company to repurchase any shares of its common stock and there is no assurance that the Company will do so. For the three months ended March 31, 2024, there were no shares repurchased under the Old Stock Repurchase Program or the New Stock Repurchase Program. The Company also repurchases shares to pay withholding taxes on the vesting of restricted stock awards and units.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21 Fair Value of Assets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categorizes its assets and liabilities measured at estimated fair value into a three level hierarchy based on the priority of the inputs to the valuation technique used to determine estimated fair value. The estimated fair value hierarchy gives the highest priority to quoted prices in active markets for identical assets or liabilities (Level 1) and the lowest priority to unobservable inputs (Level 3). If the inputs used in the determination of the estimated fair value measurement fall within different levels of the hierarchy, the categorization is based on the lowest level input that is significant to the estimated fair value measurement. Assets and liabilities valued at estimated fair value are categorized based on the following inputs to the valuation techniques as follows:</w:t>
      </w:r>
    </w:p>
    <w:p>
      <w:pPr>
        <w:pStyle w:val="TextBody"/>
        <w:bidi w:val="0"/>
        <w:spacing w:before="0" w:after="240"/>
        <w:ind w:left="720" w:right="0" w:firstLine="720"/>
        <w:jc w:val="left"/>
        <w:rPr>
          <w:rFonts w:ascii="Times New Roman;Times;serif" w:hAnsi="Times New Roman;Times;serif"/>
          <w:sz w:val="20"/>
        </w:rPr>
      </w:pPr>
      <w:r>
        <w:rPr>
          <w:rFonts w:ascii="Times New Roman;Times;serif" w:hAnsi="Times New Roman;Times;serif"/>
          <w:i/>
          <w:sz w:val="20"/>
        </w:rPr>
        <w:t>Level 1—</w:t>
      </w:r>
      <w:r>
        <w:rPr>
          <w:rFonts w:ascii="Times New Roman;Times;serif" w:hAnsi="Times New Roman;Times;serif"/>
          <w:sz w:val="20"/>
        </w:rPr>
        <w:t>Inputs that utilize quoted prices (unadjusted) in active markets for identical assets or liabilities that an entity has the ability to access.</w:t>
      </w:r>
    </w:p>
    <w:p>
      <w:pPr>
        <w:pStyle w:val="TextBody"/>
        <w:bidi w:val="0"/>
        <w:spacing w:before="0" w:after="240"/>
        <w:ind w:left="720" w:right="0" w:firstLine="720"/>
        <w:jc w:val="left"/>
        <w:rPr>
          <w:rFonts w:ascii="Times New Roman;Times;serif" w:hAnsi="Times New Roman;Times;serif"/>
          <w:sz w:val="20"/>
        </w:rPr>
      </w:pPr>
      <w:r>
        <w:rPr>
          <w:rFonts w:ascii="Times New Roman;Times;serif" w:hAnsi="Times New Roman;Times;serif"/>
          <w:i/>
          <w:sz w:val="20"/>
        </w:rPr>
        <w:t>Level 2—</w:t>
      </w:r>
      <w:r>
        <w:rPr>
          <w:rFonts w:ascii="Times New Roman;Times;serif" w:hAnsi="Times New Roman;Times;serif"/>
          <w:sz w:val="20"/>
        </w:rPr>
        <w:t>Inputs that include quoted prices for similar assets and liabilities in active markets and inputs that are observable for the asset or liability, either directly or indirectly, for substantially the full term of the financial instrument. Estimated fair values for these instruments are estimated using pricing models, quoted prices of investment securities with similar characteristics, or discounted cash flows.</w:t>
      </w:r>
    </w:p>
    <w:p>
      <w:pPr>
        <w:pStyle w:val="TextBody"/>
        <w:bidi w:val="0"/>
        <w:spacing w:before="0" w:after="240"/>
        <w:ind w:left="720" w:right="0" w:firstLine="720"/>
        <w:jc w:val="left"/>
        <w:rPr>
          <w:rFonts w:ascii="Times New Roman;Times;serif" w:hAnsi="Times New Roman;Times;serif"/>
          <w:sz w:val="20"/>
        </w:rPr>
      </w:pPr>
      <w:r>
        <w:rPr>
          <w:rFonts w:ascii="Times New Roman;Times;serif" w:hAnsi="Times New Roman;Times;serif"/>
          <w:i/>
          <w:sz w:val="20"/>
        </w:rPr>
        <w:t>Level 3—</w:t>
      </w:r>
      <w:r>
        <w:rPr>
          <w:rFonts w:ascii="Times New Roman;Times;serif" w:hAnsi="Times New Roman;Times;serif"/>
          <w:sz w:val="20"/>
        </w:rPr>
        <w:t>Inputs that are unobservable inputs for the asset or liability, which are typically based on an entity’s own assumptions, as there is little, if any, related market activity. Subsequent to initial recognition, the Company may re-measure the carrying value of assets and liabilities measured on a nonrecurring basis to estimated fair value. Adjustments to estimated fair value usually result when certain assets are impaired. Such assets are written down from their carrying amounts to their estimated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Professional standards allow entities the irrevocable option to elect to measure certain financial instruments and other items at estimated fair value for the initial and subsequent measurement on an instrument-by-instrument basis. The Company adopted the policy to value certain financial instruments at estimated fair value. The Company has not elected to measure any existing financial instruments at estimated fair value; however, it may elect to measure newly acquired financial instruments at estimated fair value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Recurring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uses estimated fair value measurements to record estimated fair value adjustments to certain assets and liabilities and to determine estimated fair value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3659" w:name="Tc_NcJFj1Pa-0WHZzQiSjP2EQ_14_11"/>
      <w:bookmarkStart w:id="3660" w:name="Tc_yAHlFt9ItESqy9n75UKavg_14_9"/>
      <w:bookmarkStart w:id="3661" w:name="Tc_7wQD_cYa10WxwiEmZdGlrg_14_8"/>
      <w:bookmarkStart w:id="3662" w:name="Tc_pCxtCVEVVk6iphNs3dg_BA_14_5"/>
      <w:bookmarkStart w:id="3663" w:name="Tc_-ttN3045VkS0lxgB_nfm4g_14_3"/>
      <w:bookmarkStart w:id="3664" w:name="Tc_ckH6xY1Zmk-Cfemjl1W7PA_14_2"/>
      <w:bookmarkStart w:id="3665" w:name="Tc_zLftmUwbrE6TSKFIPpmbkQ_14_0"/>
      <w:bookmarkStart w:id="3666" w:name="Tc_90n9U7IC802WkerID8cH0g_13_0"/>
      <w:bookmarkStart w:id="3667" w:name="Tc_W9khys0BOUiqtKqrE50Phw_12_11"/>
      <w:bookmarkStart w:id="3668" w:name="Tc_6cbmz0NJq0uN3_PfJ7ahdQ_12_9"/>
      <w:bookmarkStart w:id="3669" w:name="Tc_fjE4D-zyyk2AIL2Lifny4g_12_8"/>
      <w:bookmarkStart w:id="3670" w:name="Tc_W2HHP5mn70-PJSm16qdZ9A_12_5"/>
      <w:bookmarkStart w:id="3671" w:name="Tc_baCfzyVXDUqPO3eDSitAZA_12_3"/>
      <w:bookmarkStart w:id="3672" w:name="Tc_SWnhJMZQqE-k8b_rCKbATQ_12_2"/>
      <w:bookmarkStart w:id="3673" w:name="Tc_M-VPL3Aj4UCyM2ULl69llw_12_0"/>
      <w:bookmarkStart w:id="3674" w:name="Tc_LdAedEQSgU6ULrJ6L0FLzw_11_0"/>
      <w:bookmarkStart w:id="3675" w:name="Tc_1_qd_uKSmEeNW3b3QI8N5g_10_11"/>
      <w:bookmarkStart w:id="3676" w:name="Tc_dpgtmst9qUGxxVsyilxjFg_10_9"/>
      <w:bookmarkStart w:id="3677" w:name="Tc_LxW1PilnKkOwMp77dVQjrg_10_8"/>
      <w:bookmarkStart w:id="3678" w:name="Tc_AHR5W9qO6kSKumVIlFxC8g_10_5"/>
      <w:bookmarkStart w:id="3679" w:name="Tc_r17cki4u102S1Da0BUjuLA_10_3"/>
      <w:bookmarkStart w:id="3680" w:name="Tc_kFXpQ1LcMEaRgm_pUNrhDw_10_2"/>
      <w:bookmarkStart w:id="3681" w:name="Tc_bdmTZCgOBkCS0NUKEzDELA_10_0"/>
      <w:bookmarkStart w:id="3682" w:name="Tc_v-b9_or_TkG2IGYy6XA8Iw_9_9"/>
      <w:bookmarkStart w:id="3683" w:name="Tc_jk43DRpEpkKVNSthPDGOXQ_9_3"/>
      <w:bookmarkStart w:id="3684" w:name="Tc_tp_16LkKsk6UU3EZvSa-KA_9_0"/>
      <w:bookmarkStart w:id="3685" w:name="Tc_AfNBvjiFQEWd1faiLMHR3A_8_9"/>
      <w:bookmarkStart w:id="3686" w:name="Tc_nzj_j3xSdUCPl4fHCm2xfw_8_3"/>
      <w:bookmarkStart w:id="3687" w:name="Tc_qrrpZeVLb0OODH-Rpn0y4Q_8_0"/>
      <w:bookmarkStart w:id="3688" w:name="Tc_BNQrF28i6k-9cqgNCj5nRg_7_9"/>
      <w:bookmarkStart w:id="3689" w:name="Tc_R2l4n4G5S06gCopgVgh6Xg_7_3"/>
      <w:bookmarkStart w:id="3690" w:name="Tc_fJ2DnD_2VU2Je0kTU223Yw_7_0"/>
      <w:bookmarkStart w:id="3691" w:name="Tc_Mcl9K0jK6kmUKuwnySBiaA_6_9"/>
      <w:bookmarkStart w:id="3692" w:name="Tc_RMPYs8pEA0-zeRKY4VeVJA_6_3"/>
      <w:bookmarkStart w:id="3693" w:name="Tc_2ZACiJ2uIky9nRUNwnUGzA_6_0"/>
      <w:bookmarkStart w:id="3694" w:name="Tc_l1AM7X2exEOWy2o1_7INtA_5_0"/>
      <w:bookmarkStart w:id="3695" w:name="Tc_i-WFvo6LLE-u5lLRHin2zg_4_11"/>
      <w:bookmarkStart w:id="3696" w:name="Tc_-JBmCLAvnkWFXBtAHPDeMg_4_9"/>
      <w:bookmarkStart w:id="3697" w:name="Tc_02f7l3sn2kCivlOaxz_41A_4_8"/>
      <w:bookmarkStart w:id="3698" w:name="Tc_7jLetin2c0KW8NI0yW6PrA_4_5"/>
      <w:bookmarkStart w:id="3699" w:name="Tc_l0MEziqPeEGwZjDuoD259w_4_3"/>
      <w:bookmarkStart w:id="3700" w:name="Tc_6KFP1BZRLE6p5C1VYfT-JQ_4_2"/>
      <w:bookmarkStart w:id="3701" w:name="Tc_ufGG9fv9w0Kl_MQGEplsJg_4_0"/>
      <w:bookmarkStart w:id="3702" w:name="Tc_8RAp6rRn0kar9YHmJM9cpQ_3_0"/>
      <w:bookmarkStart w:id="3703" w:name="Tc_f68PVvISy0ya-vvJGEOjPA_2_11"/>
      <w:bookmarkStart w:id="3704" w:name="Tc_ZDHFx9ifDkGYYgueIYocDQ_2_8"/>
      <w:bookmarkStart w:id="3705" w:name="Tc_jmjx1eYpz0KSsimieheerQ_2_5"/>
      <w:bookmarkStart w:id="3706" w:name="Tc_y-jKWz117k-6opmElCXIYQ_2_2"/>
      <w:bookmarkStart w:id="3707" w:name="Tc_7JfwnvQmhEW0_N-SgRx8qw_2_0"/>
      <w:bookmarkStart w:id="3708" w:name="Tc_Dp7EPiuBmEOllirJlOY-Lg_1_2"/>
      <w:bookmarkStart w:id="3709" w:name="_d90c03e5_3e48_4554_a1f8_664b1491768d"/>
      <w:bookmarkStart w:id="3710" w:name="Tc_vjU4gL7yc06ZyIe-DpLwcg_15_11"/>
      <w:bookmarkStart w:id="3711" w:name="Tc_Ls0umADMAE-6Oe_qpiDO3A_15_9"/>
      <w:bookmarkStart w:id="3712" w:name="Tc_FnBfDGNgaUSQIqh7SXpQFg_15_8"/>
      <w:bookmarkStart w:id="3713" w:name="Tc_gkw7jKLjwUSJSYwINuQatg_15_5"/>
      <w:bookmarkStart w:id="3714" w:name="Tc_geiuLV0Z7EK9LE-hv8A0gw_15_3"/>
      <w:bookmarkStart w:id="3715" w:name="Tc_8An8S0IAOE-85a871RbJeQ_15_2"/>
      <w:bookmarkStart w:id="3716" w:name="Tc_JBdi5e9pgECGviSQ9yy4_Q_15_0"/>
      <w:bookmarkStart w:id="3717" w:name="Tc_XCWAL6H8O06oIALBXMQiQQ_14_0"/>
      <w:bookmarkStart w:id="3718" w:name="Tc_a2fYrlDFVE2JkzDj1llpzw_13_11"/>
      <w:bookmarkStart w:id="3719" w:name="Tc_I_Q2bWsjQUewXp_v8Hg9NQ_13_9"/>
      <w:bookmarkStart w:id="3720" w:name="Tc_8ph36oNWyEWel6XwTbreYA_13_8"/>
      <w:bookmarkStart w:id="3721" w:name="Tc_aXunm30Sak2u3hV_wZaJHg_13_5"/>
      <w:bookmarkStart w:id="3722" w:name="Tc_gdLZY_UOLESpL-mSiwQQtA_13_3"/>
      <w:bookmarkStart w:id="3723" w:name="Tc_pj84nYvook2p3H1c1UfhQw_13_2"/>
      <w:bookmarkStart w:id="3724" w:name="Tc_JfxU2EAF5Eu9VxxIdV9OBQ_13_0"/>
      <w:bookmarkStart w:id="3725" w:name="Tc_slaQqLtBnk6fojio-NZF_w_12_0"/>
      <w:bookmarkStart w:id="3726" w:name="Tc_fI5IaJFWbkOn48nKJVykaw_11_11"/>
      <w:bookmarkStart w:id="3727" w:name="Tc_nKSImX0k1kyaDjoOk7e5iA_11_9"/>
      <w:bookmarkStart w:id="3728" w:name="Tc_m4G2JRm2MUiCL_i-V8-sKw_11_8"/>
      <w:bookmarkStart w:id="3729" w:name="Tc_KZJhKQry_kKixG4RLF3_yg_11_5"/>
      <w:bookmarkStart w:id="3730" w:name="Tc_r7JJmqLpiUKLsbmypuitiw_11_3"/>
      <w:bookmarkStart w:id="3731" w:name="Tc_qRjqZfzShECQ7XOOiAth5Q_11_2"/>
      <w:bookmarkStart w:id="3732" w:name="Tc_qO3OFGZRbEq8Nc3q10YZ6w_11_0"/>
      <w:bookmarkStart w:id="3733" w:name="Tc_GnnpPH4Lc0So_bgtXdEYxw_10_9"/>
      <w:bookmarkStart w:id="3734" w:name="Tc_B7cm0SlwZk63-seE7y39YA_10_3"/>
      <w:bookmarkStart w:id="3735" w:name="Tc_BKKSSrTzKkO-kf5f9YCXNQ_10_0"/>
      <w:bookmarkStart w:id="3736" w:name="Tc_XGcOJza_p0C5k1MdhbNULg_9_9"/>
      <w:bookmarkStart w:id="3737" w:name="Tc_gdioGX_m4kqURe79OzbK7g_9_3"/>
      <w:bookmarkStart w:id="3738" w:name="Tc_3CTu615_Z0aSbAxqBWGrqg_9_0"/>
      <w:bookmarkStart w:id="3739" w:name="Tc__9avykwMDkSRt6kWqPWhEw_8_9"/>
      <w:bookmarkStart w:id="3740" w:name="Tc_7u5asvcamk28nYVYPhVr_w_8_3"/>
      <w:bookmarkStart w:id="3741" w:name="Tc_RQOIgdzTVkGaZ9cTs1neSA_8_0"/>
      <w:bookmarkStart w:id="3742" w:name="Tc_lZA2-YO_1Uudup_b4_FqAQ_7_9"/>
      <w:bookmarkStart w:id="3743" w:name="Tc_I9ksqx3E6ke31Bh9mODOSw_7_3"/>
      <w:bookmarkStart w:id="3744" w:name="Tc_xDWLkbDHBkeTIN-G-gx5mQ_7_0"/>
      <w:bookmarkStart w:id="3745" w:name="Tc_9mL3fiY0vUK9sottRk3wHg_6_0"/>
      <w:bookmarkStart w:id="3746" w:name="Tc_5EWbBXi700em7i8OFzSMZg_5_9"/>
      <w:bookmarkStart w:id="3747" w:name="Tc__7mmwKc3V02yEtSTMH45dQ_5_3"/>
      <w:bookmarkStart w:id="3748" w:name="Tc_hfaFHrVHAE2OaFdNyjFQRQ_5_0"/>
      <w:bookmarkStart w:id="3749" w:name="Tc_-HrhbylG_UeshkhpSJ4Zig_4_0"/>
      <w:bookmarkStart w:id="3750" w:name="Tc_G4csGYzIHk-i_CYS-lx6Xg_3_11"/>
      <w:bookmarkStart w:id="3751" w:name="Tc_lxTbgNPVgEa2IQUStdTpDQ_3_9"/>
      <w:bookmarkStart w:id="3752" w:name="Tc_8Rff1KTivEmMjvNNpD-7Hg_3_8"/>
      <w:bookmarkStart w:id="3753" w:name="Tc_XDWLtqPENESQQhDTcvwfoQ_3_6"/>
      <w:bookmarkStart w:id="3754" w:name="Tc_Epg4miKEkUiXjEJCpvXRoA_3_5"/>
      <w:bookmarkStart w:id="3755" w:name="Tc_5ZUGQjVEBEaiW4D4BKAMrg_3_2"/>
      <w:bookmarkStart w:id="3756" w:name="Tc_XkCLQJoRIkuEmdwpYb31Ug_3_0"/>
      <w:bookmarkStart w:id="3757" w:name="Tc_jYTxI3FcCkqIAbt-0axmSw_2_11"/>
      <w:bookmarkStart w:id="3758" w:name="Tc_7oElqwOqe0q-nNLPYNBi3A_2_8"/>
      <w:bookmarkStart w:id="3759" w:name="Tc_2IF-LWRU2EW_FHDz0u4kwA_2_5"/>
      <w:bookmarkStart w:id="3760" w:name="Tc_Fj7Xp8lnFkO-kkjl2rPzmg_2_2"/>
      <w:bookmarkStart w:id="3761" w:name="Tc_xU4z0uSe2EKKDQr-HCBoJQ_2_0"/>
      <w:bookmarkStart w:id="3762" w:name="Tc_Ce2M7eNZtEyuWik7VbW7pA_1_2"/>
      <w:bookmarkStart w:id="3763" w:name="_a65b0354_2948_4eb8_abb6_13548d1d7eb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r>
        <w:rPr>
          <w:rFonts w:ascii="Times New Roman;Times;serif" w:hAnsi="Times New Roman;Times;serif"/>
          <w:sz w:val="20"/>
        </w:rPr>
        <w:t>The following tables present the balances of the assets and liabilities measured at estimated fair value on a recurring basis as of March 31, 2024 and December 31, 2023:</w:t>
      </w:r>
    </w:p>
    <w:p>
      <w:pPr>
        <w:pStyle w:val="TextBody"/>
        <w:bidi w:val="0"/>
        <w:spacing w:before="0" w:after="0"/>
        <w:ind w:left="0" w:right="0" w:hanging="0"/>
        <w:jc w:val="left"/>
        <w:rPr/>
      </w:pPr>
      <w:r>
        <w:rPr/>
        <w:t>​</w:t>
      </w:r>
    </w:p>
    <w:tbl>
      <w:tblPr>
        <w:tblW w:w="7717" w:type="dxa"/>
        <w:jc w:val="left"/>
        <w:tblInd w:w="0" w:type="dxa"/>
        <w:tblLayout w:type="fixed"/>
        <w:tblCellMar>
          <w:top w:w="0" w:type="dxa"/>
          <w:left w:w="0" w:type="dxa"/>
          <w:bottom w:w="0" w:type="dxa"/>
          <w:right w:w="0" w:type="dxa"/>
        </w:tblCellMar>
      </w:tblPr>
      <w:tblGrid>
        <w:gridCol w:w="3256"/>
        <w:gridCol w:w="326"/>
        <w:gridCol w:w="196"/>
        <w:gridCol w:w="511"/>
        <w:gridCol w:w="326"/>
        <w:gridCol w:w="196"/>
        <w:gridCol w:w="691"/>
        <w:gridCol w:w="326"/>
        <w:gridCol w:w="228"/>
        <w:gridCol w:w="403"/>
        <w:gridCol w:w="326"/>
        <w:gridCol w:w="196"/>
        <w:gridCol w:w="736"/>
      </w:tblGrid>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07010" cy="175260"/>
                      <wp:effectExtent l="0" t="0" r="0" b="0"/>
                      <wp:wrapNone/>
                      <wp:docPr id="665" name="Frame6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124460" cy="175260"/>
                      <wp:effectExtent l="0" t="0" r="0" b="0"/>
                      <wp:wrapNone/>
                      <wp:docPr id="666" name="Frame6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324485" cy="175260"/>
                      <wp:effectExtent l="0" t="0" r="0" b="0"/>
                      <wp:wrapNone/>
                      <wp:docPr id="667" name="Frame66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207010" cy="175260"/>
                      <wp:effectExtent l="0" t="0" r="0" b="0"/>
                      <wp:wrapNone/>
                      <wp:docPr id="668" name="Frame6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124460" cy="175260"/>
                      <wp:effectExtent l="0" t="0" r="0" b="0"/>
                      <wp:wrapNone/>
                      <wp:docPr id="669" name="Frame6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438785" cy="175260"/>
                      <wp:effectExtent l="0" t="0" r="0" b="0"/>
                      <wp:wrapNone/>
                      <wp:docPr id="670" name="Frame6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07010" cy="175260"/>
                      <wp:effectExtent l="0" t="0" r="0" b="0"/>
                      <wp:wrapNone/>
                      <wp:docPr id="671" name="Frame6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144780" cy="175260"/>
                      <wp:effectExtent l="0" t="0" r="0" b="0"/>
                      <wp:wrapNone/>
                      <wp:docPr id="672" name="Frame67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55905" cy="175260"/>
                      <wp:effectExtent l="0" t="0" r="0" b="0"/>
                      <wp:wrapNone/>
                      <wp:docPr id="673" name="Frame673"/>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07010" cy="175260"/>
                      <wp:effectExtent l="0" t="0" r="0" b="0"/>
                      <wp:wrapNone/>
                      <wp:docPr id="674" name="Frame6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24460" cy="175260"/>
                      <wp:effectExtent l="0" t="0" r="0" b="0"/>
                      <wp:wrapNone/>
                      <wp:docPr id="675" name="Frame6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467360" cy="175260"/>
                      <wp:effectExtent l="0" t="0" r="0" b="0"/>
                      <wp:wrapNone/>
                      <wp:docPr id="676" name="Frame67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13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Trading</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4,553</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Available-for-sale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and government agencies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838</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838</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Mortgage backed securities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agency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420,893</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420,893</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1,351</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1,351</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backed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bonds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49,168</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49,168</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available-for-sale investment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472,272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472,272</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9,027</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9,027</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6,318</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6,318</w:t>
            </w:r>
          </w:p>
        </w:tc>
      </w:tr>
    </w:tbl>
    <w:p>
      <w:pPr>
        <w:pStyle w:val="TextBody"/>
        <w:bidi w:val="0"/>
        <w:spacing w:before="0" w:after="240"/>
        <w:ind w:left="0" w:right="0" w:hanging="0"/>
        <w:jc w:val="left"/>
        <w:rPr/>
      </w:pPr>
      <w:r>
        <w:rPr/>
        <w:t>​</w:t>
      </w:r>
    </w:p>
    <w:tbl>
      <w:tblPr>
        <w:tblW w:w="7641" w:type="dxa"/>
        <w:jc w:val="left"/>
        <w:tblInd w:w="0" w:type="dxa"/>
        <w:tblLayout w:type="fixed"/>
        <w:tblCellMar>
          <w:top w:w="0" w:type="dxa"/>
          <w:left w:w="0" w:type="dxa"/>
          <w:bottom w:w="0" w:type="dxa"/>
          <w:right w:w="0" w:type="dxa"/>
        </w:tblCellMar>
      </w:tblPr>
      <w:tblGrid>
        <w:gridCol w:w="3256"/>
        <w:gridCol w:w="326"/>
        <w:gridCol w:w="228"/>
        <w:gridCol w:w="403"/>
        <w:gridCol w:w="326"/>
        <w:gridCol w:w="196"/>
        <w:gridCol w:w="691"/>
        <w:gridCol w:w="326"/>
        <w:gridCol w:w="228"/>
        <w:gridCol w:w="403"/>
        <w:gridCol w:w="326"/>
        <w:gridCol w:w="196"/>
        <w:gridCol w:w="736"/>
      </w:tblGrid>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207010" cy="175260"/>
                      <wp:effectExtent l="0" t="0" r="0" b="0"/>
                      <wp:wrapNone/>
                      <wp:docPr id="677" name="Frame6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144780" cy="175260"/>
                      <wp:effectExtent l="0" t="0" r="0" b="0"/>
                      <wp:wrapNone/>
                      <wp:docPr id="678" name="Frame67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55905" cy="175260"/>
                      <wp:effectExtent l="0" t="0" r="0" b="0"/>
                      <wp:wrapNone/>
                      <wp:docPr id="679" name="Frame679"/>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07010" cy="175260"/>
                      <wp:effectExtent l="0" t="0" r="0" b="0"/>
                      <wp:wrapNone/>
                      <wp:docPr id="680" name="Frame6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124460" cy="175260"/>
                      <wp:effectExtent l="0" t="0" r="0" b="0"/>
                      <wp:wrapNone/>
                      <wp:docPr id="681" name="Frame6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438785" cy="175260"/>
                      <wp:effectExtent l="0" t="0" r="0" b="0"/>
                      <wp:wrapNone/>
                      <wp:docPr id="682" name="Frame68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07010" cy="175260"/>
                      <wp:effectExtent l="0" t="0" r="0" b="0"/>
                      <wp:wrapNone/>
                      <wp:docPr id="683" name="Frame6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144780" cy="175260"/>
                      <wp:effectExtent l="0" t="0" r="0" b="0"/>
                      <wp:wrapNone/>
                      <wp:docPr id="684" name="Frame68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55905" cy="175260"/>
                      <wp:effectExtent l="0" t="0" r="0" b="0"/>
                      <wp:wrapNone/>
                      <wp:docPr id="685" name="Frame685"/>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07010" cy="175260"/>
                      <wp:effectExtent l="0" t="0" r="0" b="0"/>
                      <wp:wrapNone/>
                      <wp:docPr id="686" name="Frame6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124460" cy="175260"/>
                      <wp:effectExtent l="0" t="0" r="0" b="0"/>
                      <wp:wrapNone/>
                      <wp:docPr id="687" name="Frame6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467360" cy="175260"/>
                      <wp:effectExtent l="0" t="0" r="0" b="0"/>
                      <wp:wrapNone/>
                      <wp:docPr id="688" name="Frame68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5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Available-for-sale </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and government agencies</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1,120</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1,120</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Mortgage backed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agency</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435,594</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435,594</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1,353</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1,353</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backed securities</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bonds</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48,644</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48,644</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available-for-sale investment securities</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486,736</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486,736</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Derivatives</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8,512</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8,512</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Derivatives</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9,180</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9,180</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description of the valuation methodologies used for instruments measured at estimated fair value on a recurring basis, as well as the general classification of such instruments pursuant to the valuation hierarchy.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 Securities, Trading for Deferred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trading securities for deferred compensation is reported using market quoted prices as such securities and underlying securities are actively traded and no valuation adjustments have been applied and therefore are classified as Level 1.</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 Securities, Available-for-Sale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Generally, debt securities are valued using pricing for similar securities, recently executed transactions, and other pricing models utilizing observable inputs and therefore are classified as Level 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of the Company’s derivatives are traded in over-the-counter markets where quoted market prices are not readily available. For these derivatives, estimated fair value is measured using internally developed models that use primarily market observable inputs, such as yield curves and option volatilities, and accordingly, classify as Level 2. Examples of Level 2 derivatives are basic interest rate swaps and forward contracts.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764" w:name="Tc_0p2Bji3C4EKvtpebX5VRQQ_7_11"/>
      <w:bookmarkStart w:id="3765" w:name="Tc_0bp2udrnyEekTG-0_8FRHg_7_9"/>
      <w:bookmarkStart w:id="3766" w:name="Tc_kegj1WRO-k6scIWS6wbOmQ_7_4"/>
      <w:bookmarkStart w:id="3767" w:name="Tc_KAhPuRDSo0ea0o4MsCyWRQ_6_8"/>
      <w:bookmarkStart w:id="3768" w:name="Tc_dgU5CejPGkmqG_LvSsBStA_6_4"/>
      <w:bookmarkStart w:id="3769" w:name="Tc_0--0yDlZQkKJQgz_T1fTIg_6_0"/>
      <w:bookmarkStart w:id="3770" w:name="Tc_fYH9aaIHu0So5s5r06jBzw_5_10"/>
      <w:bookmarkStart w:id="3771" w:name="Tc_D0GTWXoAi0-p3FnKbXv3AQ_5_8"/>
      <w:bookmarkStart w:id="3772" w:name="Tc_HJIb2wtnY0u24wU4CsRaew_5_4"/>
      <w:bookmarkStart w:id="3773" w:name="Tc_76QBApFpcUmY3oMh43eOxQ_5_2"/>
      <w:bookmarkStart w:id="3774" w:name="Tc_p-Nb0Zko30elmey8DPR-AA_5_0"/>
      <w:bookmarkStart w:id="3775" w:name="Tc_-hBSid9vgku3qEgeZOk45g_4_11"/>
      <w:bookmarkStart w:id="3776" w:name="Tc_yQFEyOxl_UChikgPvxuKCg_4_9"/>
      <w:bookmarkStart w:id="3777" w:name="Tc_4CamcoWVtkmmvPsuhNbIEA_4_5"/>
      <w:bookmarkStart w:id="3778" w:name="Tc_kURwYrjkE0uSWXoLgdm0YA_4_4"/>
      <w:bookmarkStart w:id="3779" w:name="Tc_xtm30K0UEkKwds8a5ewCog_4_2"/>
      <w:bookmarkStart w:id="3780" w:name="Tc_eAztKMzOcEOu5Q6r_X-PTQ_4_0"/>
      <w:bookmarkStart w:id="3781" w:name="Tc_JFVupaUpckeSDhDjjWaLPg_3_10"/>
      <w:bookmarkStart w:id="3782" w:name="Tc_UrJNLyR5r0-Qx696KGw2ow_3_8"/>
      <w:bookmarkStart w:id="3783" w:name="Tc_9u5nX58hLkKdvDGu0doTOA_3_5"/>
      <w:bookmarkStart w:id="3784" w:name="Tc_VzGkehY34EmfRjruGFQR0A_3_4"/>
      <w:bookmarkStart w:id="3785" w:name="Tc_YnX3YweGNUel-A-CjjO6AQ_3_2"/>
      <w:bookmarkStart w:id="3786" w:name="Tc_i8s4K69sE06nchWcMVG_AQ_3_0"/>
      <w:bookmarkStart w:id="3787" w:name="Tc_prOSjtPT2U6P-EW2LJSP_A_2_10"/>
      <w:bookmarkStart w:id="3788" w:name="Tc_ZlUWYvYs1k24QZoTnXpyqA_2_0"/>
      <w:bookmarkStart w:id="3789" w:name="Tc_Gc07PbBEMkWWIjP-MnL8zA_1_5"/>
      <w:bookmarkStart w:id="3790" w:name="_ae914be6_6d93_44e7_b952_20ae142cb9ea"/>
      <w:bookmarkStart w:id="3791" w:name="Tc_erdGq5oM1kyvPTUXKIf17Q_5_6"/>
      <w:bookmarkStart w:id="3792" w:name="Tc_kundwQZwyEu8IoQr5R8NXw_5_3"/>
      <w:bookmarkStart w:id="3793" w:name="Tc_7uKrPXAZzkWASkkZMC98tg_5_0"/>
      <w:bookmarkStart w:id="3794" w:name="Tc_K0e5ftDgc0y0xYVDH4NoXQ_4_6"/>
      <w:bookmarkStart w:id="3795" w:name="Tc_it8GkMp-aEqPT7LfS8ItkQ_4_3"/>
      <w:bookmarkStart w:id="3796" w:name="Tc_HkNIvKIa4kCR9IZiHCiBXg_4_0"/>
      <w:bookmarkStart w:id="3797" w:name="Tc_qQ8PtehLSUKMRwUMpxg7yg_3_11"/>
      <w:bookmarkStart w:id="3798" w:name="Tc_Vdb8A74Th0KGT-hxGMr-Fg_3_8"/>
      <w:bookmarkStart w:id="3799" w:name="Tc_P4CV1J_jtEaR40Jusk97uA_3_6"/>
      <w:bookmarkStart w:id="3800" w:name="Tc_oZAVlA1dqESKtdhF1GGTlg_3_5"/>
      <w:bookmarkStart w:id="3801" w:name="Tc_MGhq2uhSd0iaqPTVqVeY7Q_3_3"/>
      <w:bookmarkStart w:id="3802" w:name="Tc_ut4rf1K7kUWmOry4TAk3lQ_3_2"/>
      <w:bookmarkStart w:id="3803" w:name="Tc_5DlASDTvGEe96KkvxqItUA_3_0"/>
      <w:bookmarkStart w:id="3804" w:name="Tc_3YefJERXakKAYSJDyqZOdQ_2_11"/>
      <w:bookmarkStart w:id="3805" w:name="Tc_S95uugCIpke1vwLqD41ejQ_2_8"/>
      <w:bookmarkStart w:id="3806" w:name="Tc_zaECx20LfUORTCDCgvYnBw_2_5"/>
      <w:bookmarkStart w:id="3807" w:name="Tc_ZfZcNOdy7kGBipc5UmJKBQ_2_2"/>
      <w:bookmarkStart w:id="3808" w:name="Tc_wD0-wmco1ketJ7EP3pIPWQ_2_0"/>
      <w:bookmarkStart w:id="3809" w:name="Tc_AEOW4CohwUikgxP6h9eEnQ_1_2"/>
      <w:bookmarkStart w:id="3810" w:name="_9972d1d7_cee8_4d3b_b6d0_6213dbd38e15"/>
      <w:bookmarkStart w:id="3811" w:name="Tc_R_Ihb4I2UU6FvMd9qz_KqQ_5_6"/>
      <w:bookmarkStart w:id="3812" w:name="Tc_Dc-zjCkBqUqxe98VznCjkw_5_3"/>
      <w:bookmarkStart w:id="3813" w:name="Tc__Ov-S9MuXkGslQ4x_aPMUQ_5_0"/>
      <w:bookmarkStart w:id="3814" w:name="Tc_KKjRHE1ALkiGQlw7Ds5QUA_4_6"/>
      <w:bookmarkStart w:id="3815" w:name="Tc_dGfJ2iO9eUmOu6qHNkdBLg_4_3"/>
      <w:bookmarkStart w:id="3816" w:name="Tc_VQqaeBBAjk-j2GBVaCfICA_4_0"/>
      <w:bookmarkStart w:id="3817" w:name="Tc_Q0aTMc7-L0-6duc_C3QANw_3_11"/>
      <w:bookmarkStart w:id="3818" w:name="Tc_BtH0YkvFNkC2avJtPkFLbg_3_8"/>
      <w:bookmarkStart w:id="3819" w:name="Tc_TwIxNlSa40S4AkIYfGrysA_3_6"/>
      <w:bookmarkStart w:id="3820" w:name="Tc_YFrCMwDRyUGVrpPBqXNheA_3_5"/>
      <w:bookmarkStart w:id="3821" w:name="Tc_n6nu0RaM3EaEznpccCk3Tw_3_3"/>
      <w:bookmarkStart w:id="3822" w:name="Tc_6jmWPQlgAE2lbRtCmUxH6Q_3_2"/>
      <w:bookmarkStart w:id="3823" w:name="Tc_MXXDUtIt4Ee8KfQZfG0kVQ_3_0"/>
      <w:bookmarkStart w:id="3824" w:name="Tc_-jSBmx_uI0WCpngpufoqbQ_2_11"/>
      <w:bookmarkStart w:id="3825" w:name="Tc_WxSdX8zgjESQks__LdMkcQ_2_8"/>
      <w:bookmarkStart w:id="3826" w:name="Tc_A2O8QvmQD0mBZL_RXIF_dg_2_5"/>
      <w:bookmarkStart w:id="3827" w:name="Tc_Ga8zQA492kORqyn0ELqIzg_2_2"/>
      <w:bookmarkStart w:id="3828" w:name="Tc_dZklzWz-jkmpNBFkmHVzmQ_2_0"/>
      <w:bookmarkStart w:id="3829" w:name="Tc_HKcpUVqCVUeBGfM88IPxLg_1_2"/>
      <w:bookmarkStart w:id="3830" w:name="_0ae2b7ab_a67d_4ee4_a9d4_4e2bd175d73f"/>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r>
        <w:rPr>
          <w:rFonts w:ascii="Times New Roman;Times;serif" w:hAnsi="Times New Roman;Times;serif"/>
          <w:b/>
          <w:sz w:val="20"/>
        </w:rPr>
        <w:t>Nonrecurring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assets are measured at estimated fair value on a nonrecurring basis. These assets are not measured at estimated fair value on an ongoing basis; however, they are subject to estimated fair value adjustments in certain circumstances, such as when there is evidence of impairment or a change in the amount of previously recognized impairment.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estimated fair value of certain assets on a nonrecurring basis as of March 31, 2024 and December 31, 2023 consisted of the following:</w:t>
      </w:r>
    </w:p>
    <w:p>
      <w:pPr>
        <w:pStyle w:val="TextBody"/>
        <w:bidi w:val="0"/>
        <w:spacing w:before="0" w:after="0"/>
        <w:ind w:left="0" w:right="0" w:hanging="0"/>
        <w:jc w:val="left"/>
        <w:rPr/>
      </w:pPr>
      <w:r>
        <w:rPr/>
        <w:t>​</w:t>
      </w:r>
    </w:p>
    <w:tbl>
      <w:tblPr>
        <w:tblW w:w="6066" w:type="dxa"/>
        <w:jc w:val="left"/>
        <w:tblInd w:w="0" w:type="dxa"/>
        <w:tblLayout w:type="fixed"/>
        <w:tblCellMar>
          <w:top w:w="0" w:type="dxa"/>
          <w:left w:w="0" w:type="dxa"/>
          <w:bottom w:w="0" w:type="dxa"/>
          <w:right w:w="0" w:type="dxa"/>
        </w:tblCellMar>
      </w:tblPr>
      <w:tblGrid>
        <w:gridCol w:w="1981"/>
        <w:gridCol w:w="326"/>
        <w:gridCol w:w="228"/>
        <w:gridCol w:w="403"/>
        <w:gridCol w:w="326"/>
        <w:gridCol w:w="228"/>
        <w:gridCol w:w="403"/>
        <w:gridCol w:w="326"/>
        <w:gridCol w:w="196"/>
        <w:gridCol w:w="511"/>
        <w:gridCol w:w="326"/>
        <w:gridCol w:w="196"/>
        <w:gridCol w:w="616"/>
      </w:tblGrid>
      <w:tr>
        <w:trPr/>
        <w:tc>
          <w:tcPr>
            <w:tcW w:w="19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207010" cy="175260"/>
                      <wp:effectExtent l="0" t="0" r="0" b="0"/>
                      <wp:wrapNone/>
                      <wp:docPr id="689" name="Frame6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144780" cy="175260"/>
                      <wp:effectExtent l="0" t="0" r="0" b="0"/>
                      <wp:wrapNone/>
                      <wp:docPr id="690" name="Frame69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55905" cy="175260"/>
                      <wp:effectExtent l="0" t="0" r="0" b="0"/>
                      <wp:wrapNone/>
                      <wp:docPr id="691" name="Frame691"/>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07010" cy="175260"/>
                      <wp:effectExtent l="0" t="0" r="0" b="0"/>
                      <wp:wrapNone/>
                      <wp:docPr id="692" name="Frame6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144780" cy="175260"/>
                      <wp:effectExtent l="0" t="0" r="0" b="0"/>
                      <wp:wrapNone/>
                      <wp:docPr id="693" name="Frame69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55905" cy="175260"/>
                      <wp:effectExtent l="0" t="0" r="0" b="0"/>
                      <wp:wrapNone/>
                      <wp:docPr id="694" name="Frame694"/>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207010" cy="175260"/>
                      <wp:effectExtent l="0" t="0" r="0" b="0"/>
                      <wp:wrapNone/>
                      <wp:docPr id="695" name="Frame6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124460" cy="175260"/>
                      <wp:effectExtent l="0" t="0" r="0" b="0"/>
                      <wp:wrapNone/>
                      <wp:docPr id="696" name="Frame6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324485" cy="175260"/>
                      <wp:effectExtent l="0" t="0" r="0" b="0"/>
                      <wp:wrapNone/>
                      <wp:docPr id="697" name="Frame69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207010" cy="175260"/>
                      <wp:effectExtent l="0" t="0" r="0" b="0"/>
                      <wp:wrapNone/>
                      <wp:docPr id="698" name="Frame6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124460" cy="175260"/>
                      <wp:effectExtent l="0" t="0" r="0" b="0"/>
                      <wp:wrapNone/>
                      <wp:docPr id="699" name="Frame6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391160" cy="175260"/>
                      <wp:effectExtent l="0" t="0" r="0" b="0"/>
                      <wp:wrapNone/>
                      <wp:docPr id="700" name="Frame70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5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Collateral dependent loans</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4,033</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Foreclosed assets</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Servicing rights</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1,983</w:t>
            </w:r>
          </w:p>
        </w:tc>
      </w:tr>
    </w:tbl>
    <w:p>
      <w:pPr>
        <w:pStyle w:val="TextBody"/>
        <w:bidi w:val="0"/>
        <w:spacing w:before="0" w:after="240"/>
        <w:ind w:left="0" w:right="0" w:hanging="0"/>
        <w:jc w:val="left"/>
        <w:rPr/>
      </w:pPr>
      <w:r>
        <w:rPr/>
        <w:t>​</w:t>
      </w:r>
    </w:p>
    <w:tbl>
      <w:tblPr>
        <w:tblW w:w="6066" w:type="dxa"/>
        <w:jc w:val="left"/>
        <w:tblInd w:w="0" w:type="dxa"/>
        <w:tblLayout w:type="fixed"/>
        <w:tblCellMar>
          <w:top w:w="0" w:type="dxa"/>
          <w:left w:w="0" w:type="dxa"/>
          <w:bottom w:w="0" w:type="dxa"/>
          <w:right w:w="0" w:type="dxa"/>
        </w:tblCellMar>
      </w:tblPr>
      <w:tblGrid>
        <w:gridCol w:w="1981"/>
        <w:gridCol w:w="326"/>
        <w:gridCol w:w="228"/>
        <w:gridCol w:w="403"/>
        <w:gridCol w:w="326"/>
        <w:gridCol w:w="228"/>
        <w:gridCol w:w="403"/>
        <w:gridCol w:w="326"/>
        <w:gridCol w:w="196"/>
        <w:gridCol w:w="511"/>
        <w:gridCol w:w="326"/>
        <w:gridCol w:w="196"/>
        <w:gridCol w:w="616"/>
      </w:tblGrid>
      <w:tr>
        <w:trPr/>
        <w:tc>
          <w:tcPr>
            <w:tcW w:w="19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207010" cy="175260"/>
                      <wp:effectExtent l="0" t="0" r="0" b="0"/>
                      <wp:wrapNone/>
                      <wp:docPr id="701" name="Frame7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144780" cy="175260"/>
                      <wp:effectExtent l="0" t="0" r="0" b="0"/>
                      <wp:wrapNone/>
                      <wp:docPr id="702" name="Frame70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255905" cy="175260"/>
                      <wp:effectExtent l="0" t="0" r="0" b="0"/>
                      <wp:wrapNone/>
                      <wp:docPr id="703" name="Frame703"/>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207010" cy="175260"/>
                      <wp:effectExtent l="0" t="0" r="0" b="0"/>
                      <wp:wrapNone/>
                      <wp:docPr id="704" name="Frame7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144780" cy="175260"/>
                      <wp:effectExtent l="0" t="0" r="0" b="0"/>
                      <wp:wrapNone/>
                      <wp:docPr id="705" name="Frame70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255905" cy="175260"/>
                      <wp:effectExtent l="0" t="0" r="0" b="0"/>
                      <wp:wrapNone/>
                      <wp:docPr id="706" name="Frame706"/>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207010" cy="175260"/>
                      <wp:effectExtent l="0" t="0" r="0" b="0"/>
                      <wp:wrapNone/>
                      <wp:docPr id="707" name="Frame7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124460" cy="175260"/>
                      <wp:effectExtent l="0" t="0" r="0" b="0"/>
                      <wp:wrapNone/>
                      <wp:docPr id="708" name="Frame7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324485" cy="175260"/>
                      <wp:effectExtent l="0" t="0" r="0" b="0"/>
                      <wp:wrapNone/>
                      <wp:docPr id="709" name="Frame70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207010" cy="175260"/>
                      <wp:effectExtent l="0" t="0" r="0" b="0"/>
                      <wp:wrapNone/>
                      <wp:docPr id="710" name="Frame7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124460" cy="175260"/>
                      <wp:effectExtent l="0" t="0" r="0" b="0"/>
                      <wp:wrapNone/>
                      <wp:docPr id="711" name="Frame7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391160" cy="175260"/>
                      <wp:effectExtent l="0" t="0" r="0" b="0"/>
                      <wp:wrapNone/>
                      <wp:docPr id="712" name="Frame71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5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Collateral dependent loans</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3,998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3,998</w:t>
            </w:r>
          </w:p>
        </w:tc>
      </w:tr>
      <w:tr>
        <w:trPr/>
        <w:tc>
          <w:tcPr>
            <w:tcW w:w="19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Foreclosed assets</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r>
      <w:tr>
        <w:trPr/>
        <w:tc>
          <w:tcPr>
            <w:tcW w:w="19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Servicing rights</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2,052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Loans Held for Sale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Loans originated and held for sale are carried at the lower of cost or estimated fair value. The Company obtains quotes or bids on these loans directly from purchasing financial institutions. Typically, these quotes include a premium on the sale and thus these quotes indicate estimated fair value of the held for sale loans is greater than cost.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Impairment losses for loans held for sale that are carried at the lower of cost or estimated fair value represent additional net write-downs during the period to record these loans at the lower of cost or estimated fair value, subsequent to their initial classification as loans held for sale.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valuation techniques and significant unobservable inputs used to measure Level 3 estimated fair values as of March 31, 2024 and December 31, 2023, were as follows:</w:t>
      </w:r>
    </w:p>
    <w:p>
      <w:pPr>
        <w:pStyle w:val="TextBody"/>
        <w:bidi w:val="0"/>
        <w:spacing w:before="0" w:after="0"/>
        <w:ind w:left="0" w:right="0" w:hanging="0"/>
        <w:jc w:val="left"/>
        <w:rPr/>
      </w:pPr>
      <w:r>
        <w:rPr/>
        <w:t>​</w:t>
      </w:r>
    </w:p>
    <w:tbl>
      <w:tblPr>
        <w:tblW w:w="9700" w:type="dxa"/>
        <w:jc w:val="left"/>
        <w:tblInd w:w="0" w:type="dxa"/>
        <w:tblLayout w:type="fixed"/>
        <w:tblCellMar>
          <w:top w:w="0" w:type="dxa"/>
          <w:left w:w="0" w:type="dxa"/>
          <w:bottom w:w="0" w:type="dxa"/>
          <w:right w:w="0" w:type="dxa"/>
        </w:tblCellMar>
      </w:tblPr>
      <w:tblGrid>
        <w:gridCol w:w="1681"/>
        <w:gridCol w:w="326"/>
        <w:gridCol w:w="1726"/>
        <w:gridCol w:w="326"/>
        <w:gridCol w:w="2326"/>
        <w:gridCol w:w="245"/>
        <w:gridCol w:w="640"/>
        <w:gridCol w:w="326"/>
        <w:gridCol w:w="616"/>
        <w:gridCol w:w="346"/>
        <w:gridCol w:w="796"/>
        <w:gridCol w:w="34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1067435" cy="175260"/>
                      <wp:effectExtent l="0" t="0" r="0" b="0"/>
                      <wp:wrapNone/>
                      <wp:docPr id="713" name="Frame71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207010" cy="175260"/>
                      <wp:effectExtent l="0" t="0" r="0" b="0"/>
                      <wp:wrapNone/>
                      <wp:docPr id="714" name="Frame7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1096010" cy="175260"/>
                      <wp:effectExtent l="0" t="0" r="0" b="0"/>
                      <wp:wrapNone/>
                      <wp:docPr id="715" name="Frame715"/>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207010" cy="175260"/>
                      <wp:effectExtent l="0" t="0" r="0" b="0"/>
                      <wp:wrapNone/>
                      <wp:docPr id="716" name="Frame7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1477010" cy="175260"/>
                      <wp:effectExtent l="0" t="0" r="0" b="0"/>
                      <wp:wrapNone/>
                      <wp:docPr id="717" name="Frame717"/>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155575" cy="175260"/>
                      <wp:effectExtent l="0" t="0" r="0" b="0"/>
                      <wp:wrapNone/>
                      <wp:docPr id="718" name="Frame718"/>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406400" cy="175260"/>
                      <wp:effectExtent l="0" t="0" r="0" b="0"/>
                      <wp:wrapNone/>
                      <wp:docPr id="719" name="Frame719"/>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207010" cy="175260"/>
                      <wp:effectExtent l="0" t="0" r="0" b="0"/>
                      <wp:wrapNone/>
                      <wp:docPr id="720" name="Frame7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391160" cy="175260"/>
                      <wp:effectExtent l="0" t="0" r="0" b="0"/>
                      <wp:wrapNone/>
                      <wp:docPr id="721" name="Frame72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219710" cy="175260"/>
                      <wp:effectExtent l="0" t="0" r="0" b="0"/>
                      <wp:wrapNone/>
                      <wp:docPr id="722" name="Frame7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505460" cy="175260"/>
                      <wp:effectExtent l="0" t="0" r="0" b="0"/>
                      <wp:wrapNone/>
                      <wp:docPr id="723" name="Frame7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219710" cy="175260"/>
                      <wp:effectExtent l="0" t="0" r="0" b="0"/>
                      <wp:wrapNone/>
                      <wp:docPr id="724" name="Frame7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26" w:type="dxa"/>
            <w:tcBorders/>
            <w:vAlign w:val="center"/>
          </w:tcPr>
          <w:p>
            <w:pPr>
              <w:pStyle w:val="TableContents"/>
              <w:bidi w:val="0"/>
              <w:spacing w:before="0" w:after="0"/>
              <w:ind w:left="0" w:right="0" w:hanging="0"/>
              <w:jc w:val="center"/>
              <w:rPr/>
            </w:pPr>
            <w:r>
              <w:rPr/>
              <w:t>​</w:t>
            </w:r>
          </w:p>
        </w:tc>
        <w:tc>
          <w:tcPr>
            <w:tcW w:w="296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46"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center"/>
              <w:rPr/>
            </w:pPr>
            <w:r>
              <w:rPr/>
              <w:t>​</w:t>
            </w:r>
          </w:p>
        </w:tc>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2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center"/>
              <w:rPr/>
            </w:pPr>
            <w:r>
              <w:rPr/>
              <w:t>​</w:t>
            </w:r>
          </w:p>
        </w:tc>
        <w:tc>
          <w:tcPr>
            <w:tcW w:w="6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 Type</w:t>
            </w:r>
          </w:p>
        </w:tc>
        <w:tc>
          <w:tcPr>
            <w:tcW w:w="326"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Technique</w:t>
            </w:r>
          </w:p>
        </w:tc>
        <w:tc>
          <w:tcPr>
            <w:tcW w:w="326" w:type="dxa"/>
            <w:tcBorders/>
            <w:vAlign w:val="center"/>
          </w:tcPr>
          <w:p>
            <w:pPr>
              <w:pStyle w:val="TableContents"/>
              <w:bidi w:val="0"/>
              <w:spacing w:before="0" w:after="0"/>
              <w:ind w:left="0" w:right="0" w:hanging="0"/>
              <w:jc w:val="left"/>
              <w:rPr/>
            </w:pPr>
            <w:r>
              <w:rPr/>
              <w:t>    </w:t>
            </w:r>
          </w:p>
        </w:tc>
        <w:tc>
          <w:tcPr>
            <w:tcW w:w="23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Unobservable Input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  </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Individually evaluated</w:t>
            </w:r>
          </w:p>
        </w:tc>
        <w:tc>
          <w:tcPr>
            <w:tcW w:w="326"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Appraisal value</w:t>
            </w:r>
          </w:p>
        </w:tc>
        <w:tc>
          <w:tcPr>
            <w:tcW w:w="326" w:type="dxa"/>
            <w:tcBorders/>
            <w:shd w:fill="CCEEFF" w:val="clear"/>
            <w:vAlign w:val="center"/>
          </w:tcPr>
          <w:p>
            <w:pPr>
              <w:pStyle w:val="TableContents"/>
              <w:bidi w:val="0"/>
              <w:spacing w:before="0" w:after="0"/>
              <w:ind w:left="0" w:right="0" w:hanging="0"/>
              <w:jc w:val="left"/>
              <w:rPr/>
            </w:pPr>
            <w:r>
              <w:rPr/>
              <w:t> </w:t>
            </w:r>
          </w:p>
        </w:tc>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specific adjustment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4,033</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Foreclosed assets</w:t>
            </w:r>
          </w:p>
        </w:tc>
        <w:tc>
          <w:tcPr>
            <w:tcW w:w="326"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Appraisal value</w:t>
            </w:r>
          </w:p>
        </w:tc>
        <w:tc>
          <w:tcPr>
            <w:tcW w:w="326" w:type="dxa"/>
            <w:tcBorders/>
            <w:vAlign w:val="center"/>
          </w:tcPr>
          <w:p>
            <w:pPr>
              <w:pStyle w:val="TableContents"/>
              <w:bidi w:val="0"/>
              <w:spacing w:before="0" w:after="0"/>
              <w:ind w:left="0" w:right="0" w:hanging="0"/>
              <w:jc w:val="left"/>
              <w:rPr/>
            </w:pPr>
            <w:r>
              <w:rPr/>
              <w:t> </w:t>
            </w:r>
          </w:p>
        </w:tc>
        <w:tc>
          <w:tcPr>
            <w:tcW w:w="23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Property specific adjustment </w:t>
            </w:r>
            <w:r>
              <w:rPr>
                <w:rFonts w:ascii="Times New Roman;Times;serif" w:hAnsi="Times New Roman;Times;serif"/>
                <w:sz w:val="14"/>
              </w:rPr>
              <w:t>(1)</w:t>
            </w:r>
          </w:p>
        </w:tc>
        <w:tc>
          <w:tcPr>
            <w:tcW w:w="245"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46" w:type="dxa"/>
            <w:tcBorders/>
            <w:vAlign w:val="center"/>
          </w:tcPr>
          <w:p>
            <w:pPr>
              <w:pStyle w:val="TableContents"/>
              <w:bidi w:val="0"/>
              <w:spacing w:before="0" w:after="0"/>
              <w:ind w:left="0" w:right="0" w:hanging="0"/>
              <w:jc w:val="left"/>
              <w:rPr/>
            </w:pPr>
            <w:r>
              <w:rPr/>
              <w:t> </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Servicing rights</w:t>
            </w:r>
          </w:p>
        </w:tc>
        <w:tc>
          <w:tcPr>
            <w:tcW w:w="326"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Discounted cash flows</w:t>
            </w:r>
          </w:p>
        </w:tc>
        <w:tc>
          <w:tcPr>
            <w:tcW w:w="326" w:type="dxa"/>
            <w:tcBorders/>
            <w:shd w:fill="CCEEFF" w:val="clear"/>
            <w:vAlign w:val="center"/>
          </w:tcPr>
          <w:p>
            <w:pPr>
              <w:pStyle w:val="TableContents"/>
              <w:bidi w:val="0"/>
              <w:spacing w:before="0" w:after="0"/>
              <w:ind w:left="0" w:right="0" w:hanging="0"/>
              <w:jc w:val="left"/>
              <w:rPr/>
            </w:pPr>
            <w:r>
              <w:rPr/>
              <w:t> </w:t>
            </w:r>
          </w:p>
        </w:tc>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Prepayment speed assumptions</w:t>
            </w:r>
          </w:p>
        </w:tc>
        <w:tc>
          <w:tcPr>
            <w:tcW w:w="245" w:type="dxa"/>
            <w:tcBorders/>
            <w:shd w:fill="CCEEFF" w:val="clear"/>
            <w:vAlign w:val="center"/>
          </w:tcPr>
          <w:p>
            <w:pPr>
              <w:pStyle w:val="TableContents"/>
              <w:bidi w:val="0"/>
              <w:spacing w:before="0" w:after="0"/>
              <w:ind w:left="0" w:right="0" w:hanging="0"/>
              <w:jc w:val="left"/>
              <w:rPr/>
            </w:pPr>
            <w:r>
              <w:rPr/>
              <w:t> </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1,983</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82-172</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346" w:type="dxa"/>
            <w:tcBorders/>
            <w:shd w:fill="CCEEFF" w:val="clear"/>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2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Discount rate</w:t>
            </w:r>
          </w:p>
        </w:tc>
        <w:tc>
          <w:tcPr>
            <w:tcW w:w="245"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bl>
    <w:tbl>
      <w:tblPr>
        <w:tblW w:w="8597" w:type="dxa"/>
        <w:jc w:val="left"/>
        <w:tblInd w:w="0" w:type="dxa"/>
        <w:tblLayout w:type="fixed"/>
        <w:tblCellMar>
          <w:top w:w="0" w:type="dxa"/>
          <w:left w:w="0" w:type="dxa"/>
          <w:bottom w:w="0" w:type="dxa"/>
          <w:right w:w="0" w:type="dxa"/>
        </w:tblCellMar>
      </w:tblPr>
      <w:tblGrid>
        <w:gridCol w:w="331"/>
        <w:gridCol w:w="826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26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There were no</w:t>
            </w:r>
            <w:r>
              <w:rPr>
                <w:caps w:val="false"/>
                <w:smallCaps w:val="false"/>
              </w:rPr>
              <w:t xml:space="preserve"> </w:t>
            </w:r>
            <w:r>
              <w:rPr>
                <w:rFonts w:ascii="Times New Roman;Times;serif" w:hAnsi="Times New Roman;Times;serif"/>
                <w:b w:val="false"/>
                <w:i w:val="false"/>
                <w:caps w:val="false"/>
                <w:smallCaps w:val="false"/>
                <w:sz w:val="16"/>
              </w:rPr>
              <w:t>discounts taken on the collateral that comprises the balance of foreclosed assets as of March 31, 2024.</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3831" w:name="Tc_A3lPvv7WvEqmzR6sNYoMqw_7_11"/>
      <w:bookmarkStart w:id="3832" w:name="Tc_0B-cggHq5UOF_GnIHnobug_7_9"/>
      <w:bookmarkStart w:id="3833" w:name="Tc_6LtLrRFFH0C6x4ktrbMrXg_7_4"/>
      <w:bookmarkStart w:id="3834" w:name="Tc_DGYu85hgZUS4DeX5_UHnEQ_6_8"/>
      <w:bookmarkStart w:id="3835" w:name="Tc_JAaVKAUipEeh3h0-ZCYy6g_6_4"/>
      <w:bookmarkStart w:id="3836" w:name="Tc_5nSyVcgJUk2i5_6JHIMwsQ_6_0"/>
      <w:bookmarkStart w:id="3837" w:name="Tc_YI52o0FSe06LOPG_nlz4ug_5_10"/>
      <w:bookmarkStart w:id="3838" w:name="Tc_DU15fmKIS0OAlCBsaAWstQ_5_8"/>
      <w:bookmarkStart w:id="3839" w:name="Tc_aS0ScEtJS06uFRV2vcaf6Q_5_4"/>
      <w:bookmarkStart w:id="3840" w:name="Tc_wob8Zuvr3Ey_MWxF6VTIYg_5_2"/>
      <w:bookmarkStart w:id="3841" w:name="Tc_b9przsa8cE-Z-fOa8XiPtQ_5_0"/>
      <w:bookmarkStart w:id="3842" w:name="Tc_EKgrE3gf70KPK6rC1knVow_4_11"/>
      <w:bookmarkStart w:id="3843" w:name="Tc_vHd6cPRR9ECT6cUoRCqq_Q_4_9"/>
      <w:bookmarkStart w:id="3844" w:name="Tc_6rMID_NiI0Oz_LBGh8-Vgw_4_5"/>
      <w:bookmarkStart w:id="3845" w:name="Tc_BHI9zU6F3kabLC_98kU74w_4_4"/>
      <w:bookmarkStart w:id="3846" w:name="Tc_4vNN2rw0NEG8VKImLUVyog_4_2"/>
      <w:bookmarkStart w:id="3847" w:name="Tc_YQm9y6SbpkKGytSYQanAwg_4_0"/>
      <w:bookmarkStart w:id="3848" w:name="Tc_DqZuDG4iTUGpyYTr6_yhxw_3_10"/>
      <w:bookmarkStart w:id="3849" w:name="Tc_j22LJdQTSE-WfT1M-Pugjw_3_8"/>
      <w:bookmarkStart w:id="3850" w:name="Tc_-8cQL5-xekGFz3l181Z5uw_3_5"/>
      <w:bookmarkStart w:id="3851" w:name="Tc_GPcYoI-Iwkmm3ieEFG1gMQ_3_4"/>
      <w:bookmarkStart w:id="3852" w:name="Tc_kWOabvfRj0OBtTquvoU98g_3_2"/>
      <w:bookmarkStart w:id="3853" w:name="Tc_jhL4ewtSl0iba73tuo8SAQ_3_0"/>
      <w:bookmarkStart w:id="3854" w:name="Tc_NMWDxvZ4AU-byyFTp9rWNw_2_10"/>
      <w:bookmarkStart w:id="3855" w:name="Tc_yzBHocFps0Sf2I_PRPbsfQ_2_0"/>
      <w:bookmarkStart w:id="3856" w:name="Tc_Rg9Hmu0CWE-TrB9_vsRzEg_1_5"/>
      <w:bookmarkStart w:id="3857" w:name="_cef7d99f_2c68_4dfc_983a_df2b55910c50"/>
      <w:bookmarkStart w:id="3858" w:name="Tc_A3lPvv7WvEqmzR6sNYoMqw_7_11"/>
      <w:bookmarkStart w:id="3859" w:name="Tc_0B-cggHq5UOF_GnIHnobug_7_9"/>
      <w:bookmarkStart w:id="3860" w:name="Tc_6LtLrRFFH0C6x4ktrbMrXg_7_4"/>
      <w:bookmarkStart w:id="3861" w:name="Tc_DGYu85hgZUS4DeX5_UHnEQ_6_8"/>
      <w:bookmarkStart w:id="3862" w:name="Tc_JAaVKAUipEeh3h0-ZCYy6g_6_4"/>
      <w:bookmarkStart w:id="3863" w:name="Tc_5nSyVcgJUk2i5_6JHIMwsQ_6_0"/>
      <w:bookmarkStart w:id="3864" w:name="Tc_YI52o0FSe06LOPG_nlz4ug_5_10"/>
      <w:bookmarkStart w:id="3865" w:name="Tc_DU15fmKIS0OAlCBsaAWstQ_5_8"/>
      <w:bookmarkStart w:id="3866" w:name="Tc_aS0ScEtJS06uFRV2vcaf6Q_5_4"/>
      <w:bookmarkStart w:id="3867" w:name="Tc_wob8Zuvr3Ey_MWxF6VTIYg_5_2"/>
      <w:bookmarkStart w:id="3868" w:name="Tc_b9przsa8cE-Z-fOa8XiPtQ_5_0"/>
      <w:bookmarkStart w:id="3869" w:name="Tc_EKgrE3gf70KPK6rC1knVow_4_11"/>
      <w:bookmarkStart w:id="3870" w:name="Tc_vHd6cPRR9ECT6cUoRCqq_Q_4_9"/>
      <w:bookmarkStart w:id="3871" w:name="Tc_6rMID_NiI0Oz_LBGh8-Vgw_4_5"/>
      <w:bookmarkStart w:id="3872" w:name="Tc_BHI9zU6F3kabLC_98kU74w_4_4"/>
      <w:bookmarkStart w:id="3873" w:name="Tc_4vNN2rw0NEG8VKImLUVyog_4_2"/>
      <w:bookmarkStart w:id="3874" w:name="Tc_YQm9y6SbpkKGytSYQanAwg_4_0"/>
      <w:bookmarkStart w:id="3875" w:name="Tc_DqZuDG4iTUGpyYTr6_yhxw_3_10"/>
      <w:bookmarkStart w:id="3876" w:name="Tc_j22LJdQTSE-WfT1M-Pugjw_3_8"/>
      <w:bookmarkStart w:id="3877" w:name="Tc_-8cQL5-xekGFz3l181Z5uw_3_5"/>
      <w:bookmarkStart w:id="3878" w:name="Tc_GPcYoI-Iwkmm3ieEFG1gMQ_3_4"/>
      <w:bookmarkStart w:id="3879" w:name="Tc_kWOabvfRj0OBtTquvoU98g_3_2"/>
      <w:bookmarkStart w:id="3880" w:name="Tc_jhL4ewtSl0iba73tuo8SAQ_3_0"/>
      <w:bookmarkStart w:id="3881" w:name="Tc_NMWDxvZ4AU-byyFTp9rWNw_2_10"/>
      <w:bookmarkStart w:id="3882" w:name="Tc_yzBHocFps0Sf2I_PRPbsfQ_2_0"/>
      <w:bookmarkStart w:id="3883" w:name="Tc_Rg9Hmu0CWE-TrB9_vsRzEg_1_5"/>
      <w:bookmarkStart w:id="3884" w:name="_cef7d99f_2c68_4dfc_983a_df2b55910c50"/>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p>
    <w:tbl>
      <w:tblPr>
        <w:tblW w:w="9700" w:type="dxa"/>
        <w:jc w:val="left"/>
        <w:tblInd w:w="0" w:type="dxa"/>
        <w:tblLayout w:type="fixed"/>
        <w:tblCellMar>
          <w:top w:w="0" w:type="dxa"/>
          <w:left w:w="0" w:type="dxa"/>
          <w:bottom w:w="0" w:type="dxa"/>
          <w:right w:w="0" w:type="dxa"/>
        </w:tblCellMar>
      </w:tblPr>
      <w:tblGrid>
        <w:gridCol w:w="1681"/>
        <w:gridCol w:w="326"/>
        <w:gridCol w:w="1726"/>
        <w:gridCol w:w="326"/>
        <w:gridCol w:w="2326"/>
        <w:gridCol w:w="245"/>
        <w:gridCol w:w="640"/>
        <w:gridCol w:w="326"/>
        <w:gridCol w:w="616"/>
        <w:gridCol w:w="346"/>
        <w:gridCol w:w="796"/>
        <w:gridCol w:w="34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1067435" cy="175260"/>
                      <wp:effectExtent l="0" t="0" r="0" b="0"/>
                      <wp:wrapNone/>
                      <wp:docPr id="725" name="Frame725"/>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207010" cy="175260"/>
                      <wp:effectExtent l="0" t="0" r="0" b="0"/>
                      <wp:wrapNone/>
                      <wp:docPr id="726" name="Frame7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1096010" cy="175260"/>
                      <wp:effectExtent l="0" t="0" r="0" b="0"/>
                      <wp:wrapNone/>
                      <wp:docPr id="727" name="Frame727"/>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07010" cy="175260"/>
                      <wp:effectExtent l="0" t="0" r="0" b="0"/>
                      <wp:wrapNone/>
                      <wp:docPr id="728" name="Frame7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1477010" cy="175260"/>
                      <wp:effectExtent l="0" t="0" r="0" b="0"/>
                      <wp:wrapNone/>
                      <wp:docPr id="729" name="Frame729"/>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155575" cy="175260"/>
                      <wp:effectExtent l="0" t="0" r="0" b="0"/>
                      <wp:wrapNone/>
                      <wp:docPr id="730" name="Frame73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406400" cy="175260"/>
                      <wp:effectExtent l="0" t="0" r="0" b="0"/>
                      <wp:wrapNone/>
                      <wp:docPr id="731" name="Frame731"/>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07010" cy="175260"/>
                      <wp:effectExtent l="0" t="0" r="0" b="0"/>
                      <wp:wrapNone/>
                      <wp:docPr id="732" name="Frame7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391160" cy="175260"/>
                      <wp:effectExtent l="0" t="0" r="0" b="0"/>
                      <wp:wrapNone/>
                      <wp:docPr id="733" name="Frame73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219710" cy="175260"/>
                      <wp:effectExtent l="0" t="0" r="0" b="0"/>
                      <wp:wrapNone/>
                      <wp:docPr id="734" name="Frame7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505460" cy="175260"/>
                      <wp:effectExtent l="0" t="0" r="0" b="0"/>
                      <wp:wrapNone/>
                      <wp:docPr id="735" name="Frame7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219710" cy="175260"/>
                      <wp:effectExtent l="0" t="0" r="0" b="0"/>
                      <wp:wrapNone/>
                      <wp:docPr id="736" name="Frame7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26" w:type="dxa"/>
            <w:tcBorders/>
            <w:vAlign w:val="center"/>
          </w:tcPr>
          <w:p>
            <w:pPr>
              <w:pStyle w:val="TableContents"/>
              <w:bidi w:val="0"/>
              <w:spacing w:before="0" w:after="0"/>
              <w:ind w:left="0" w:right="0" w:hanging="0"/>
              <w:jc w:val="center"/>
              <w:rPr/>
            </w:pPr>
            <w:r>
              <w:rPr/>
              <w:t>​</w:t>
            </w:r>
          </w:p>
        </w:tc>
        <w:tc>
          <w:tcPr>
            <w:tcW w:w="296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46"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center"/>
              <w:rPr/>
            </w:pPr>
            <w:r>
              <w:rPr/>
              <w:t>​</w:t>
            </w:r>
          </w:p>
        </w:tc>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2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 Type</w:t>
            </w:r>
          </w:p>
        </w:tc>
        <w:tc>
          <w:tcPr>
            <w:tcW w:w="326"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Technique</w:t>
            </w:r>
          </w:p>
        </w:tc>
        <w:tc>
          <w:tcPr>
            <w:tcW w:w="326" w:type="dxa"/>
            <w:tcBorders/>
            <w:vAlign w:val="center"/>
          </w:tcPr>
          <w:p>
            <w:pPr>
              <w:pStyle w:val="TableContents"/>
              <w:bidi w:val="0"/>
              <w:spacing w:before="0" w:after="0"/>
              <w:ind w:left="0" w:right="0" w:hanging="0"/>
              <w:jc w:val="left"/>
              <w:rPr/>
            </w:pPr>
            <w:r>
              <w:rPr/>
              <w:t>    </w:t>
            </w:r>
          </w:p>
        </w:tc>
        <w:tc>
          <w:tcPr>
            <w:tcW w:w="23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Unobservable Input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 </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Individually evaluated</w:t>
            </w:r>
          </w:p>
        </w:tc>
        <w:tc>
          <w:tcPr>
            <w:tcW w:w="326"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Appraisal value</w:t>
            </w:r>
          </w:p>
        </w:tc>
        <w:tc>
          <w:tcPr>
            <w:tcW w:w="326" w:type="dxa"/>
            <w:tcBorders/>
            <w:shd w:fill="CCEEFF" w:val="clear"/>
            <w:vAlign w:val="center"/>
          </w:tcPr>
          <w:p>
            <w:pPr>
              <w:pStyle w:val="TableContents"/>
              <w:bidi w:val="0"/>
              <w:spacing w:before="0" w:after="0"/>
              <w:ind w:left="0" w:right="0" w:hanging="0"/>
              <w:jc w:val="left"/>
              <w:rPr/>
            </w:pPr>
            <w:r>
              <w:rPr/>
              <w:t> </w:t>
            </w:r>
          </w:p>
        </w:tc>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specific adjustment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3,998</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Foreclosed assets</w:t>
            </w:r>
          </w:p>
        </w:tc>
        <w:tc>
          <w:tcPr>
            <w:tcW w:w="326"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Appraisal value</w:t>
            </w:r>
          </w:p>
        </w:tc>
        <w:tc>
          <w:tcPr>
            <w:tcW w:w="326" w:type="dxa"/>
            <w:tcBorders/>
            <w:vAlign w:val="center"/>
          </w:tcPr>
          <w:p>
            <w:pPr>
              <w:pStyle w:val="TableContents"/>
              <w:bidi w:val="0"/>
              <w:spacing w:before="0" w:after="0"/>
              <w:ind w:left="0" w:right="0" w:hanging="0"/>
              <w:jc w:val="left"/>
              <w:rPr/>
            </w:pPr>
            <w:r>
              <w:rPr/>
              <w:t> </w:t>
            </w:r>
          </w:p>
        </w:tc>
        <w:tc>
          <w:tcPr>
            <w:tcW w:w="23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Property specific adjustment </w:t>
            </w:r>
            <w:r>
              <w:rPr>
                <w:rFonts w:ascii="Times New Roman;Times;serif" w:hAnsi="Times New Roman;Times;serif"/>
                <w:sz w:val="14"/>
              </w:rPr>
              <w:t>(1)</w:t>
            </w:r>
          </w:p>
        </w:tc>
        <w:tc>
          <w:tcPr>
            <w:tcW w:w="245"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46" w:type="dxa"/>
            <w:tcBorders/>
            <w:vAlign w:val="center"/>
          </w:tcPr>
          <w:p>
            <w:pPr>
              <w:pStyle w:val="TableContents"/>
              <w:bidi w:val="0"/>
              <w:spacing w:before="0" w:after="0"/>
              <w:ind w:left="0" w:right="0" w:hanging="0"/>
              <w:jc w:val="left"/>
              <w:rPr/>
            </w:pPr>
            <w:r>
              <w:rPr/>
              <w:t>​</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Servicing rights</w:t>
            </w:r>
          </w:p>
        </w:tc>
        <w:tc>
          <w:tcPr>
            <w:tcW w:w="326"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Discounted cash flows</w:t>
            </w:r>
          </w:p>
        </w:tc>
        <w:tc>
          <w:tcPr>
            <w:tcW w:w="326" w:type="dxa"/>
            <w:tcBorders/>
            <w:shd w:fill="CCEEFF" w:val="clear"/>
            <w:vAlign w:val="center"/>
          </w:tcPr>
          <w:p>
            <w:pPr>
              <w:pStyle w:val="TableContents"/>
              <w:bidi w:val="0"/>
              <w:spacing w:before="0" w:after="0"/>
              <w:ind w:left="0" w:right="0" w:hanging="0"/>
              <w:jc w:val="left"/>
              <w:rPr/>
            </w:pPr>
            <w:r>
              <w:rPr/>
              <w:t> </w:t>
            </w:r>
          </w:p>
        </w:tc>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Prepayment speed assumptions</w:t>
            </w:r>
          </w:p>
        </w:tc>
        <w:tc>
          <w:tcPr>
            <w:tcW w:w="245" w:type="dxa"/>
            <w:tcBorders/>
            <w:shd w:fill="CCEEFF" w:val="clear"/>
            <w:vAlign w:val="center"/>
          </w:tcPr>
          <w:p>
            <w:pPr>
              <w:pStyle w:val="TableContents"/>
              <w:bidi w:val="0"/>
              <w:spacing w:before="0" w:after="0"/>
              <w:ind w:left="0" w:right="0" w:hanging="0"/>
              <w:jc w:val="left"/>
              <w:rPr/>
            </w:pPr>
            <w:r>
              <w:rPr/>
              <w:t> </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2,052</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85-151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2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Discount rate</w:t>
            </w:r>
          </w:p>
        </w:tc>
        <w:tc>
          <w:tcPr>
            <w:tcW w:w="245"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tbl>
      <w:tblPr>
        <w:tblW w:w="8852" w:type="dxa"/>
        <w:jc w:val="left"/>
        <w:tblInd w:w="0" w:type="dxa"/>
        <w:tblLayout w:type="fixed"/>
        <w:tblCellMar>
          <w:top w:w="0" w:type="dxa"/>
          <w:left w:w="0" w:type="dxa"/>
          <w:bottom w:w="0" w:type="dxa"/>
          <w:right w:w="0" w:type="dxa"/>
        </w:tblCellMar>
      </w:tblPr>
      <w:tblGrid>
        <w:gridCol w:w="331"/>
        <w:gridCol w:w="852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52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There were no</w:t>
            </w:r>
            <w:r>
              <w:rPr>
                <w:caps w:val="false"/>
                <w:smallCaps w:val="false"/>
              </w:rPr>
              <w:t xml:space="preserve"> </w:t>
            </w:r>
            <w:r>
              <w:rPr>
                <w:rFonts w:ascii="Times New Roman;Times;serif" w:hAnsi="Times New Roman;Times;serif"/>
                <w:b w:val="false"/>
                <w:i w:val="false"/>
                <w:caps w:val="false"/>
                <w:smallCaps w:val="false"/>
                <w:sz w:val="16"/>
              </w:rPr>
              <w:t>discounts taken on the collateral that comprises the balance of foreclosed assets as of December 31, 2023.</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Disclosure of estimated fair value information about financial instruments, for which it is practicable to estimate that value, is required whether or not recognized in the consolidated balance sheets. In cases in which quoted market prices are not available, estimated fair values are based on estimates using present value or other valuation techniques. Those techniques are significantly affected by the assumptions used, including the discount rate and estimate of future cash flows. In that regard, the derived estimated fair value estimates cannot be substantiated by comparison to independent markets and, in many cases could not be realized in immediate settlement of the instruments. Certain financial instruments, with an estimated fair value that is not practicable to estimate and all non-financial instruments, are excluded from the disclosure requirements. Accordingly, the aggregate estimated fair value amounts presented do not necessarily represent the underlying value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disclosures represent financial instruments in which the ending balances, as of March 31, 2024 and December 31, 2023, were not carried at estimated fair value in their entirety on the consolidated balance sheets.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and Cash Equivalents and Accrued Interest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carrying amounts reported in the consolidated balance sheets approximate those assets and liabilities estimated fair values.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 Securities, Held-to-Maturity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values of debt securities held-to-maturity are based on quoted market prices for the same or similar securities, recently executed transactions and pricing models.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variable-rate loans that reprice frequently and with no significant change in credit risk, estimated fair values are based on carrying values. The estimated fair values of other loans are estimated using discounted cash flow analysis, using interest rates currently being offered for loans with similar terms to borrowers of similar credit quality.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Bank-Owned Life 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Bank-owned life insurance is carried at the amount due upon surrender of the policy, which is also the estimated fair value. This amount was provided by the insurance companies based on the terms of the underlying insurance contract.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Deposits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estimated fair values of demand deposits are, by definition, equal to the amount payable on demand at the consolidated balance sheet date. The estimated fair values of fixed-rate certificates of deposit are estimated using a discounted cash flow calculation that applies current incremental interest rates being offered on certificates of deposit to a schedule of aggregated expected monthly maturities of the outstanding certificates of deposit.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885" w:name="Tc_dIuyFDOE_0eMAH5KWuAiYg_16_12"/>
      <w:bookmarkStart w:id="3886" w:name="Tc_mcWkXLnt70SQiKHkHjSzYA_16_9"/>
      <w:bookmarkStart w:id="3887" w:name="Tc_WWAyD-LR8EKjuO-KXBUFSQ_16_0"/>
      <w:bookmarkStart w:id="3888" w:name="Tc_OAGjGMFQdUiNbaKkNsmMIQ_15_12"/>
      <w:bookmarkStart w:id="3889" w:name="Tc_v4YZc2T1fkmhHUNT-1cZqg_15_6"/>
      <w:bookmarkStart w:id="3890" w:name="Tc_SH0SnV43FkWz7K2g5XUA2Q_15_0"/>
      <w:bookmarkStart w:id="3891" w:name="Tc_Prg5SSimhUC3luib9zuA7g_14_12"/>
      <w:bookmarkStart w:id="3892" w:name="Tc_leCDnSe-RkSFj_7BK8x9iA_14_9"/>
      <w:bookmarkStart w:id="3893" w:name="Tc_EmYXhtNuP02qvl8vfeuq-g_14_0"/>
      <w:bookmarkStart w:id="3894" w:name="Tc_H-NxsD4hWE2PGqYTpfR7iw_13_12"/>
      <w:bookmarkStart w:id="3895" w:name="Tc_wUysPXf4r0CuwkubXsHbSQ_13_6"/>
      <w:bookmarkStart w:id="3896" w:name="Tc_PHclzUeq6ECYwKjLSj1kGQ_13_0"/>
      <w:bookmarkStart w:id="3897" w:name="Tc_RWc2wEWpoEGh6X0Yr_U6DA_12_12"/>
      <w:bookmarkStart w:id="3898" w:name="Tc_gWAyprl--0mpHc0ir7yF_A_12_6"/>
      <w:bookmarkStart w:id="3899" w:name="Tc_Z_87FCKSKUqoTaUPTtzgoQ_12_0"/>
      <w:bookmarkStart w:id="3900" w:name="Tc_aneVTQ2MvEe56xlLVg1wcQ_11_14"/>
      <w:bookmarkStart w:id="3901" w:name="Tc_k9aswKqgHUC2Q_kR17y3cA_11_12"/>
      <w:bookmarkStart w:id="3902" w:name="Tc_0Tz4-IZoY0GiH_-Jm7ry_Q_11_11"/>
      <w:bookmarkStart w:id="3903" w:name="Tc_OYPKx5_uckOWIhSMsZ8iug_11_8"/>
      <w:bookmarkStart w:id="3904" w:name="Tc_PpozeCMk0kGBnjRb4yrdWw_11_6"/>
      <w:bookmarkStart w:id="3905" w:name="Tc_9b8N5IKKl0mcW2QXOoBsZA_11_5"/>
      <w:bookmarkStart w:id="3906" w:name="Tc_phw3wi76lU2ti1yo4Q_Jtg_11_2"/>
      <w:bookmarkStart w:id="3907" w:name="Tc_5spc0_j9bkeWBMDoYKJVcQ_11_0"/>
      <w:bookmarkStart w:id="3908" w:name="Tc_WTIiI7wR1EOEn9nlR5tugg_10_0"/>
      <w:bookmarkStart w:id="3909" w:name="Tc_T60NiN5v_0auLNqjehWAzw_9_12"/>
      <w:bookmarkStart w:id="3910" w:name="Tc_w9hROuXpWkiaQjIL9Y38yQ_9_6"/>
      <w:bookmarkStart w:id="3911" w:name="Tc_aNgpmu9NakqX6zBKd_vlPQ_9_0"/>
      <w:bookmarkStart w:id="3912" w:name="Tc_CT_oVl4fTkWBkE5bPChvNA_8_12"/>
      <w:bookmarkStart w:id="3913" w:name="Tc_SNRXZjbxX0-zRAAht3kLmQ_8_9"/>
      <w:bookmarkStart w:id="3914" w:name="Tc_2PVy791-k0ukB0Fx2cJXSA_8_0"/>
      <w:bookmarkStart w:id="3915" w:name="Tc_nH2KOp6Vp0yFOmyOpIQ9Hg_7_9"/>
      <w:bookmarkStart w:id="3916" w:name="Tc_RK6nwBoIqUKfeTW-UesiGA_7_6"/>
      <w:bookmarkStart w:id="3917" w:name="Tc_97rrCQs7FUyba25zw-orjQ_7_0"/>
      <w:bookmarkStart w:id="3918" w:name="Tc_27MDGCZGU0yb4aFPu5RmFA_6_12"/>
      <w:bookmarkStart w:id="3919" w:name="Tc_SneH2BJUY02-KXkNwBLG7w_6_6"/>
      <w:bookmarkStart w:id="3920" w:name="Tc_7L8cDOau_k2QYUb6SADBIA_6_0"/>
      <w:bookmarkStart w:id="3921" w:name="Tc_J1ygb3mmX0iVlyMX8w-Mpg_5_14"/>
      <w:bookmarkStart w:id="3922" w:name="Tc_l9gK8qLvTUCm__KHFVKvxw_5_12"/>
      <w:bookmarkStart w:id="3923" w:name="Tc_-AgPUbKoZE-lEcJHCh859Q_5_11"/>
      <w:bookmarkStart w:id="3924" w:name="Tc_Fz8P-pvtNUiacmm4czxcqg_5_9"/>
      <w:bookmarkStart w:id="3925" w:name="Tc_ISmhN-wbqEqef6YWutIdjg_5_8"/>
      <w:bookmarkStart w:id="3926" w:name="Tc_OdAEU0WlLEWodhm3hAgNgg_5_5"/>
      <w:bookmarkStart w:id="3927" w:name="Tc_UUE7q0OKD0iWaZ78h86vbA_5_2"/>
      <w:bookmarkStart w:id="3928" w:name="Tc_cMpAYenS0Ei79ftqP2Cy5A_5_0"/>
      <w:bookmarkStart w:id="3929" w:name="Tc_v4pZijU-UUGVUMwGm9hpPA_4_0"/>
      <w:bookmarkStart w:id="3930" w:name="Tc_MW_8v-xNSEmDj3QpjEqLzg_3_14"/>
      <w:bookmarkStart w:id="3931" w:name="Tc_k0oIqVZ5B02DnVRTboGL9Q_3_11"/>
      <w:bookmarkStart w:id="3932" w:name="Tc_TiZjJ0nbBkOTRuRjtnj3Lg_3_8"/>
      <w:bookmarkStart w:id="3933" w:name="Tc_KnXC-oVRhEGGI0rh9Mk-tg_3_5"/>
      <w:bookmarkStart w:id="3934" w:name="Tc_o-wgnncrWUSXwLJ65fHe7Q_3_2"/>
      <w:bookmarkStart w:id="3935" w:name="Tc_7AIR2uzEy0yPbwG2tGtzow_3_0"/>
      <w:bookmarkStart w:id="3936" w:name="Tc_HpXg_98l40uccvbyQQ2D1A_2_5"/>
      <w:bookmarkStart w:id="3937" w:name="Tc_9tfkYVvE1U2ZGGqtxw_0Rw_2_2"/>
      <w:bookmarkStart w:id="3938" w:name="Tc_9c1nxNVovUeqoUU8pIeE-Q_1_2"/>
      <w:bookmarkStart w:id="3939" w:name="_1855e4df_c460_48dc_8659_beb73e293f49"/>
      <w:bookmarkStart w:id="3940" w:name="Tc_RKonicQShkaIx5Dg5ZVNUQ_16_12"/>
      <w:bookmarkStart w:id="3941" w:name="Tc_JSWzQEQWDEyi0gEJ8c_1rg_16_9"/>
      <w:bookmarkStart w:id="3942" w:name="Tc_d4Ri4eyRn0KCKWdk43chSg_16_0"/>
      <w:bookmarkStart w:id="3943" w:name="Tc_HBm9VRbH2kWNLwMfS3bjyg_15_12"/>
      <w:bookmarkStart w:id="3944" w:name="Tc_qKaopMdSjEKUe8dnuZhelA_15_6"/>
      <w:bookmarkStart w:id="3945" w:name="Tc_ececilhUu0u6zdIzxcZKOA_15_0"/>
      <w:bookmarkStart w:id="3946" w:name="Tc_-Ltx6i1ELEy_rGHNyMgjig_14_12"/>
      <w:bookmarkStart w:id="3947" w:name="Tc_NkHcGCKw-UG1uB3idGvcgg_14_9"/>
      <w:bookmarkStart w:id="3948" w:name="Tc_2umBDwTQtEWP9gDxTgBwLw_14_0"/>
      <w:bookmarkStart w:id="3949" w:name="Tc_1MHiy3Pd3kOKLf2Gra6k9Q_13_12"/>
      <w:bookmarkStart w:id="3950" w:name="Tc_jZBhN8mkNk6s8ld29wqIzQ_13_6"/>
      <w:bookmarkStart w:id="3951" w:name="Tc_JuqHVkqCN0yD0W6OCAqxig_13_0"/>
      <w:bookmarkStart w:id="3952" w:name="Tc_Sl_8kAZo502DI6CEQqLrOQ_12_12"/>
      <w:bookmarkStart w:id="3953" w:name="Tc_AHn__3apykWcN57o9CAU8w_12_6"/>
      <w:bookmarkStart w:id="3954" w:name="Tc_KonpNqvsVE6Aqy96DzOBjA_12_0"/>
      <w:bookmarkStart w:id="3955" w:name="Tc_HKGR-KNEMEWkPGsq8ZHkGg_11_14"/>
      <w:bookmarkStart w:id="3956" w:name="Tc_h05HkOka8EibTYQKqslQmQ_11_12"/>
      <w:bookmarkStart w:id="3957" w:name="Tc_AHl79aV6F0ibQ0xcB1NNwQ_11_11"/>
      <w:bookmarkStart w:id="3958" w:name="Tc_UUzOML1ncU20Ydcb4LzXRA_11_8"/>
      <w:bookmarkStart w:id="3959" w:name="Tc_4vtJokscPkCWbrcDuVZn0A_11_6"/>
      <w:bookmarkStart w:id="3960" w:name="Tc_lSQCMwh4nEy6_hlBOW0tEQ_11_5"/>
      <w:bookmarkStart w:id="3961" w:name="Tc_PwjizSd_BUW7NelD33Lllw_11_2"/>
      <w:bookmarkStart w:id="3962" w:name="Tc_4I-Jfw-KM0-O23yadUkpsg_11_0"/>
      <w:bookmarkStart w:id="3963" w:name="Tc_0n9-Gp-Xe0OCUpnbZOhyrg_10_0"/>
      <w:bookmarkStart w:id="3964" w:name="Tc_UwpzvtvnQ0eIfxCdYmCr5Q_9_12"/>
      <w:bookmarkStart w:id="3965" w:name="Tc_RN-sflsIKESND_Cf1eBs1A_9_6"/>
      <w:bookmarkStart w:id="3966" w:name="Tc_eZP0V-n7wEiQgnXJOlYnOA_9_0"/>
      <w:bookmarkStart w:id="3967" w:name="Tc_m3u25WYD3kWnAcJOQ2uNoA_8_12"/>
      <w:bookmarkStart w:id="3968" w:name="Tc_tUlK-ZxjIk2F27Kfni66IQ_8_9"/>
      <w:bookmarkStart w:id="3969" w:name="Tc_UnFw0-f8qUa8SkFWW6Ecwg_8_0"/>
      <w:bookmarkStart w:id="3970" w:name="Tc_dhIjswEPe0mOhmgkdxDQVg_7_9"/>
      <w:bookmarkStart w:id="3971" w:name="Tc_UCmE_-6FlkW15-I3jhoTCg_7_6"/>
      <w:bookmarkStart w:id="3972" w:name="Tc_ZWZMfU3pjEK87_mpMM7E5w_7_0"/>
      <w:bookmarkStart w:id="3973" w:name="Tc_xKzIIoqC3UaTAoz6MzKGaA_6_12"/>
      <w:bookmarkStart w:id="3974" w:name="Tc_YwRZx3aE9EijT6yEvHCkPg_6_6"/>
      <w:bookmarkStart w:id="3975" w:name="Tc_1biSXQ4FDU6piRPNQY6klw_6_0"/>
      <w:bookmarkStart w:id="3976" w:name="Tc_gg-HtFQbakOgFcDv9O_D0A_5_14"/>
      <w:bookmarkStart w:id="3977" w:name="Tc_Txfl1xwUCUmp5fi30HF23Q_5_12"/>
      <w:bookmarkStart w:id="3978" w:name="Tc_K6C6Z8Ho1UKhlFlzzWJCSw_5_11"/>
      <w:bookmarkStart w:id="3979" w:name="Tc_SI4_KEf9VUmER17wV3KVag_5_9"/>
      <w:bookmarkStart w:id="3980" w:name="Tc_zLI9fA0i20SJVnQWfaH1eA_5_8"/>
      <w:bookmarkStart w:id="3981" w:name="Tc_KRU4CcKPeE2V7k4A5HBsCg_5_5"/>
      <w:bookmarkStart w:id="3982" w:name="Tc_jV1HY1r3UkWq51zuvQwXNA_5_2"/>
      <w:bookmarkStart w:id="3983" w:name="Tc_r3IM9kIGtUGauQdDjf9J9g_5_0"/>
      <w:bookmarkStart w:id="3984" w:name="Tc_kI_YQSH1vkK4BUbESzcDQg_4_0"/>
      <w:bookmarkStart w:id="3985" w:name="Tc_Gj7lZAGHVEWL6pLGBuHLQw_3_14"/>
      <w:bookmarkStart w:id="3986" w:name="Tc_cRtG-wnfmUOLlrbOkldgUg_3_11"/>
      <w:bookmarkStart w:id="3987" w:name="Tc_dHeNgRmWwUG525RwdVx4ZQ_3_8"/>
      <w:bookmarkStart w:id="3988" w:name="Tc_Hf6mjLcqMEOjptCKv1Nwig_3_5"/>
      <w:bookmarkStart w:id="3989" w:name="Tc_I5jfb0InWUuVbt3rvP9bbA_3_2"/>
      <w:bookmarkStart w:id="3990" w:name="Tc_IuvIIsK6Mkm4dH1sab2_tw_3_0"/>
      <w:bookmarkStart w:id="3991" w:name="Tc_4S3F1KjXaUOw0yf4J36gug_2_5"/>
      <w:bookmarkStart w:id="3992" w:name="Tc_2rD3MtzBg0yb1iqUqMe-2A_2_2"/>
      <w:bookmarkStart w:id="3993" w:name="Tc_hn4N0bIJEESdrREINQX8zg_1_2"/>
      <w:bookmarkStart w:id="3994" w:name="_f4931954_811d_405e_9e82_c93fdcf607e2"/>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r>
        <w:rPr>
          <w:rFonts w:ascii="Times New Roman;Times;serif" w:hAnsi="Times New Roman;Times;serif"/>
          <w:b/>
          <w:sz w:val="20"/>
        </w:rPr>
        <w:t>Short-Term Borrowings and Long-Term Debt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variable-rate borrowings that reprice frequently, estimated fair values are based on carrying values. The estimated fair values of fixed-rate borrowings are estimated using discounted cash flow analysis, based on the Company’s current incremental borrowing rates for similar types of borrowing arrangements.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Credit-Related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Off-balance sheet credit related commitments are generally of short-term nature. The contract amount of such commitments approximates their estimated fair value since the commitments are comprised primarily of unfunded loan commitments which are generally priced at market at the time of funding.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estimated fair values, and related carrying or notional amounts, of the Company’s financial instruments at the dates indicated are as follows:</w:t>
      </w:r>
    </w:p>
    <w:p>
      <w:pPr>
        <w:pStyle w:val="TextBody"/>
        <w:bidi w:val="0"/>
        <w:spacing w:before="0" w:after="0"/>
        <w:ind w:left="0" w:right="0" w:hanging="0"/>
        <w:jc w:val="left"/>
        <w:rPr/>
      </w:pPr>
      <w:r>
        <w:rPr/>
        <w:t>​</w:t>
      </w:r>
    </w:p>
    <w:tbl>
      <w:tblPr>
        <w:tblW w:w="9441" w:type="dxa"/>
        <w:jc w:val="left"/>
        <w:tblInd w:w="0" w:type="dxa"/>
        <w:tblLayout w:type="fixed"/>
        <w:tblCellMar>
          <w:top w:w="0" w:type="dxa"/>
          <w:left w:w="0" w:type="dxa"/>
          <w:bottom w:w="0" w:type="dxa"/>
          <w:right w:w="0" w:type="dxa"/>
        </w:tblCellMar>
      </w:tblPr>
      <w:tblGrid>
        <w:gridCol w:w="2791"/>
        <w:gridCol w:w="326"/>
        <w:gridCol w:w="196"/>
        <w:gridCol w:w="826"/>
        <w:gridCol w:w="326"/>
        <w:gridCol w:w="196"/>
        <w:gridCol w:w="691"/>
        <w:gridCol w:w="326"/>
        <w:gridCol w:w="196"/>
        <w:gridCol w:w="826"/>
        <w:gridCol w:w="326"/>
        <w:gridCol w:w="196"/>
        <w:gridCol w:w="826"/>
        <w:gridCol w:w="326"/>
        <w:gridCol w:w="196"/>
        <w:gridCol w:w="87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1772285" cy="175260"/>
                      <wp:effectExtent l="0" t="0" r="0" b="0"/>
                      <wp:wrapNone/>
                      <wp:docPr id="737" name="Frame737"/>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207010" cy="175260"/>
                      <wp:effectExtent l="0" t="0" r="0" b="0"/>
                      <wp:wrapNone/>
                      <wp:docPr id="738" name="Frame7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124460" cy="175260"/>
                      <wp:effectExtent l="0" t="0" r="0" b="0"/>
                      <wp:wrapNone/>
                      <wp:docPr id="739" name="Frame7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524510" cy="175260"/>
                      <wp:effectExtent l="0" t="0" r="0" b="0"/>
                      <wp:wrapNone/>
                      <wp:docPr id="740" name="Frame74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207010" cy="175260"/>
                      <wp:effectExtent l="0" t="0" r="0" b="0"/>
                      <wp:wrapNone/>
                      <wp:docPr id="741" name="Frame7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124460" cy="175260"/>
                      <wp:effectExtent l="0" t="0" r="0" b="0"/>
                      <wp:wrapNone/>
                      <wp:docPr id="742" name="Frame7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438785" cy="175260"/>
                      <wp:effectExtent l="0" t="0" r="0" b="0"/>
                      <wp:wrapNone/>
                      <wp:docPr id="743" name="Frame7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07010" cy="175260"/>
                      <wp:effectExtent l="0" t="0" r="0" b="0"/>
                      <wp:wrapNone/>
                      <wp:docPr id="744" name="Frame7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124460" cy="175260"/>
                      <wp:effectExtent l="0" t="0" r="0" b="0"/>
                      <wp:wrapNone/>
                      <wp:docPr id="745" name="Frame7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524510" cy="175260"/>
                      <wp:effectExtent l="0" t="0" r="0" b="0"/>
                      <wp:wrapNone/>
                      <wp:docPr id="746" name="Frame74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207010" cy="175260"/>
                      <wp:effectExtent l="0" t="0" r="0" b="0"/>
                      <wp:wrapNone/>
                      <wp:docPr id="747" name="Frame7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124460" cy="175260"/>
                      <wp:effectExtent l="0" t="0" r="0" b="0"/>
                      <wp:wrapNone/>
                      <wp:docPr id="748" name="Frame7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524510" cy="175260"/>
                      <wp:effectExtent l="0" t="0" r="0" b="0"/>
                      <wp:wrapNone/>
                      <wp:docPr id="749" name="Frame74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207010" cy="175260"/>
                      <wp:effectExtent l="0" t="0" r="0" b="0"/>
                      <wp:wrapNone/>
                      <wp:docPr id="750" name="Frame7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124460" cy="175260"/>
                      <wp:effectExtent l="0" t="0" r="0" b="0"/>
                      <wp:wrapNone/>
                      <wp:docPr id="751" name="Frame7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553085" cy="175260"/>
                      <wp:effectExtent l="0" t="0" r="0" b="0"/>
                      <wp:wrapNone/>
                      <wp:docPr id="752" name="Frame75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2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0"/>
              <w:ind w:left="0" w:right="0" w:hanging="0"/>
              <w:jc w:val="left"/>
              <w:rPr/>
            </w:pPr>
            <w:r>
              <w:rPr/>
              <w:t>​</w:t>
            </w:r>
          </w:p>
        </w:tc>
        <w:tc>
          <w:tcPr>
            <w:tcW w:w="497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Fair Value</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545,772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545,772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545,772</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 held-to-maturity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291,932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249,807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249,807</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2,762,891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2,623,566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2,623,566</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16,149</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Bank-owned life insurance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33,396</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Noninterest-bearing deposits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692,500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692,500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692,500</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2,135,740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2,135,740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2,135,740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Time deposits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456,729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454,272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454,272</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borrowings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555,000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58,985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57,983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57,983</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11,304</w:t>
            </w:r>
          </w:p>
        </w:tc>
      </w:tr>
    </w:tbl>
    <w:p>
      <w:pPr>
        <w:pStyle w:val="TextBody"/>
        <w:bidi w:val="0"/>
        <w:spacing w:before="0" w:after="0"/>
        <w:ind w:left="0" w:right="0" w:hanging="0"/>
        <w:jc w:val="left"/>
        <w:rPr/>
      </w:pPr>
      <w:r>
        <w:rPr/>
        <w:t>​</w:t>
      </w:r>
    </w:p>
    <w:tbl>
      <w:tblPr>
        <w:tblW w:w="9441" w:type="dxa"/>
        <w:jc w:val="left"/>
        <w:tblInd w:w="0" w:type="dxa"/>
        <w:tblLayout w:type="fixed"/>
        <w:tblCellMar>
          <w:top w:w="0" w:type="dxa"/>
          <w:left w:w="0" w:type="dxa"/>
          <w:bottom w:w="0" w:type="dxa"/>
          <w:right w:w="0" w:type="dxa"/>
        </w:tblCellMar>
      </w:tblPr>
      <w:tblGrid>
        <w:gridCol w:w="2791"/>
        <w:gridCol w:w="326"/>
        <w:gridCol w:w="196"/>
        <w:gridCol w:w="826"/>
        <w:gridCol w:w="326"/>
        <w:gridCol w:w="196"/>
        <w:gridCol w:w="691"/>
        <w:gridCol w:w="326"/>
        <w:gridCol w:w="196"/>
        <w:gridCol w:w="826"/>
        <w:gridCol w:w="326"/>
        <w:gridCol w:w="196"/>
        <w:gridCol w:w="826"/>
        <w:gridCol w:w="326"/>
        <w:gridCol w:w="196"/>
        <w:gridCol w:w="87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1772285" cy="175260"/>
                      <wp:effectExtent l="0" t="0" r="0" b="0"/>
                      <wp:wrapNone/>
                      <wp:docPr id="753" name="Frame753"/>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207010" cy="175260"/>
                      <wp:effectExtent l="0" t="0" r="0" b="0"/>
                      <wp:wrapNone/>
                      <wp:docPr id="754" name="Frame7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124460" cy="175260"/>
                      <wp:effectExtent l="0" t="0" r="0" b="0"/>
                      <wp:wrapNone/>
                      <wp:docPr id="755" name="Frame7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524510" cy="175260"/>
                      <wp:effectExtent l="0" t="0" r="0" b="0"/>
                      <wp:wrapNone/>
                      <wp:docPr id="756" name="Frame75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207010" cy="175260"/>
                      <wp:effectExtent l="0" t="0" r="0" b="0"/>
                      <wp:wrapNone/>
                      <wp:docPr id="757" name="Frame7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124460" cy="175260"/>
                      <wp:effectExtent l="0" t="0" r="0" b="0"/>
                      <wp:wrapNone/>
                      <wp:docPr id="758" name="Frame7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438785" cy="175260"/>
                      <wp:effectExtent l="0" t="0" r="0" b="0"/>
                      <wp:wrapNone/>
                      <wp:docPr id="759" name="Frame75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207010" cy="175260"/>
                      <wp:effectExtent l="0" t="0" r="0" b="0"/>
                      <wp:wrapNone/>
                      <wp:docPr id="760" name="Frame7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124460" cy="175260"/>
                      <wp:effectExtent l="0" t="0" r="0" b="0"/>
                      <wp:wrapNone/>
                      <wp:docPr id="761" name="Frame7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524510" cy="175260"/>
                      <wp:effectExtent l="0" t="0" r="0" b="0"/>
                      <wp:wrapNone/>
                      <wp:docPr id="762" name="Frame76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207010" cy="175260"/>
                      <wp:effectExtent l="0" t="0" r="0" b="0"/>
                      <wp:wrapNone/>
                      <wp:docPr id="763" name="Frame7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124460" cy="175260"/>
                      <wp:effectExtent l="0" t="0" r="0" b="0"/>
                      <wp:wrapNone/>
                      <wp:docPr id="764" name="Frame7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524510" cy="175260"/>
                      <wp:effectExtent l="0" t="0" r="0" b="0"/>
                      <wp:wrapNone/>
                      <wp:docPr id="765" name="Frame76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207010" cy="175260"/>
                      <wp:effectExtent l="0" t="0" r="0" b="0"/>
                      <wp:wrapNone/>
                      <wp:docPr id="766" name="Frame7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124460" cy="175260"/>
                      <wp:effectExtent l="0" t="0" r="0" b="0"/>
                      <wp:wrapNone/>
                      <wp:docPr id="767" name="Frame7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553085" cy="175260"/>
                      <wp:effectExtent l="0" t="0" r="0" b="0"/>
                      <wp:wrapNone/>
                      <wp:docPr id="768" name="Frame76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2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0"/>
              <w:ind w:left="0" w:right="0" w:hanging="0"/>
              <w:jc w:val="left"/>
              <w:rPr/>
            </w:pPr>
            <w:r>
              <w:rPr/>
              <w:t>​</w:t>
            </w:r>
          </w:p>
        </w:tc>
        <w:tc>
          <w:tcPr>
            <w:tcW w:w="497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Fair Value</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129,893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129,893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129,893</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 held-to-maturity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299,728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258,617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258,617</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2,723,740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2,590,535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2,590,535</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Bank-owned life insurance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33,236</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Noninterest-bearing deposits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728,082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728,082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728,082</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1,955,967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1,955,967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1,955,967</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Time deposits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411,562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408,910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408,910</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borrowings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314,170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314,170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314,170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58,956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57,437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57,437</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6,826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995" w:name="Item2ManagementsDiscussionandAnalysisofF"/>
      <w:bookmarkStart w:id="3996" w:name="_002be417_1709_4c8b_8292_ca6dc4aa9260"/>
      <w:bookmarkEnd w:id="3995"/>
      <w:bookmarkEnd w:id="3996"/>
      <w:r>
        <w:rPr>
          <w:rFonts w:ascii="Times New Roman;Times;serif" w:hAnsi="Times New Roman;Times;serif"/>
          <w:b/>
          <w:sz w:val="20"/>
        </w:rPr>
        <w:t>Item 2 –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The following discussion explains the Company’s financial condition and results of operations as of and for the three months ended March 31, 2024 and 2023. Annualized results for this interim period may not be indicative of results for the full year or future periods. The following discussion and analysis should be read in conjunction with the consolidated financial statements and related notes presented elsewhere in this report and the Company’s Annual Report on Form 10-K for the year ended December 31, 2023, filed with the SEC on March 8,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safe harbor provisions of the U.S. Private Securities Litigation Reform Act of 1995. Forward-looking statements include, without limitation, statements concerning plans, estimates, calculations, forecasts and projections with respect to the anticipated future performance of Alerus Financial Corporation. These statements are often, but not always, identified by words such as “may,” “might,” “should,” “could,” “predict,” “potential,” “believe,” “expect,” “continue,” “will,” “anticipate,” “seek,” “estimate,” “intend,” “plan,” “projection,” “would,” “annualized,” “target” and “outlook,” or the negative version of those words or other comparable words of a future or forward-looking nature. Examples of forward-looking statements include, among others, statements the Company make regarding the Company’s projected growth, anticipated future financial performance, financial condition, credit quality and management’s long-term performance goals and the future plans and prospects of Alerus Financial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Forward-looking statements are neither historical facts nor assurances of future performance. Instead, they are based only on the Company’s current beliefs, expectations and assumptions regarding the Company’s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the Company’s control. The Company’s actual results and financial condition may differ materially from those indicated in forward-looking statements. Therefore, you should not rely on any of these forward-looking statements. Important factors that could cause the Company’s actual results and financial condition to differ materially from those indicated in forward-looking statements include, among others, the following: </w:t>
      </w:r>
    </w:p>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including the effects of significant rate increases by the Federal Reserve since 2020;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successfully manage credit risk, including in the commercial real estate portfolio, and maintain an adequate level of allowance for credit losses;</w:t>
            </w:r>
          </w:p>
        </w:tc>
      </w:tr>
    </w:tbl>
    <w:tbl>
      <w:tblPr>
        <w:tblW w:w="3531" w:type="dxa"/>
        <w:jc w:val="left"/>
        <w:tblInd w:w="0" w:type="dxa"/>
        <w:tblLayout w:type="fixed"/>
        <w:tblCellMar>
          <w:top w:w="28" w:type="dxa"/>
          <w:left w:w="28" w:type="dxa"/>
          <w:bottom w:w="28" w:type="dxa"/>
          <w:right w:w="28" w:type="dxa"/>
        </w:tblCellMar>
      </w:tblPr>
      <w:tblGrid>
        <w:gridCol w:w="124"/>
        <w:gridCol w:w="256"/>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or revised accounting standards;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and economic conditions generally and in the financial services industry, nationally and within the Company’s market areas, including high rates of inflation and possible recession;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recent developments and events in the financial services industry, including the large-scale deposit withdrawals over a short-period of time that resulted in recent bank failures;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health of the local and national real estate market;</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concentrations within the Company’s loan portfolio;</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nonperforming assets on the Company’s balance sheet;</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implement organic and acquisition growth strategies;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economic or market conditions on the Company’s fee-based services;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to grow the retirement and benefit services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to originate a sufficient volume of residential mortgages for the mortgage division to be profitable;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fraudulent activity, breaches or failures of the Company’s or the Company’s third party vendors’ information security controls or cybersecurity-related incidents, including as a result of sophisticated attacks using artificial intelligence and similar tools;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involving the Company’s information technology and telecommunications systems or third-party servicers;</w:t>
            </w:r>
          </w:p>
        </w:tc>
      </w:tr>
    </w:tbl>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losses incurred in connection with mortgage loan repurchases;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the Company’s executive management team and the Company’s ability to attract and retain key personnel;</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and expensive technological change in the financial services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in the financial services industry from non-banks such as credit unions and Fintech companies, including non-bank lending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successfully manage liquidity risk, including the Company’s need to access higher cost sources of funds such as fed funds purchased and short-term borrowings;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concentration of large deposits from certain clients, who have balances above current Federal Deposit Insurance Corporation (“FDIC”) insurance limits; </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the Company’s risk management framework;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commencement and outcome of litigation and other legal proceedings and regulatory actions against the Company or to which the Company may become subject;</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impairment to the goodwill the Company recorded in connection with the Company’s past acquisitions;</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extensive regulatory framework that applies to the Company;</w:t>
            </w:r>
          </w:p>
        </w:tc>
      </w:tr>
    </w:tbl>
    <w:tbl>
      <w:tblPr>
        <w:tblW w:w="9891" w:type="dxa"/>
        <w:jc w:val="left"/>
        <w:tblInd w:w="0" w:type="dxa"/>
        <w:tblLayout w:type="fixed"/>
        <w:tblCellMar>
          <w:top w:w="28" w:type="dxa"/>
          <w:left w:w="28" w:type="dxa"/>
          <w:bottom w:w="28" w:type="dxa"/>
          <w:right w:w="28" w:type="dxa"/>
        </w:tblCellMar>
      </w:tblPr>
      <w:tblGrid>
        <w:gridCol w:w="124"/>
        <w:gridCol w:w="25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recent and future legislative and regulatory changes, including in response to the recent bank failures;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values of the securities held in the Company’s securities portfolio, including as a result of changes in interest rates;</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monetary, trade and fiscal policies;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climate change and the negative impact it may have on the Company’s customers and their businesses;</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severe weather, natural disasters, widespread disease or pandemics;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war or terrorism, including the ongoing Israeli-Palestinian conflict and the Russian invasion of Ukraine, or other adverse external events;</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material weaknesses in the Company’s internal control over financial reporting;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U.S. or state tax laws, regulations and guidance, including the 1.0% excise tax on stock buybacks by publicly traded companies;</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changes in federal policy and at regulatory agencies as a result of the upcoming 2024 presidential election;</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talent and labor shortages and employee turnover;</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success at managing the risks involved with the foregoing items;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risks described in the “Risk Factors” section of this report and in other reports filed by Alerus Financial Corporation with the SEC.</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forward-looking statement made by the Company in this report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a commercial wealth bank and national retirement services provider headquartered in Grand Forks, North Dakota. Through the Company’s subsidiary, Alerus Financial, National Association, or the Bank, the Company provides financial solutions to businesses and consumers through three distinct business lines—banking, retirement and benefit services, and wealth management. These solutions are delivered through a relationship-oriented primary point of contact along with responsive and client-friendly technology.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business model produces strong financial performance and a diversified revenue stream, which has helped the Company establish a brand and culture yielding both a loyal client base and passionate and dedicated employees. The Company generates a majority of overall revenue from noninterest income, which is driven primarily by the Company’s retirement and benefit services, wealth management and mortgage business lines. The remainder of the Company’s revenue consists of net interest income, which the Company derives from offering traditional banking products and services.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Critical accounting policies are defined as those that are reflective of significant judgements and uncertainties and could potentially result in materially different results under different assumptions and conditions. In preparing the Company’s consolidated financial statements, management is required to make significant estimates and assumptions that affect assets, liabilities, revenues, and expenses reported. Actual results could differ materially from our current estimates as a result of changing conditions and future events. Several estimates are particularly critical and are susceptible to significant near term change, including (i) the ACL, including the ACL on investment securities, loans, and unfunded commitments; (ii) goodwill and intangible assets impairment; and (iii) fair value measurements.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have been no material changes to the Company’s critical accounting policies from those disclosed within its Annual Report on Form 10-K for the year ended December 31, 2023. Refer to the Company’s Annual Report on Form 10-K for the year ended December 31, 2023 for discussion of the Company’s critical accounting policies.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Refer to “NOTE 2 Recent Accounting Pronouncements” of the consolidated financial statements for discussion of accounting pronouncements issued but yet to be adopted and implemented.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JOBS Act permits the Company an extended transition period for complying with new or revised accounting standards affecting public companies. The Company has elected to take advantage of this extended transition period, which means that the financial statements included in this report, as well as any financial statements filed in the future, will not be subject to all new or revised accounting standards generally applicable to public companies for the transition period for so long as the Company remains an emerging growth company or until the Company affirmatively and irrevocably opts out of the extended transition period under the JOBS Act.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 xml:space="preserve">Shareholder Dividend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February 28, 2024, the Board of Directors of the Company declared a quarterly cash dividend of $0.19 per common share. This dividend was paid on April 12, 2024, to stockholders of record at the close of business on March 15, 2024.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Results 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key financial results as of and for the periods indicated:</w:t>
      </w:r>
    </w:p>
    <w:tbl>
      <w:tblPr>
        <w:tblW w:w="9889" w:type="dxa"/>
        <w:jc w:val="left"/>
        <w:tblInd w:w="0" w:type="dxa"/>
        <w:tblLayout w:type="fixed"/>
        <w:tblCellMar>
          <w:top w:w="0" w:type="dxa"/>
          <w:left w:w="0" w:type="dxa"/>
          <w:bottom w:w="0" w:type="dxa"/>
          <w:right w:w="0" w:type="dxa"/>
        </w:tblCellMar>
      </w:tblPr>
      <w:tblGrid>
        <w:gridCol w:w="5116"/>
        <w:gridCol w:w="326"/>
        <w:gridCol w:w="196"/>
        <w:gridCol w:w="916"/>
        <w:gridCol w:w="346"/>
        <w:gridCol w:w="201"/>
        <w:gridCol w:w="939"/>
        <w:gridCol w:w="346"/>
        <w:gridCol w:w="196"/>
        <w:gridCol w:w="916"/>
        <w:gridCol w:w="391"/>
      </w:tblGrid>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207010" cy="175260"/>
                      <wp:effectExtent l="0" t="0" r="0" b="0"/>
                      <wp:wrapNone/>
                      <wp:docPr id="769" name="Frame7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124460" cy="175260"/>
                      <wp:effectExtent l="0" t="0" r="0" b="0"/>
                      <wp:wrapNone/>
                      <wp:docPr id="770" name="Frame7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581660" cy="175260"/>
                      <wp:effectExtent l="0" t="0" r="0" b="0"/>
                      <wp:wrapNone/>
                      <wp:docPr id="771" name="Frame77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219710" cy="175260"/>
                      <wp:effectExtent l="0" t="0" r="0" b="0"/>
                      <wp:wrapNone/>
                      <wp:docPr id="772" name="Frame7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127635" cy="175260"/>
                      <wp:effectExtent l="0" t="0" r="0" b="0"/>
                      <wp:wrapNone/>
                      <wp:docPr id="773" name="Frame773"/>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596265" cy="175260"/>
                      <wp:effectExtent l="0" t="0" r="0" b="0"/>
                      <wp:wrapNone/>
                      <wp:docPr id="774" name="Frame774"/>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219710" cy="175260"/>
                      <wp:effectExtent l="0" t="0" r="0" b="0"/>
                      <wp:wrapNone/>
                      <wp:docPr id="775" name="Frame7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124460" cy="175260"/>
                      <wp:effectExtent l="0" t="0" r="0" b="0"/>
                      <wp:wrapNone/>
                      <wp:docPr id="776" name="Frame7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581660" cy="175260"/>
                      <wp:effectExtent l="0" t="0" r="0" b="0"/>
                      <wp:wrapNone/>
                      <wp:docPr id="777" name="Frame77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248285" cy="175260"/>
                      <wp:effectExtent l="0" t="0" r="0" b="0"/>
                      <wp:wrapNone/>
                      <wp:docPr id="778" name="Frame77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5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i/>
                <w:sz w:val="14"/>
              </w:rPr>
            </w:pPr>
            <w:r>
              <w:rPr>
                <w:rFonts w:ascii="Times New Roman;Times;serif" w:hAnsi="Times New Roman;Times;serif"/>
                <w:i/>
                <w:sz w:val="14"/>
              </w:rPr>
              <w:t>(dollars and shares in thousands, except per share data)</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0"/>
              <w:ind w:left="0" w:right="0" w:hanging="0"/>
              <w:jc w:val="left"/>
              <w:rPr/>
            </w:pPr>
            <w:r>
              <w:rPr/>
              <w:t>    </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Performance Ratios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Return on average total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0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0.88</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Return on average common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0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11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Return on average tangible common equity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0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12.58</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Noninterest income as a %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0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51.63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interest margin (taxable-equivalent basis)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0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1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Adjusted net interest margin (tax-equivalent basis) </w:t>
            </w: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11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Efficiency ratio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0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165.40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74.53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1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Adjusted efficiency ratio </w:t>
            </w: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79.07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74.53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Average equity to average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0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9.54</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charge-offs/(recoveries) to average loans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0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 payout ratio</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0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Earnings (losses) per common share − basic</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0.32</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0.41</w:t>
            </w:r>
          </w:p>
        </w:tc>
        <w:tc>
          <w:tcPr>
            <w:tcW w:w="391"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Earnings (losses) per common share − diluted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0.32</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0.19</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0.18</w:t>
            </w:r>
          </w:p>
        </w:tc>
        <w:tc>
          <w:tcPr>
            <w:tcW w:w="391"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Book value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18.79</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Tangible book value per common share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14.50</w:t>
            </w:r>
          </w:p>
        </w:tc>
        <w:tc>
          <w:tcPr>
            <w:tcW w:w="391"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Average common shares outstanding − basic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19,739</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20,028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Average common shares outstanding − diluted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19,986</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20,246</w:t>
            </w:r>
          </w:p>
        </w:tc>
        <w:tc>
          <w:tcPr>
            <w:tcW w:w="391"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Data</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Retirement and benefit services assets under administration/management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38,488,523</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36,682,425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33,404,342</w:t>
            </w:r>
          </w:p>
        </w:tc>
        <w:tc>
          <w:tcPr>
            <w:tcW w:w="391" w:type="dxa"/>
            <w:tcBorders/>
            <w:vAlign w:val="center"/>
          </w:tcPr>
          <w:p>
            <w:pPr>
              <w:pStyle w:val="TableContents"/>
              <w:bidi w:val="0"/>
              <w:spacing w:before="0" w:after="0"/>
              <w:ind w:left="0" w:right="0" w:hanging="0"/>
              <w:jc w:val="left"/>
              <w:rPr/>
            </w:pPr>
            <w:r>
              <w:rPr/>
              <w:t>​</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Wealth management assets under administration/management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4,242,408</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4,018,846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3,675,684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Mortgage originations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54,101</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65,488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77,728</w:t>
            </w:r>
          </w:p>
        </w:tc>
        <w:tc>
          <w:tcPr>
            <w:tcW w:w="391" w:type="dxa"/>
            <w:tcBorders/>
            <w:vAlign w:val="center"/>
          </w:tcPr>
          <w:p>
            <w:pPr>
              <w:pStyle w:val="TableContents"/>
              <w:bidi w:val="0"/>
              <w:spacing w:before="0" w:after="0"/>
              <w:ind w:left="0" w:right="0" w:hanging="0"/>
              <w:jc w:val="left"/>
              <w:rPr/>
            </w:pPr>
            <w:r>
              <w:rPr/>
              <w:t>​</w:t>
            </w:r>
          </w:p>
        </w:tc>
      </w:tr>
    </w:tbl>
    <w:tbl>
      <w:tblPr>
        <w:tblW w:w="10112" w:type="dxa"/>
        <w:jc w:val="left"/>
        <w:tblInd w:w="0" w:type="dxa"/>
        <w:tblLayout w:type="fixed"/>
        <w:tblCellMar>
          <w:top w:w="0" w:type="dxa"/>
          <w:left w:w="0" w:type="dxa"/>
          <w:bottom w:w="0" w:type="dxa"/>
          <w:right w:w="0" w:type="dxa"/>
        </w:tblCellMar>
      </w:tblPr>
      <w:tblGrid>
        <w:gridCol w:w="331"/>
        <w:gridCol w:w="978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a non-GAAP financial measure. See “Non-GAAP to GAAP Reconciliations and Calculation of Non-GAAP Financial Measures.”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Selected Financial Data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summarize selected financial data as of and for the periods indicated:</w:t>
      </w:r>
    </w:p>
    <w:tbl>
      <w:tblPr>
        <w:tblW w:w="8258" w:type="dxa"/>
        <w:jc w:val="left"/>
        <w:tblInd w:w="0" w:type="dxa"/>
        <w:tblLayout w:type="fixed"/>
        <w:tblCellMar>
          <w:top w:w="0" w:type="dxa"/>
          <w:left w:w="0" w:type="dxa"/>
          <w:bottom w:w="0" w:type="dxa"/>
          <w:right w:w="0" w:type="dxa"/>
        </w:tblCellMar>
      </w:tblPr>
      <w:tblGrid>
        <w:gridCol w:w="4051"/>
        <w:gridCol w:w="326"/>
        <w:gridCol w:w="196"/>
        <w:gridCol w:w="826"/>
        <w:gridCol w:w="326"/>
        <w:gridCol w:w="218"/>
        <w:gridCol w:w="922"/>
        <w:gridCol w:w="326"/>
        <w:gridCol w:w="196"/>
        <w:gridCol w:w="871"/>
      </w:tblGrid>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207010" cy="175260"/>
                      <wp:effectExtent l="0" t="0" r="0" b="0"/>
                      <wp:wrapNone/>
                      <wp:docPr id="779" name="Frame7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124460" cy="175260"/>
                      <wp:effectExtent l="0" t="0" r="0" b="0"/>
                      <wp:wrapNone/>
                      <wp:docPr id="780" name="Frame7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524510" cy="175260"/>
                      <wp:effectExtent l="0" t="0" r="0" b="0"/>
                      <wp:wrapNone/>
                      <wp:docPr id="781" name="Frame78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207010" cy="175260"/>
                      <wp:effectExtent l="0" t="0" r="0" b="0"/>
                      <wp:wrapNone/>
                      <wp:docPr id="782" name="Frame7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138430" cy="175260"/>
                      <wp:effectExtent l="0" t="0" r="0" b="0"/>
                      <wp:wrapNone/>
                      <wp:docPr id="783" name="Frame78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585470" cy="175260"/>
                      <wp:effectExtent l="0" t="0" r="0" b="0"/>
                      <wp:wrapNone/>
                      <wp:docPr id="784" name="Frame784"/>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207010" cy="175260"/>
                      <wp:effectExtent l="0" t="0" r="0" b="0"/>
                      <wp:wrapNone/>
                      <wp:docPr id="785" name="Frame7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124460" cy="175260"/>
                      <wp:effectExtent l="0" t="0" r="0" b="0"/>
                      <wp:wrapNone/>
                      <wp:docPr id="786" name="Frame7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553085" cy="175260"/>
                      <wp:effectExtent l="0" t="0" r="0" b="0"/>
                      <wp:wrapNone/>
                      <wp:docPr id="787" name="Frame78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8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Selected Average Balance Sheet Data</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2,768,514</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2,653,622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2,457,154</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775,305</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921,555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1,034,288</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4,139,053</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3,868,561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3,791,536</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Deposits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3,163,565</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2,994,900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2,933,022</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Fed funds purchased and Bank Term Funding Program</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282,614</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189,568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290,187</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FHLB short-term advances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80,000</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58,971</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58,858</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367,248</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349,382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361,857</w:t>
            </w:r>
          </w:p>
        </w:tc>
      </w:tr>
    </w:tbl>
    <w:p>
      <w:pPr>
        <w:pStyle w:val="TextBody"/>
        <w:bidi w:val="0"/>
        <w:spacing w:before="0" w:after="0"/>
        <w:ind w:left="0" w:right="0" w:hanging="0"/>
        <w:jc w:val="left"/>
        <w:rPr/>
      </w:pPr>
      <w:r>
        <w:rPr/>
        <w:t>​</w:t>
      </w:r>
    </w:p>
    <w:tbl>
      <w:tblPr>
        <w:tblW w:w="7388" w:type="dxa"/>
        <w:jc w:val="left"/>
        <w:tblInd w:w="0" w:type="dxa"/>
        <w:tblLayout w:type="fixed"/>
        <w:tblCellMar>
          <w:top w:w="0" w:type="dxa"/>
          <w:left w:w="0" w:type="dxa"/>
          <w:bottom w:w="0" w:type="dxa"/>
          <w:right w:w="0" w:type="dxa"/>
        </w:tblCellMar>
      </w:tblPr>
      <w:tblGrid>
        <w:gridCol w:w="3181"/>
        <w:gridCol w:w="326"/>
        <w:gridCol w:w="196"/>
        <w:gridCol w:w="826"/>
        <w:gridCol w:w="326"/>
        <w:gridCol w:w="218"/>
        <w:gridCol w:w="922"/>
        <w:gridCol w:w="326"/>
        <w:gridCol w:w="196"/>
        <w:gridCol w:w="871"/>
      </w:tblGrid>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207010" cy="175260"/>
                      <wp:effectExtent l="0" t="0" r="0" b="0"/>
                      <wp:wrapNone/>
                      <wp:docPr id="788" name="Frame7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124460" cy="175260"/>
                      <wp:effectExtent l="0" t="0" r="0" b="0"/>
                      <wp:wrapNone/>
                      <wp:docPr id="789" name="Frame7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524510" cy="175260"/>
                      <wp:effectExtent l="0" t="0" r="0" b="0"/>
                      <wp:wrapNone/>
                      <wp:docPr id="790" name="Frame79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207010" cy="175260"/>
                      <wp:effectExtent l="0" t="0" r="0" b="0"/>
                      <wp:wrapNone/>
                      <wp:docPr id="791" name="Frame7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138430" cy="175260"/>
                      <wp:effectExtent l="0" t="0" r="0" b="0"/>
                      <wp:wrapNone/>
                      <wp:docPr id="792" name="Frame79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585470" cy="175260"/>
                      <wp:effectExtent l="0" t="0" r="0" b="0"/>
                      <wp:wrapNone/>
                      <wp:docPr id="793" name="Frame793"/>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207010" cy="175260"/>
                      <wp:effectExtent l="0" t="0" r="0" b="0"/>
                      <wp:wrapNone/>
                      <wp:docPr id="794" name="Frame7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124460" cy="175260"/>
                      <wp:effectExtent l="0" t="0" r="0" b="0"/>
                      <wp:wrapNone/>
                      <wp:docPr id="795" name="Frame7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553085" cy="175260"/>
                      <wp:effectExtent l="0" t="0" r="0" b="0"/>
                      <wp:wrapNone/>
                      <wp:docPr id="796" name="Frame79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Selected Period End Balance Sheet Data</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2,799,475</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2,759,583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2,486,625</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Allowance for credit losses on loans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(36,584)</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(35,102)</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768,757</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786,251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1,019,473</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4,338,093</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3,907,713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3,886,773</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Deposits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3,284,969</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3,095,611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3,031,978</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58,985</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58,872</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371,635</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369,127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359,118</w:t>
            </w:r>
          </w:p>
        </w:tc>
      </w:tr>
    </w:tbl>
    <w:p>
      <w:pPr>
        <w:pStyle w:val="TextBody"/>
        <w:bidi w:val="0"/>
        <w:spacing w:before="0" w:after="0"/>
        <w:ind w:left="0" w:right="0" w:hanging="0"/>
        <w:jc w:val="left"/>
        <w:rPr/>
      </w:pPr>
      <w:r>
        <w:rPr/>
        <w:t>​</w:t>
      </w:r>
    </w:p>
    <w:tbl>
      <w:tblPr>
        <w:tblW w:w="6559" w:type="dxa"/>
        <w:jc w:val="left"/>
        <w:tblInd w:w="0" w:type="dxa"/>
        <w:tblLayout w:type="fixed"/>
        <w:tblCellMar>
          <w:top w:w="0" w:type="dxa"/>
          <w:left w:w="0" w:type="dxa"/>
          <w:bottom w:w="0" w:type="dxa"/>
          <w:right w:w="0" w:type="dxa"/>
        </w:tblCellMar>
      </w:tblPr>
      <w:tblGrid>
        <w:gridCol w:w="2596"/>
        <w:gridCol w:w="326"/>
        <w:gridCol w:w="221"/>
        <w:gridCol w:w="679"/>
        <w:gridCol w:w="326"/>
        <w:gridCol w:w="260"/>
        <w:gridCol w:w="880"/>
        <w:gridCol w:w="326"/>
        <w:gridCol w:w="219"/>
        <w:gridCol w:w="726"/>
      </w:tblGrid>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207010" cy="175260"/>
                      <wp:effectExtent l="0" t="0" r="0" b="0"/>
                      <wp:wrapNone/>
                      <wp:docPr id="797" name="Frame7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140335" cy="175260"/>
                      <wp:effectExtent l="0" t="0" r="0" b="0"/>
                      <wp:wrapNone/>
                      <wp:docPr id="798" name="Frame79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431165" cy="175260"/>
                      <wp:effectExtent l="0" t="0" r="0" b="0"/>
                      <wp:wrapNone/>
                      <wp:docPr id="799" name="Frame799"/>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207010" cy="175260"/>
                      <wp:effectExtent l="0" t="0" r="0" b="0"/>
                      <wp:wrapNone/>
                      <wp:docPr id="800" name="Frame8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165100" cy="175260"/>
                      <wp:effectExtent l="0" t="0" r="0" b="0"/>
                      <wp:wrapNone/>
                      <wp:docPr id="801" name="Frame801"/>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558800" cy="175260"/>
                      <wp:effectExtent l="0" t="0" r="0" b="0"/>
                      <wp:wrapNone/>
                      <wp:docPr id="802" name="Frame802"/>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207010" cy="175260"/>
                      <wp:effectExtent l="0" t="0" r="0" b="0"/>
                      <wp:wrapNone/>
                      <wp:docPr id="803" name="Frame8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139065" cy="175260"/>
                      <wp:effectExtent l="0" t="0" r="0" b="0"/>
                      <wp:wrapNone/>
                      <wp:docPr id="804" name="Frame804"/>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461010" cy="175260"/>
                      <wp:effectExtent l="0" t="0" r="0" b="0"/>
                      <wp:wrapNone/>
                      <wp:docPr id="805" name="Frame805"/>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3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Selected Income Statement Data</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income</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22,219</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21,552</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23,659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6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1,507</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income</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25,323</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791</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25,253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39,019</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38,654</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37,870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8,523</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(17,818)</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10,492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2,091</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(3,064)</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2,307</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6,432</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(14,754)</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8,185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to GAAP Reconciliations and Calculation of Non-GAAP Financial Measures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results presented in accordance with GAAP, the Company routinely supplements its evaluation with an analysis of certain non-GAAP financial measures. These non-GAAP financial measures include the ratio of tangible common equity to tangible assets, adjusted tangible common equity to tangible assets, tangible book value per common share, return on average tangible common equity, efficiency ratio, adjusted efficiency ratio, adjusted noninterest income, net interest margin (tax-equivalent), and adjusted net interest margin (tax-equivalent). Management uses these non-GAAP financial measures in its analysis of its performance, and believes financial analysts and others frequently use these measures, and other similar measures, to evaluate capital adequacy. Management calculates: (i) tangible common equity as total common stockholders’ equity less goodwill and other intangible assets; (ii) adjusted tangible common equity as total common stockholders’ equity less goodwill, other intangible assets, and cash proceeds from BTFP; (iii) tangible book value per common share as tangible common equity divided by shares of common stock outstanding; (iv) tangible assets as total assets, less goodwill and other intangible assets; (v) return on average tangible common equity as net income adjusted for intangible amortization net of tax, divided by average tangible common equity; (vi) efficiency ratio as noninterest expense less intangible amortization expense, divided by net interest income plus noninterest income plus a tax-equivalent adjustment; (vii) adjusted efficiency ratio as noninterest expense less intangible amortization expense, divided by net interest income plus noninterest income plus a tax-equivalent adjustment less net gains (losses) on investment securities; (viii) adjusted noninterest income as noninterest income adjusted for net gains (losses) on investment securities; and (ix) adjusted net interest margin (tax equivalent) as net interest income less cash interest income and interest expense related to BTFP, adjusted for tax equivalent related to loans and securities, and adjust interest earning assets less average cash proceeds balance from BTFP.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present these non-GAAP financial measures along with the most directly comparable financial measures calculated in accordance with GAAP as of and for the periods indicated:</w:t>
      </w:r>
    </w:p>
    <w:tbl>
      <w:tblPr>
        <w:tblW w:w="8944" w:type="dxa"/>
        <w:jc w:val="left"/>
        <w:tblInd w:w="0" w:type="dxa"/>
        <w:tblLayout w:type="fixed"/>
        <w:tblCellMar>
          <w:top w:w="0" w:type="dxa"/>
          <w:left w:w="0" w:type="dxa"/>
          <w:bottom w:w="0" w:type="dxa"/>
          <w:right w:w="0" w:type="dxa"/>
        </w:tblCellMar>
      </w:tblPr>
      <w:tblGrid>
        <w:gridCol w:w="4351"/>
        <w:gridCol w:w="326"/>
        <w:gridCol w:w="196"/>
        <w:gridCol w:w="826"/>
        <w:gridCol w:w="346"/>
        <w:gridCol w:w="218"/>
        <w:gridCol w:w="922"/>
        <w:gridCol w:w="346"/>
        <w:gridCol w:w="196"/>
        <w:gridCol w:w="826"/>
        <w:gridCol w:w="391"/>
      </w:tblGrid>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207010" cy="175260"/>
                      <wp:effectExtent l="0" t="0" r="0" b="0"/>
                      <wp:wrapNone/>
                      <wp:docPr id="806" name="Frame8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124460" cy="175260"/>
                      <wp:effectExtent l="0" t="0" r="0" b="0"/>
                      <wp:wrapNone/>
                      <wp:docPr id="807" name="Frame8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524510" cy="175260"/>
                      <wp:effectExtent l="0" t="0" r="0" b="0"/>
                      <wp:wrapNone/>
                      <wp:docPr id="808" name="Frame80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219710" cy="175260"/>
                      <wp:effectExtent l="0" t="0" r="0" b="0"/>
                      <wp:wrapNone/>
                      <wp:docPr id="809" name="Frame8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138430" cy="175260"/>
                      <wp:effectExtent l="0" t="0" r="0" b="0"/>
                      <wp:wrapNone/>
                      <wp:docPr id="810" name="Frame81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585470" cy="175260"/>
                      <wp:effectExtent l="0" t="0" r="0" b="0"/>
                      <wp:wrapNone/>
                      <wp:docPr id="811" name="Frame811"/>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219710" cy="175260"/>
                      <wp:effectExtent l="0" t="0" r="0" b="0"/>
                      <wp:wrapNone/>
                      <wp:docPr id="812" name="Frame8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124460" cy="175260"/>
                      <wp:effectExtent l="0" t="0" r="0" b="0"/>
                      <wp:wrapNone/>
                      <wp:docPr id="813" name="Frame8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524510" cy="175260"/>
                      <wp:effectExtent l="0" t="0" r="0" b="0"/>
                      <wp:wrapNone/>
                      <wp:docPr id="814" name="Frame8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248285" cy="175260"/>
                      <wp:effectExtent l="0" t="0" r="0" b="0"/>
                      <wp:wrapNone/>
                      <wp:docPr id="815" name="Frame81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1"/>
              <w:ind w:left="0" w:right="0" w:hanging="0"/>
              <w:jc w:val="left"/>
              <w:rPr/>
            </w:pPr>
            <w:r>
              <w:rPr/>
              <w:t>​</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and shares in thousands, except per share data)</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1"/>
              <w:ind w:left="0" w:right="0" w:hanging="0"/>
              <w:jc w:val="left"/>
              <w:rPr/>
            </w:pPr>
            <w:r>
              <w:rPr/>
              <w:t>    </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Tangible common equity to tangible assets</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common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371,635</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369,127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359,118</w:t>
            </w:r>
          </w:p>
        </w:tc>
        <w:tc>
          <w:tcPr>
            <w:tcW w:w="391" w:type="dxa"/>
            <w:tcBorders/>
            <w:vAlign w:val="center"/>
          </w:tcPr>
          <w:p>
            <w:pPr>
              <w:pStyle w:val="TableContents"/>
              <w:bidi w:val="0"/>
              <w:spacing w:before="0" w:after="1"/>
              <w:ind w:left="0" w:right="0" w:hanging="0"/>
              <w:jc w:val="left"/>
              <w:rPr/>
            </w:pPr>
            <w:r>
              <w:rPr/>
              <w:t>​</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46,783</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46,783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47,087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Other intangible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15,834</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17,158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21,131</w:t>
            </w:r>
          </w:p>
        </w:tc>
        <w:tc>
          <w:tcPr>
            <w:tcW w:w="391" w:type="dxa"/>
            <w:tcBorders/>
            <w:vAlign w:val="center"/>
          </w:tcPr>
          <w:p>
            <w:pPr>
              <w:pStyle w:val="TableContents"/>
              <w:bidi w:val="0"/>
              <w:spacing w:before="0" w:after="1"/>
              <w:ind w:left="0" w:right="0" w:hanging="0"/>
              <w:jc w:val="left"/>
              <w:rPr/>
            </w:pPr>
            <w:r>
              <w:rPr/>
              <w:t>​</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Tangible common equity </w:t>
            </w:r>
            <w:r>
              <w:rPr>
                <w:rFonts w:ascii="Times New Roman;Times;serif" w:hAnsi="Times New Roman;Times;serif"/>
                <w:b/>
                <w:sz w:val="18"/>
              </w:rPr>
              <w:t>(a)</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309,018</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305,186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290,900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4,338,093</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3,907,713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3,886,773</w:t>
            </w:r>
          </w:p>
        </w:tc>
        <w:tc>
          <w:tcPr>
            <w:tcW w:w="391" w:type="dxa"/>
            <w:tcBorders/>
            <w:vAlign w:val="center"/>
          </w:tcPr>
          <w:p>
            <w:pPr>
              <w:pStyle w:val="TableContents"/>
              <w:bidi w:val="0"/>
              <w:spacing w:before="0" w:after="1"/>
              <w:ind w:left="0" w:right="0" w:hanging="0"/>
              <w:jc w:val="left"/>
              <w:rPr/>
            </w:pPr>
            <w:r>
              <w:rPr/>
              <w:t>​</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46,783</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46,783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47,087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Other intangible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15,834</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17,158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21,131</w:t>
            </w:r>
          </w:p>
        </w:tc>
        <w:tc>
          <w:tcPr>
            <w:tcW w:w="391" w:type="dxa"/>
            <w:tcBorders/>
            <w:vAlign w:val="center"/>
          </w:tcPr>
          <w:p>
            <w:pPr>
              <w:pStyle w:val="TableContents"/>
              <w:bidi w:val="0"/>
              <w:spacing w:before="0" w:after="1"/>
              <w:ind w:left="0" w:right="0" w:hanging="0"/>
              <w:jc w:val="left"/>
              <w:rPr/>
            </w:pPr>
            <w:r>
              <w:rPr/>
              <w:t>​</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Tangible assets </w:t>
            </w:r>
            <w:r>
              <w:rPr>
                <w:rFonts w:ascii="Times New Roman;Times;serif" w:hAnsi="Times New Roman;Times;serif"/>
                <w:b/>
                <w:sz w:val="18"/>
              </w:rPr>
              <w:t>(b)</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4,275,476</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3,843,772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3,818,555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Tangible common equity to tangible assets </w:t>
            </w:r>
            <w:r>
              <w:rPr>
                <w:rFonts w:ascii="Times New Roman;Times;serif" w:hAnsi="Times New Roman;Times;serif"/>
                <w:b/>
                <w:sz w:val="18"/>
              </w:rPr>
              <w:t>(a)/(b)</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7.62</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Adjusted Tangible Common Equity to 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Tangible assets </w:t>
            </w:r>
            <w:r>
              <w:rPr>
                <w:rFonts w:ascii="Times New Roman;Times;serif" w:hAnsi="Times New Roman;Times;serif"/>
                <w:b/>
                <w:sz w:val="18"/>
              </w:rPr>
              <w:t>(b)</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4,275,476</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3,843,772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3,818,555</w:t>
            </w:r>
          </w:p>
        </w:tc>
        <w:tc>
          <w:tcPr>
            <w:tcW w:w="391" w:type="dxa"/>
            <w:tcBorders/>
            <w:vAlign w:val="center"/>
          </w:tcPr>
          <w:p>
            <w:pPr>
              <w:pStyle w:val="TableContents"/>
              <w:bidi w:val="0"/>
              <w:spacing w:before="0" w:after="1"/>
              <w:ind w:left="0" w:right="0" w:hanging="0"/>
              <w:jc w:val="left"/>
              <w:rPr/>
            </w:pPr>
            <w:r>
              <w:rPr/>
              <w:t>​</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Cash proceeds from BTFP</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355,000</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Adjusted tangible assets </w:t>
            </w:r>
            <w:r>
              <w:rPr>
                <w:rFonts w:ascii="Times New Roman;Times;serif" w:hAnsi="Times New Roman;Times;serif"/>
                <w:b/>
                <w:sz w:val="18"/>
              </w:rPr>
              <w:t>(c)</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3,920,476</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3,843,772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3,818,555</w:t>
            </w:r>
          </w:p>
        </w:tc>
        <w:tc>
          <w:tcPr>
            <w:tcW w:w="391" w:type="dxa"/>
            <w:tcBorders/>
            <w:vAlign w:val="center"/>
          </w:tcPr>
          <w:p>
            <w:pPr>
              <w:pStyle w:val="TableContents"/>
              <w:bidi w:val="0"/>
              <w:spacing w:before="0" w:after="1"/>
              <w:ind w:left="0" w:right="0" w:hanging="0"/>
              <w:jc w:val="left"/>
              <w:rPr/>
            </w:pPr>
            <w:r>
              <w:rPr/>
              <w:t>​</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Adjusted tangible common equity to tangible assets </w:t>
            </w:r>
            <w:r>
              <w:rPr>
                <w:rFonts w:ascii="Times New Roman;Times;serif" w:hAnsi="Times New Roman;Times;serif"/>
                <w:b/>
                <w:sz w:val="18"/>
              </w:rPr>
              <w:t>(a)/(c)</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Tangible book value per common share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common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371,635</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369,127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359,118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Goodwill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46,783</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46,783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47,087</w:t>
            </w:r>
          </w:p>
        </w:tc>
        <w:tc>
          <w:tcPr>
            <w:tcW w:w="391" w:type="dxa"/>
            <w:tcBorders/>
            <w:vAlign w:val="center"/>
          </w:tcPr>
          <w:p>
            <w:pPr>
              <w:pStyle w:val="TableContents"/>
              <w:bidi w:val="0"/>
              <w:spacing w:before="0" w:after="1"/>
              <w:ind w:left="0" w:right="0" w:hanging="0"/>
              <w:jc w:val="left"/>
              <w:rPr/>
            </w:pPr>
            <w:r>
              <w:rPr/>
              <w:t>​</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Other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15,834</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21,131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Tangible common equity </w:t>
            </w:r>
            <w:r>
              <w:rPr>
                <w:rFonts w:ascii="Times New Roman;Times;serif" w:hAnsi="Times New Roman;Times;serif"/>
                <w:b/>
                <w:sz w:val="18"/>
              </w:rPr>
              <w:t>(d)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309,018</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305,186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290,900</w:t>
            </w:r>
          </w:p>
        </w:tc>
        <w:tc>
          <w:tcPr>
            <w:tcW w:w="391" w:type="dxa"/>
            <w:tcBorders/>
            <w:vAlign w:val="center"/>
          </w:tcPr>
          <w:p>
            <w:pPr>
              <w:pStyle w:val="TableContents"/>
              <w:bidi w:val="0"/>
              <w:spacing w:before="0" w:after="1"/>
              <w:ind w:left="0" w:right="0" w:hanging="0"/>
              <w:jc w:val="left"/>
              <w:rPr/>
            </w:pPr>
            <w:r>
              <w:rPr/>
              <w:t>​</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Total common shares issued and outstanding </w:t>
            </w:r>
            <w:r>
              <w:rPr>
                <w:rFonts w:ascii="Times New Roman;Times;serif" w:hAnsi="Times New Roman;Times;serif"/>
                <w:b/>
                <w:sz w:val="18"/>
              </w:rPr>
              <w:t>(e)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19,777</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Tangible book value per common share </w:t>
            </w:r>
            <w:r>
              <w:rPr>
                <w:rFonts w:ascii="Times New Roman;Times;serif" w:hAnsi="Times New Roman;Times;serif"/>
                <w:b/>
                <w:sz w:val="18"/>
              </w:rPr>
              <w:t>(d)/(e)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15.63</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14.50</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644" w:type="dxa"/>
        <w:jc w:val="left"/>
        <w:tblInd w:w="0" w:type="dxa"/>
        <w:tblLayout w:type="fixed"/>
        <w:tblCellMar>
          <w:top w:w="0" w:type="dxa"/>
          <w:left w:w="0" w:type="dxa"/>
          <w:bottom w:w="0" w:type="dxa"/>
          <w:right w:w="0" w:type="dxa"/>
        </w:tblCellMar>
      </w:tblPr>
      <w:tblGrid>
        <w:gridCol w:w="4051"/>
        <w:gridCol w:w="326"/>
        <w:gridCol w:w="196"/>
        <w:gridCol w:w="826"/>
        <w:gridCol w:w="346"/>
        <w:gridCol w:w="218"/>
        <w:gridCol w:w="922"/>
        <w:gridCol w:w="346"/>
        <w:gridCol w:w="196"/>
        <w:gridCol w:w="826"/>
        <w:gridCol w:w="391"/>
      </w:tblGrid>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207010" cy="175260"/>
                      <wp:effectExtent l="0" t="0" r="0" b="0"/>
                      <wp:wrapNone/>
                      <wp:docPr id="816" name="Frame8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124460" cy="175260"/>
                      <wp:effectExtent l="0" t="0" r="0" b="0"/>
                      <wp:wrapNone/>
                      <wp:docPr id="817" name="Frame8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524510" cy="175260"/>
                      <wp:effectExtent l="0" t="0" r="0" b="0"/>
                      <wp:wrapNone/>
                      <wp:docPr id="818" name="Frame81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219710" cy="175260"/>
                      <wp:effectExtent l="0" t="0" r="0" b="0"/>
                      <wp:wrapNone/>
                      <wp:docPr id="819" name="Frame8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138430" cy="175260"/>
                      <wp:effectExtent l="0" t="0" r="0" b="0"/>
                      <wp:wrapNone/>
                      <wp:docPr id="820" name="Frame82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585470" cy="175260"/>
                      <wp:effectExtent l="0" t="0" r="0" b="0"/>
                      <wp:wrapNone/>
                      <wp:docPr id="821" name="Frame821"/>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219710" cy="175260"/>
                      <wp:effectExtent l="0" t="0" r="0" b="0"/>
                      <wp:wrapNone/>
                      <wp:docPr id="822" name="Frame8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124460" cy="175260"/>
                      <wp:effectExtent l="0" t="0" r="0" b="0"/>
                      <wp:wrapNone/>
                      <wp:docPr id="823" name="Frame8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524510" cy="175260"/>
                      <wp:effectExtent l="0" t="0" r="0" b="0"/>
                      <wp:wrapNone/>
                      <wp:docPr id="824" name="Frame8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248285" cy="175260"/>
                      <wp:effectExtent l="0" t="0" r="0" b="0"/>
                      <wp:wrapNone/>
                      <wp:docPr id="825" name="Frame82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7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and shares in thousands, except per share data)</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0"/>
              <w:ind w:left="0" w:right="0" w:hanging="0"/>
              <w:jc w:val="left"/>
              <w:rPr/>
            </w:pPr>
            <w:r>
              <w:rPr/>
              <w:t>    </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Return on average tangible common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6,432</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8,186</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 Intangible amortization expense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(loss), excluding intangible amortization </w:t>
            </w:r>
            <w:r>
              <w:rPr>
                <w:rFonts w:ascii="Times New Roman;Times;serif" w:hAnsi="Times New Roman;Times;serif"/>
                <w:b/>
                <w:sz w:val="18"/>
              </w:rPr>
              <w:t>(f)</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7,478</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9,232</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total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367,248</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349,382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361,857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Average goodwill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46,783</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47,087</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Average other intangible assets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13,018</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17,209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Average tangible common equity </w:t>
            </w:r>
            <w:r>
              <w:rPr>
                <w:rFonts w:ascii="Times New Roman;Times;serif" w:hAnsi="Times New Roman;Times;serif"/>
                <w:b/>
                <w:sz w:val="18"/>
              </w:rPr>
              <w:t>(g)</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307,447</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288,532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297,561</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Return on average tangible common equity </w:t>
            </w:r>
            <w:r>
              <w:rPr>
                <w:rFonts w:ascii="Times New Roman;Times;serif" w:hAnsi="Times New Roman;Times;serif"/>
                <w:b/>
                <w:sz w:val="18"/>
              </w:rPr>
              <w:t>(f)/(g)</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Efficiency ratio</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39,019</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37,869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Intangible amortization expense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1,324</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1,324</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Adjusted noninterest expense </w:t>
            </w:r>
            <w:r>
              <w:rPr>
                <w:rFonts w:ascii="Times New Roman;Times;serif" w:hAnsi="Times New Roman;Times;serif"/>
                <w:b/>
                <w:sz w:val="18"/>
              </w:rPr>
              <w:t>(h)</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37,695</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36,545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22,219</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23,658</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25,323</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25,253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Tax-equivalent adjustment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tax-equivalent revenue </w:t>
            </w:r>
            <w:r>
              <w:rPr>
                <w:rFonts w:ascii="Times New Roman;Times;serif" w:hAnsi="Times New Roman;Times;serif"/>
                <w:b/>
                <w:sz w:val="18"/>
              </w:rPr>
              <w:t>(i)</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47,789</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49,035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Efficiency ratio </w:t>
            </w:r>
            <w:r>
              <w:rPr>
                <w:rFonts w:ascii="Times New Roman;Times;serif" w:hAnsi="Times New Roman;Times;serif"/>
                <w:b/>
                <w:sz w:val="18"/>
              </w:rPr>
              <w:t>(h)/(i)</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165.40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74.53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Adjusted Efficiency Ratio</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39,019</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37,869</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Intangible 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1,324</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Adjusted noninterest expense </w:t>
            </w:r>
            <w:r>
              <w:rPr>
                <w:rFonts w:ascii="Times New Roman;Times;serif" w:hAnsi="Times New Roman;Times;serif"/>
                <w:b/>
                <w:sz w:val="18"/>
              </w:rPr>
              <w:t>(j)</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37,695</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37,330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36,545</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22,219</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23,658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25,323</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25,253</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Tax-equivalent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Net gains (losses) on investment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(24,643)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tax-equivalent revenue </w:t>
            </w:r>
            <w:r>
              <w:rPr>
                <w:rFonts w:ascii="Times New Roman;Times;serif" w:hAnsi="Times New Roman;Times;serif"/>
                <w:b/>
                <w:sz w:val="18"/>
              </w:rPr>
              <w:t>(k)</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47,789</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49,035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Adjusted efficiency ratio </w:t>
            </w:r>
            <w:r>
              <w:rPr>
                <w:rFonts w:ascii="Times New Roman;Times;serif" w:hAnsi="Times New Roman;Times;serif"/>
                <w:b/>
                <w:sz w:val="18"/>
              </w:rPr>
              <w:t>(j)/(k)</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74.53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Adjusted Noninterest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25,323</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25,253</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 Net gains (losses) on investment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noninterest income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25,323</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25,253</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Adjusted Net Interest Margin (Tax-Equivalent)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22,219</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23,658</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BTFP cash 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3,615</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 BTFP interest expense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3,266</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income excluding BTFP impact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21,870</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23,658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 Tax equivalent adjustment for loans and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Adjusted net interest income </w:t>
            </w:r>
            <w:r>
              <w:rPr>
                <w:rFonts w:ascii="Times New Roman;Times;serif" w:hAnsi="Times New Roman;Times;serif"/>
                <w:b/>
                <w:sz w:val="18"/>
              </w:rPr>
              <w:t>(l)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22,117</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23,782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earning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3,921,529</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3,645,184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3,567,402</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Average cash proceeds balance from BTFP</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269,176</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Adjusted interest earning assets </w:t>
            </w:r>
            <w:r>
              <w:rPr>
                <w:rFonts w:ascii="Times New Roman;Times;serif" w:hAnsi="Times New Roman;Times;serif"/>
                <w:b/>
                <w:sz w:val="18"/>
              </w:rPr>
              <w:t>(m)</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3,652,353</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3,645,184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3,567,402</w:t>
            </w:r>
          </w:p>
        </w:tc>
        <w:tc>
          <w:tcPr>
            <w:tcW w:w="3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Adjusted net interest margin (tax-equivalent) </w:t>
            </w:r>
            <w:r>
              <w:rPr>
                <w:rFonts w:ascii="Times New Roman;Times;serif" w:hAnsi="Times New Roman;Times;serif"/>
                <w:b/>
                <w:sz w:val="18"/>
              </w:rPr>
              <w:t>(l)/(m)</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Discussion and Analysis of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income for the three months ended March 31, 2024, was $6.4 million, or $0.32 per diluted common share, a $1.8 million, or 21.4%, decrease compared to $8.2 million, or $0.40 per diluted common share, for the three months ended March 31, 2023. Earnings for the first quarter of 2024 compared to the first quarter of 2023 decreased primarily due to a $1.4 million decrease in net interest income and $1.2 million increase in noninterest expense. This negative result was partially offset by a $0.6 million decrease in provision for credit losses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Interest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interest income is the difference between interest income and yield related fees earned on assets and interest expense paid on liabilities. Net interest margin is the difference between the yield on interest earning assets and the cost of interest-bearing liabilities as a percentage of interest earning assets. Net interest margin is presented on a tax-equivalent basis, which means that tax-free interest income has been adjusted to a pre-tax-equivalent income, assuming a federal income tax rate of 21% for the three months ended March 31, 2024 and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interest income for the three months ended March 31, 2024, was $22.2 million, a decrease of $1.4 million, or 6.1%, compared to $23.7 million for the three months ended March 31, 2023. Net interest income for the first quarter of 2024 decreased compared to the first quarter of 2023 primarily due to the increasing cost of interest-bearing liabilities as interest expense increased $12.7 million mainly driven by an increase of 133 basis points in the average rate paid on interest-bearing liabilities. In addition, the average balance of interest-bearing liabilities increased $456.3 million. This was partially offset by an $11.2 million increase in interest income, as interest earning assets increased $354.1 million while the interest earning asset yield increased 74 basis points. The increase in interest earning assets was primarily due to organic loan growth and increased cash balances from deposit growth and BTFP borrowings. The increase in interest-bearing liabilities was due to core deposit growth, a shift from noninterest-bearing deposits to interest-bearing deposits and BTFP borrowings.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interest margin (on a tax-equivalent basis) for the three months ended March 31, 2024, was 2.30%, compared to 2.70% for the same period in 2023. The decrease in net interest margin (on a tax-equivalent basis) was mainly attributable to higher earning assets at lower yields resulting from the BTFP opportunity. Adjusted net interest margin (on a tax-equivalent basis) (non-GAAP), which excludes BTFP borrowings, was 2.44% for the first quarter of 2024, a 26 basis point decrease from 2.70% for the first quarter of 2023. The decrease in adjusted net interest margin (on a tax-equivalent basis) (non-GAAP) from the year reflected higher cost of funds from continued growth on interest-bearing deposits, partially offset by higher yields on new loans.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higher target federal funds interest rate continues to pressure funding costs. However, the Company anticipates that net interest income and net interest margin (on an adjusted tax equivalent basis) will recover in future periods as interest-earning assets remix at higher rates and the increases in deposit costs slow.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average balance sheet information, interest income, interest expense and the corresponding average yields on assets, average yields earned, and rates paid for the three months ended March 31, 2024 and 2023. The Company derived these yields and rates by dividing income or expense by the average balance of the corresponding assets or liabilities. The Company derived average balances from the daily balances throughout the periods indicated. Average loan balances include loans that have been placed on nonaccrual status, while interest previously accrued on these loans is reversed against interest income. In these tables, adjustments are made to the yields on tax-exempt assets in order to present tax-exempt income and fully taxable income on a fully taxable equivalent (“FTE”) basis.</w:t>
      </w:r>
    </w:p>
    <w:tbl>
      <w:tblPr>
        <w:tblW w:w="10205" w:type="dxa"/>
        <w:jc w:val="left"/>
        <w:tblInd w:w="0" w:type="dxa"/>
        <w:tblLayout w:type="fixed"/>
        <w:tblCellMar>
          <w:top w:w="0" w:type="dxa"/>
          <w:left w:w="0" w:type="dxa"/>
          <w:bottom w:w="0" w:type="dxa"/>
          <w:right w:w="0" w:type="dxa"/>
        </w:tblCellMar>
      </w:tblPr>
      <w:tblGrid>
        <w:gridCol w:w="2649"/>
        <w:gridCol w:w="326"/>
        <w:gridCol w:w="196"/>
        <w:gridCol w:w="826"/>
        <w:gridCol w:w="326"/>
        <w:gridCol w:w="196"/>
        <w:gridCol w:w="601"/>
        <w:gridCol w:w="326"/>
        <w:gridCol w:w="721"/>
        <w:gridCol w:w="346"/>
        <w:gridCol w:w="109"/>
        <w:gridCol w:w="196"/>
        <w:gridCol w:w="826"/>
        <w:gridCol w:w="326"/>
        <w:gridCol w:w="196"/>
        <w:gridCol w:w="601"/>
        <w:gridCol w:w="326"/>
        <w:gridCol w:w="721"/>
        <w:gridCol w:w="391"/>
      </w:tblGrid>
      <w:tr>
        <w:trPr/>
        <w:tc>
          <w:tcPr>
            <w:tcW w:w="264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207010" cy="175260"/>
                      <wp:effectExtent l="0" t="0" r="0" b="0"/>
                      <wp:wrapNone/>
                      <wp:docPr id="826" name="Frame8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124460" cy="175260"/>
                      <wp:effectExtent l="0" t="0" r="0" b="0"/>
                      <wp:wrapNone/>
                      <wp:docPr id="827" name="Frame8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524510" cy="175260"/>
                      <wp:effectExtent l="0" t="0" r="0" b="0"/>
                      <wp:wrapNone/>
                      <wp:docPr id="828" name="Frame82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207010" cy="175260"/>
                      <wp:effectExtent l="0" t="0" r="0" b="0"/>
                      <wp:wrapNone/>
                      <wp:docPr id="829" name="Frame8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124460" cy="175260"/>
                      <wp:effectExtent l="0" t="0" r="0" b="0"/>
                      <wp:wrapNone/>
                      <wp:docPr id="830" name="Frame8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381635" cy="175260"/>
                      <wp:effectExtent l="0" t="0" r="0" b="0"/>
                      <wp:wrapNone/>
                      <wp:docPr id="831" name="Frame83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207010" cy="175260"/>
                      <wp:effectExtent l="0" t="0" r="0" b="0"/>
                      <wp:wrapNone/>
                      <wp:docPr id="832" name="Frame8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457835" cy="175260"/>
                      <wp:effectExtent l="0" t="0" r="0" b="0"/>
                      <wp:wrapNone/>
                      <wp:docPr id="833" name="Frame83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219710" cy="175260"/>
                      <wp:effectExtent l="0" t="0" r="0" b="0"/>
                      <wp:wrapNone/>
                      <wp:docPr id="834" name="Frame8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69215" cy="175260"/>
                      <wp:effectExtent l="0" t="0" r="0" b="0"/>
                      <wp:wrapNone/>
                      <wp:docPr id="835" name="Frame8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124460" cy="175260"/>
                      <wp:effectExtent l="0" t="0" r="0" b="0"/>
                      <wp:wrapNone/>
                      <wp:docPr id="836" name="Frame8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524510" cy="175260"/>
                      <wp:effectExtent l="0" t="0" r="0" b="0"/>
                      <wp:wrapNone/>
                      <wp:docPr id="837" name="Frame83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207010" cy="175260"/>
                      <wp:effectExtent l="0" t="0" r="0" b="0"/>
                      <wp:wrapNone/>
                      <wp:docPr id="838" name="Frame8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124460" cy="175260"/>
                      <wp:effectExtent l="0" t="0" r="0" b="0"/>
                      <wp:wrapNone/>
                      <wp:docPr id="839" name="Frame8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381635" cy="175260"/>
                      <wp:effectExtent l="0" t="0" r="0" b="0"/>
                      <wp:wrapNone/>
                      <wp:docPr id="840" name="Frame84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207010" cy="175260"/>
                      <wp:effectExtent l="0" t="0" r="0" b="0"/>
                      <wp:wrapNone/>
                      <wp:docPr id="841" name="Frame8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457835" cy="175260"/>
                      <wp:effectExtent l="0" t="0" r="0" b="0"/>
                      <wp:wrapNone/>
                      <wp:docPr id="842" name="Frame84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248285" cy="175260"/>
                      <wp:effectExtent l="0" t="0" r="0" b="0"/>
                      <wp:wrapNone/>
                      <wp:docPr id="843" name="Frame84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4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39"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9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19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righ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91" w:type="dxa"/>
            <w:tcBorders/>
            <w:vAlign w:val="center"/>
          </w:tcPr>
          <w:p>
            <w:pPr>
              <w:pStyle w:val="TableContents"/>
              <w:bidi w:val="0"/>
              <w:spacing w:before="0" w:after="1"/>
              <w:ind w:left="0" w:right="0" w:hanging="0"/>
              <w:jc w:val="right"/>
              <w:rPr/>
            </w:pPr>
            <w:r>
              <w:rPr/>
              <w:t>    </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Interest Earning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righ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Interest-bearing deposits with banks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352,038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4,665</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41,947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64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Investment securities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775,305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4,788</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1,034,288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6,192</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held for sale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9,014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10,345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4.98</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599,456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10,323</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6.93</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559,416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8,394</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 construction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127,587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2,549</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8.04</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103,099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1,668</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6.56</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1,134,540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15,730</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5.58</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911,634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11,126</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commercial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1,861,583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28,602</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6.18</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1,574,149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21,188</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5.46</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Consumer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Residential real estate first mortgage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723,315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7,281</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688,754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6,387</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3.76</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Residential real estate junior lien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154,781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3,024</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149,720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2,661</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revolving and installment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28,835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461</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6.43</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44,531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643</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5.86</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consumer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906,931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10,766</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4.77</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883,005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9,691</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Total loans </w:t>
            </w:r>
            <w:r>
              <w:rPr>
                <w:rFonts w:ascii="Times New Roman;Times;serif" w:hAnsi="Times New Roman;Times;serif"/>
                <w:sz w:val="12"/>
              </w:rPr>
              <w:t>(1)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2,768,514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39,368</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5.72</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2,457,154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30,879</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5.10</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Federal Reserve/FHLB Stock</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16,658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8.14</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interest earning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3,921,529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49,285</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5.05</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3,567,402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37,933</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Noninterest earning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217,524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224,134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4,139,053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3,791,536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Interest-Bearing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Interest-bearing demand deposits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869,060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4,249</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746,660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1,594</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0.87</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Money market and savings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1,186,900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11,117</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1,165,269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6,232</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Time deposits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431,679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4,786</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231,959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1,278</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Fed funds purchased and Bank Term Funding Program</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282,614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3,508</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4.99</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290,187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3,467</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FHLB short-term advances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2,481</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4.99</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926</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58,971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678</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4.62</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58,858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654</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interest-bearing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3,029,224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26,819</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2,572,933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14,151</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Noninterest-Bearing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Noninterest-bearing deposits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675,926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789,134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noninterest-bearing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66,655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67,612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367,248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361,857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4,139,053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3,791,536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649"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interest income on FTE basis </w:t>
            </w:r>
            <w:r>
              <w:rPr>
                <w:rFonts w:ascii="Times New Roman;Times;serif" w:hAnsi="Times New Roman;Times;serif"/>
                <w:sz w:val="12"/>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22,466</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23,782</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264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interest rate spread on FTE basis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649"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interest margin on FTE basis </w:t>
            </w:r>
            <w:r>
              <w:rPr>
                <w:rFonts w:ascii="Times New Roman;Times;serif" w:hAnsi="Times New Roman;Times;serif"/>
                <w:sz w:val="12"/>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bl>
    <w:tbl>
      <w:tblPr>
        <w:tblW w:w="7292" w:type="dxa"/>
        <w:jc w:val="left"/>
        <w:tblInd w:w="0" w:type="dxa"/>
        <w:tblLayout w:type="fixed"/>
        <w:tblCellMar>
          <w:top w:w="0" w:type="dxa"/>
          <w:left w:w="0" w:type="dxa"/>
          <w:bottom w:w="0" w:type="dxa"/>
          <w:right w:w="0" w:type="dxa"/>
        </w:tblCellMar>
      </w:tblPr>
      <w:tblGrid>
        <w:gridCol w:w="331"/>
        <w:gridCol w:w="696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Taxable equivalent adjustment was calculated utilizing a marginal income tax rate of 21.0 percent.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Rates and Operating Interest Differential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Increases and decreases in interest income and interest expense result from changes in average balances (volume) of interest earning assets and interest-bearing liabilities, as well as changes in average interest rates. The following table shows the effect that these factors had on the interest earned on interest earning assets and the interest incurred on interest-bearing liabilities. The effect of changes in volume is determined by multiplying the change in volume by the previous period’s average rate. Similarly, the effect of rate changes is calculated by multiplying the change in average rate by the previous period’s volume.</w:t>
      </w:r>
    </w:p>
    <w:tbl>
      <w:tblPr>
        <w:tblW w:w="7555" w:type="dxa"/>
        <w:jc w:val="left"/>
        <w:tblInd w:w="0" w:type="dxa"/>
        <w:tblLayout w:type="fixed"/>
        <w:tblCellMar>
          <w:top w:w="0" w:type="dxa"/>
          <w:left w:w="0" w:type="dxa"/>
          <w:bottom w:w="0" w:type="dxa"/>
          <w:right w:w="0" w:type="dxa"/>
        </w:tblCellMar>
      </w:tblPr>
      <w:tblGrid>
        <w:gridCol w:w="4051"/>
        <w:gridCol w:w="326"/>
        <w:gridCol w:w="196"/>
        <w:gridCol w:w="631"/>
        <w:gridCol w:w="326"/>
        <w:gridCol w:w="196"/>
        <w:gridCol w:w="631"/>
        <w:gridCol w:w="326"/>
        <w:gridCol w:w="196"/>
        <w:gridCol w:w="676"/>
      </w:tblGrid>
      <w:tr>
        <w:trPr/>
        <w:tc>
          <w:tcPr>
            <w:tcW w:w="4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207010" cy="175260"/>
                      <wp:effectExtent l="0" t="0" r="0" b="0"/>
                      <wp:wrapNone/>
                      <wp:docPr id="844" name="Frame8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124460" cy="175260"/>
                      <wp:effectExtent l="0" t="0" r="0" b="0"/>
                      <wp:wrapNone/>
                      <wp:docPr id="845" name="Frame8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400685" cy="175260"/>
                      <wp:effectExtent l="0" t="0" r="0" b="0"/>
                      <wp:wrapNone/>
                      <wp:docPr id="846" name="Frame84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207010" cy="175260"/>
                      <wp:effectExtent l="0" t="0" r="0" b="0"/>
                      <wp:wrapNone/>
                      <wp:docPr id="847" name="Frame8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124460" cy="175260"/>
                      <wp:effectExtent l="0" t="0" r="0" b="0"/>
                      <wp:wrapNone/>
                      <wp:docPr id="848" name="Frame8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400685" cy="175260"/>
                      <wp:effectExtent l="0" t="0" r="0" b="0"/>
                      <wp:wrapNone/>
                      <wp:docPr id="849" name="Frame84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207010" cy="175260"/>
                      <wp:effectExtent l="0" t="0" r="0" b="0"/>
                      <wp:wrapNone/>
                      <wp:docPr id="850" name="Frame8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124460" cy="175260"/>
                      <wp:effectExtent l="0" t="0" r="0" b="0"/>
                      <wp:wrapNone/>
                      <wp:docPr id="851" name="Frame8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429260" cy="175260"/>
                      <wp:effectExtent l="0" t="0" r="0" b="0"/>
                      <wp:wrapNone/>
                      <wp:docPr id="852" name="Frame8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7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2024</w:t>
            </w:r>
          </w:p>
        </w:tc>
      </w:tr>
      <w:tr>
        <w:trPr/>
        <w:tc>
          <w:tcPr>
            <w:tcW w:w="4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7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Compared with</w:t>
            </w:r>
          </w:p>
        </w:tc>
      </w:tr>
      <w:tr>
        <w:trPr/>
        <w:tc>
          <w:tcPr>
            <w:tcW w:w="4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7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2023</w:t>
            </w:r>
          </w:p>
        </w:tc>
      </w:tr>
      <w:tr>
        <w:trPr/>
        <w:tc>
          <w:tcPr>
            <w:tcW w:w="4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due to:</w:t>
            </w:r>
          </w:p>
        </w:tc>
        <w:tc>
          <w:tcPr>
            <w:tcW w:w="326" w:type="dxa"/>
            <w:tcBorders/>
            <w:vAlign w:val="center"/>
          </w:tcPr>
          <w:p>
            <w:pPr>
              <w:pStyle w:val="TableContents"/>
              <w:bidi w:val="0"/>
              <w:spacing w:before="0" w:after="1"/>
              <w:ind w:left="0" w:right="0" w:hanging="0"/>
              <w:jc w:val="left"/>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(tax-equivalent basis, dollars in thousands)</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Volume</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26" w:type="dxa"/>
            <w:tcBorders/>
            <w:vAlign w:val="center"/>
          </w:tcPr>
          <w:p>
            <w:pPr>
              <w:pStyle w:val="TableContents"/>
              <w:bidi w:val="0"/>
              <w:spacing w:before="0" w:after="1"/>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Interest earning assets</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deposits with banks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4,331</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held for sale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1,929</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881</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4,604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commercial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3,748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3,666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7,414</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894</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consumer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1,075</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loans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8,489</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Federal Reserve/FHLB Stock</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 income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6,630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11,352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Interest-bearing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demand deposits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and savings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4,885</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 deposits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3,508</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Fed funds purchased and Bank Term Funding Program</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FHLB short-term advances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 expense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9,870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12,668</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net 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for Credit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provision for credit losses was made up of the following components for the periods presented: </w:t>
      </w:r>
    </w:p>
    <w:tbl>
      <w:tblPr>
        <w:tblW w:w="6717" w:type="dxa"/>
        <w:jc w:val="left"/>
        <w:tblInd w:w="0" w:type="dxa"/>
        <w:tblLayout w:type="fixed"/>
        <w:tblCellMar>
          <w:top w:w="0" w:type="dxa"/>
          <w:left w:w="0" w:type="dxa"/>
          <w:bottom w:w="0" w:type="dxa"/>
          <w:right w:w="0" w:type="dxa"/>
        </w:tblCellMar>
      </w:tblPr>
      <w:tblGrid>
        <w:gridCol w:w="4696"/>
        <w:gridCol w:w="326"/>
        <w:gridCol w:w="196"/>
        <w:gridCol w:w="496"/>
        <w:gridCol w:w="326"/>
        <w:gridCol w:w="196"/>
        <w:gridCol w:w="481"/>
      </w:tblGrid>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207010" cy="175260"/>
                      <wp:effectExtent l="0" t="0" r="0" b="0"/>
                      <wp:wrapNone/>
                      <wp:docPr id="853" name="Frame8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124460" cy="175260"/>
                      <wp:effectExtent l="0" t="0" r="0" b="0"/>
                      <wp:wrapNone/>
                      <wp:docPr id="854" name="Frame8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314960" cy="175260"/>
                      <wp:effectExtent l="0" t="0" r="0" b="0"/>
                      <wp:wrapNone/>
                      <wp:docPr id="855" name="Frame855"/>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207010" cy="175260"/>
                      <wp:effectExtent l="0" t="0" r="0" b="0"/>
                      <wp:wrapNone/>
                      <wp:docPr id="856" name="Frame8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124460" cy="175260"/>
                      <wp:effectExtent l="0" t="0" r="0" b="0"/>
                      <wp:wrapNone/>
                      <wp:docPr id="857" name="Frame8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305435" cy="175260"/>
                      <wp:effectExtent l="0" t="0" r="0" b="0"/>
                      <wp:wrapNone/>
                      <wp:docPr id="858" name="Frame85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(recovery) for loan losses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(recovery) for credit losses on unfunded commitments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(recovery) for HTM debt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credit losses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9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550</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Noninterest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noninterest income is generated from retirement and benefit services, wealth management, mortgage banking, and other general banking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noninterest income for the three months ended March 31, 2024 and 2023:</w:t>
      </w:r>
    </w:p>
    <w:tbl>
      <w:tblPr>
        <w:tblW w:w="5463" w:type="dxa"/>
        <w:jc w:val="left"/>
        <w:tblInd w:w="0" w:type="dxa"/>
        <w:tblLayout w:type="fixed"/>
        <w:tblCellMar>
          <w:top w:w="0" w:type="dxa"/>
          <w:left w:w="0" w:type="dxa"/>
          <w:bottom w:w="0" w:type="dxa"/>
          <w:right w:w="0" w:type="dxa"/>
        </w:tblCellMar>
      </w:tblPr>
      <w:tblGrid>
        <w:gridCol w:w="2806"/>
        <w:gridCol w:w="326"/>
        <w:gridCol w:w="196"/>
        <w:gridCol w:w="601"/>
        <w:gridCol w:w="346"/>
        <w:gridCol w:w="196"/>
        <w:gridCol w:w="601"/>
        <w:gridCol w:w="391"/>
      </w:tblGrid>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207010" cy="175260"/>
                      <wp:effectExtent l="0" t="0" r="0" b="0"/>
                      <wp:wrapNone/>
                      <wp:docPr id="859" name="Frame8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1">
                      <wp:simplePos x="0" y="0"/>
                      <wp:positionH relativeFrom="character">
                        <wp:align>left</wp:align>
                      </wp:positionH>
                      <wp:positionV relativeFrom="line">
                        <wp:posOffset>635</wp:posOffset>
                      </wp:positionV>
                      <wp:extent cx="124460" cy="175260"/>
                      <wp:effectExtent l="0" t="0" r="0" b="0"/>
                      <wp:wrapNone/>
                      <wp:docPr id="860" name="Frame8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381635" cy="175260"/>
                      <wp:effectExtent l="0" t="0" r="0" b="0"/>
                      <wp:wrapNone/>
                      <wp:docPr id="861" name="Frame86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3">
                      <wp:simplePos x="0" y="0"/>
                      <wp:positionH relativeFrom="character">
                        <wp:align>left</wp:align>
                      </wp:positionH>
                      <wp:positionV relativeFrom="line">
                        <wp:posOffset>635</wp:posOffset>
                      </wp:positionV>
                      <wp:extent cx="219710" cy="175260"/>
                      <wp:effectExtent l="0" t="0" r="0" b="0"/>
                      <wp:wrapNone/>
                      <wp:docPr id="862" name="Frame8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124460" cy="175260"/>
                      <wp:effectExtent l="0" t="0" r="0" b="0"/>
                      <wp:wrapNone/>
                      <wp:docPr id="863" name="Frame8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381635" cy="175260"/>
                      <wp:effectExtent l="0" t="0" r="0" b="0"/>
                      <wp:wrapNone/>
                      <wp:docPr id="864" name="Frame86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248285" cy="175260"/>
                      <wp:effectExtent l="0" t="0" r="0" b="0"/>
                      <wp:wrapNone/>
                      <wp:docPr id="865" name="Frame86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0"/>
              <w:ind w:left="0" w:right="0" w:hanging="0"/>
              <w:jc w:val="center"/>
              <w:rPr/>
            </w:pPr>
            <w:r>
              <w:rPr/>
              <w:t>    </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Retirement and benefit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15,482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Wealth management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5,194</w:t>
            </w:r>
          </w:p>
        </w:tc>
        <w:tc>
          <w:tcPr>
            <w:tcW w:w="391" w:type="dxa"/>
            <w:tcBorders/>
            <w:vAlign w:val="center"/>
          </w:tcPr>
          <w:p>
            <w:pPr>
              <w:pStyle w:val="TableContents"/>
              <w:bidi w:val="0"/>
              <w:spacing w:before="0" w:after="0"/>
              <w:ind w:left="0" w:right="0" w:hanging="0"/>
              <w:jc w:val="left"/>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 banking</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charges on deposit accounts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c>
          <w:tcPr>
            <w:tcW w:w="391" w:type="dxa"/>
            <w:tcBorders/>
            <w:vAlign w:val="center"/>
          </w:tcPr>
          <w:p>
            <w:pPr>
              <w:pStyle w:val="TableContents"/>
              <w:bidi w:val="0"/>
              <w:spacing w:before="0" w:after="0"/>
              <w:ind w:left="0" w:right="0" w:hanging="0"/>
              <w:jc w:val="left"/>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noninterest income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25,253</w:t>
            </w:r>
          </w:p>
        </w:tc>
        <w:tc>
          <w:tcPr>
            <w:tcW w:w="391" w:type="dxa"/>
            <w:tcBorders/>
            <w:vAlign w:val="center"/>
          </w:tcPr>
          <w:p>
            <w:pPr>
              <w:pStyle w:val="TableContents"/>
              <w:bidi w:val="0"/>
              <w:spacing w:before="0" w:after="0"/>
              <w:ind w:left="0" w:right="0" w:hanging="0"/>
              <w:jc w:val="left"/>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 income as a %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51.63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noninterest income for the three months ended March 31, 2024 was $25.3 million, a $70 thousand, or 0.3%, increase compared to $25.3 million for the three months ended March 31, 2023. The increase in noninterest income was primarily driven by an increase of $0.9 million in wealth management revenue and $0.2 million in retirement and benefit services revenue due to assets under administration/management growth, primarily driven by improved equity and bond markets. This increase was offset by a $1.1 million decrease in other noninterest income, primarily due to $1.2 million in proceeds on a bank-owned life insurance claim in the first quarter of 2023. Noninterest income for the three months ended March 31, 2023, included revenue of $0.9 million related to the ESOP trustee business that was subsequently divested in the third quarter of 2023.</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Company anticipates that noninterest income will continue to be significantly adversely affected in future periods as a result of increasing interest rates and inflationary pressure, which have begun, and will continue, to adversely affect mortgage originations and mortgage banking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“NOTE 15 Segment Reporting” of the consolidated financial statements for additional discussion regarding the Company’s business lines.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Noninterest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noninterest expense for the three months ended March 31, 2024 and 2023:</w:t>
      </w:r>
    </w:p>
    <w:tbl>
      <w:tblPr>
        <w:tblW w:w="6177" w:type="dxa"/>
        <w:jc w:val="left"/>
        <w:tblInd w:w="0" w:type="dxa"/>
        <w:tblLayout w:type="fixed"/>
        <w:tblCellMar>
          <w:top w:w="0" w:type="dxa"/>
          <w:left w:w="0" w:type="dxa"/>
          <w:bottom w:w="0" w:type="dxa"/>
          <w:right w:w="0" w:type="dxa"/>
        </w:tblCellMar>
      </w:tblPr>
      <w:tblGrid>
        <w:gridCol w:w="3826"/>
        <w:gridCol w:w="326"/>
        <w:gridCol w:w="196"/>
        <w:gridCol w:w="601"/>
        <w:gridCol w:w="326"/>
        <w:gridCol w:w="196"/>
        <w:gridCol w:w="706"/>
      </w:tblGrid>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207010" cy="175260"/>
                      <wp:effectExtent l="0" t="0" r="0" b="0"/>
                      <wp:wrapNone/>
                      <wp:docPr id="866" name="Frame8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124460" cy="175260"/>
                      <wp:effectExtent l="0" t="0" r="0" b="0"/>
                      <wp:wrapNone/>
                      <wp:docPr id="867" name="Frame8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381635" cy="175260"/>
                      <wp:effectExtent l="0" t="0" r="0" b="0"/>
                      <wp:wrapNone/>
                      <wp:docPr id="868" name="Frame86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207010" cy="175260"/>
                      <wp:effectExtent l="0" t="0" r="0" b="0"/>
                      <wp:wrapNone/>
                      <wp:docPr id="869" name="Frame8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124460" cy="175260"/>
                      <wp:effectExtent l="0" t="0" r="0" b="0"/>
                      <wp:wrapNone/>
                      <wp:docPr id="870" name="Frame8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448310" cy="175260"/>
                      <wp:effectExtent l="0" t="0" r="0" b="0"/>
                      <wp:wrapNone/>
                      <wp:docPr id="871" name="Frame87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19,158</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Employee taxes and benefits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5,853</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Occupancy and equipment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1,899</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Business services, software and technology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5,324</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1,324</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Professional fees and assessments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1,152</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Marketing and business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Supplies and postage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Travel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 and lending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1,268</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noninterest expense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39,019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37,869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Total noninterest expense for the three months ended March 31, 2024, was $39.0 million, a $1.2 million, or 3.0%, increase compared to $37.9 million for the three months ended March 31, 2023. The year over year increase was primarily driven by higher professional fees and assessments due to an increase in FDIC assessments and an increase in recruitment expense driven by talent acquisitions in the first quarter of 2024.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tax expense is an estimate based on the amount the Company expects to owe the respective taxing authorities, plus the impact of deferred tax items. Accrued taxes represent the net estimated amount due, or to be received from, taxing authorities. In estimating accrued taxes, management assesses the relative merits and risks of the appropriate tax treatment of transactions, taking into account statutory, judicial, and regulatory guidance in the context of the Company’s tax position. If the final resolution of taxes payable differs from the Company’s estimates due to regulatory determination or legislative or judicial actions, adjustments to tax expense may be required.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2024, the Company recognized income tax expense of $2.1 million on $8.5 million of pre-tax income, resulting in an effective tax rate of 24.5%, compared to income tax expense of $2.3 million on $10.5 million of pre-tax income for the three months ended March 31, 2023, resulting in an effective tax rate of 22.0%.</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Total assets were $4.3 billion as of March 31, 2024, an increase of $430.4 million, or 11.0%, compared to December 31, 2023. The increase was primarily due to a $415.9 million increase in cash and cash equivalents and a $39.9 million increase in loans, partially offset by a decrease of $17.5 million in investment securities. The increase in cash and cash equivalents was primarily driven by the net proceeds from BTFP borrowings.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Securities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fair value composition of the Company’s investment securities portfolio as of March 31, 2024 and December 31, 2023:</w:t>
      </w:r>
    </w:p>
    <w:tbl>
      <w:tblPr>
        <w:tblW w:w="7876" w:type="dxa"/>
        <w:jc w:val="left"/>
        <w:tblInd w:w="0" w:type="dxa"/>
        <w:tblLayout w:type="fixed"/>
        <w:tblCellMar>
          <w:top w:w="0" w:type="dxa"/>
          <w:left w:w="0" w:type="dxa"/>
          <w:bottom w:w="0" w:type="dxa"/>
          <w:right w:w="0" w:type="dxa"/>
        </w:tblCellMar>
      </w:tblPr>
      <w:tblGrid>
        <w:gridCol w:w="3256"/>
        <w:gridCol w:w="326"/>
        <w:gridCol w:w="196"/>
        <w:gridCol w:w="691"/>
        <w:gridCol w:w="326"/>
        <w:gridCol w:w="511"/>
        <w:gridCol w:w="346"/>
        <w:gridCol w:w="109"/>
        <w:gridCol w:w="196"/>
        <w:gridCol w:w="691"/>
        <w:gridCol w:w="326"/>
        <w:gridCol w:w="511"/>
        <w:gridCol w:w="39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2067560" cy="175260"/>
                      <wp:effectExtent l="0" t="0" r="0" b="0"/>
                      <wp:wrapNone/>
                      <wp:docPr id="872" name="Frame872"/>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207010" cy="175260"/>
                      <wp:effectExtent l="0" t="0" r="0" b="0"/>
                      <wp:wrapNone/>
                      <wp:docPr id="873" name="Frame8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124460" cy="175260"/>
                      <wp:effectExtent l="0" t="0" r="0" b="0"/>
                      <wp:wrapNone/>
                      <wp:docPr id="874" name="Frame8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6">
                      <wp:simplePos x="0" y="0"/>
                      <wp:positionH relativeFrom="character">
                        <wp:align>left</wp:align>
                      </wp:positionH>
                      <wp:positionV relativeFrom="line">
                        <wp:posOffset>635</wp:posOffset>
                      </wp:positionV>
                      <wp:extent cx="438785" cy="175260"/>
                      <wp:effectExtent l="0" t="0" r="0" b="0"/>
                      <wp:wrapNone/>
                      <wp:docPr id="875" name="Frame8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207010" cy="175260"/>
                      <wp:effectExtent l="0" t="0" r="0" b="0"/>
                      <wp:wrapNone/>
                      <wp:docPr id="876" name="Frame8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324485" cy="175260"/>
                      <wp:effectExtent l="0" t="0" r="0" b="0"/>
                      <wp:wrapNone/>
                      <wp:docPr id="877" name="Frame87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9">
                      <wp:simplePos x="0" y="0"/>
                      <wp:positionH relativeFrom="character">
                        <wp:align>left</wp:align>
                      </wp:positionH>
                      <wp:positionV relativeFrom="line">
                        <wp:posOffset>635</wp:posOffset>
                      </wp:positionV>
                      <wp:extent cx="219710" cy="175260"/>
                      <wp:effectExtent l="0" t="0" r="0" b="0"/>
                      <wp:wrapNone/>
                      <wp:docPr id="878" name="Frame8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0">
                      <wp:simplePos x="0" y="0"/>
                      <wp:positionH relativeFrom="character">
                        <wp:align>left</wp:align>
                      </wp:positionH>
                      <wp:positionV relativeFrom="line">
                        <wp:posOffset>635</wp:posOffset>
                      </wp:positionV>
                      <wp:extent cx="69215" cy="175260"/>
                      <wp:effectExtent l="0" t="0" r="0" b="0"/>
                      <wp:wrapNone/>
                      <wp:docPr id="879" name="Frame8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1">
                      <wp:simplePos x="0" y="0"/>
                      <wp:positionH relativeFrom="character">
                        <wp:align>left</wp:align>
                      </wp:positionH>
                      <wp:positionV relativeFrom="line">
                        <wp:posOffset>635</wp:posOffset>
                      </wp:positionV>
                      <wp:extent cx="124460" cy="175260"/>
                      <wp:effectExtent l="0" t="0" r="0" b="0"/>
                      <wp:wrapNone/>
                      <wp:docPr id="880" name="Frame8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2">
                      <wp:simplePos x="0" y="0"/>
                      <wp:positionH relativeFrom="character">
                        <wp:align>left</wp:align>
                      </wp:positionH>
                      <wp:positionV relativeFrom="line">
                        <wp:posOffset>635</wp:posOffset>
                      </wp:positionV>
                      <wp:extent cx="438785" cy="175260"/>
                      <wp:effectExtent l="0" t="0" r="0" b="0"/>
                      <wp:wrapNone/>
                      <wp:docPr id="881" name="Frame88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3">
                      <wp:simplePos x="0" y="0"/>
                      <wp:positionH relativeFrom="character">
                        <wp:align>left</wp:align>
                      </wp:positionH>
                      <wp:positionV relativeFrom="line">
                        <wp:posOffset>635</wp:posOffset>
                      </wp:positionV>
                      <wp:extent cx="207010" cy="175260"/>
                      <wp:effectExtent l="0" t="0" r="0" b="0"/>
                      <wp:wrapNone/>
                      <wp:docPr id="882" name="Frame8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4">
                      <wp:simplePos x="0" y="0"/>
                      <wp:positionH relativeFrom="character">
                        <wp:align>left</wp:align>
                      </wp:positionH>
                      <wp:positionV relativeFrom="line">
                        <wp:posOffset>635</wp:posOffset>
                      </wp:positionV>
                      <wp:extent cx="324485" cy="175260"/>
                      <wp:effectExtent l="0" t="0" r="0" b="0"/>
                      <wp:wrapNone/>
                      <wp:docPr id="883" name="Frame88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5">
                      <wp:simplePos x="0" y="0"/>
                      <wp:positionH relativeFrom="character">
                        <wp:align>left</wp:align>
                      </wp:positionH>
                      <wp:positionV relativeFrom="line">
                        <wp:posOffset>635</wp:posOffset>
                      </wp:positionV>
                      <wp:extent cx="248285" cy="175260"/>
                      <wp:effectExtent l="0" t="0" r="0" b="0"/>
                      <wp:wrapNone/>
                      <wp:docPr id="884" name="Frame88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09" w:type="dxa"/>
            <w:tcBorders/>
            <w:vAlign w:val="center"/>
          </w:tcPr>
          <w:p>
            <w:pPr>
              <w:pStyle w:val="TableContents"/>
              <w:bidi w:val="0"/>
              <w:spacing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Portfolio</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Portfolio</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Available-for-sale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U.S. Treasury and agencies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 backed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agency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420,893</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435,594</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w:t>
            </w:r>
          </w:p>
        </w:tc>
        <w:tc>
          <w:tcPr>
            <w:tcW w:w="391"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1,351</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1,353</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 backed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49,168</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48,644</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available-for-sale investment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472,272</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65.4</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486,736</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65.3</w:t>
            </w:r>
          </w:p>
        </w:tc>
        <w:tc>
          <w:tcPr>
            <w:tcW w:w="391"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Held-to-maturity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of state and political agencies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111,986</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116,990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391"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 backed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agency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137,821</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141,627</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391"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held-to-maturity investment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249,807</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258,617</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investment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722,079</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745,353</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composition of the Company’s investment securities portfolio reflects the Company’s investment strategy of maintaining an appropriate level of liquidity for normal operations while providing an additional source of revenue. The investment portfolio also provides a balance to interest rate risk and credit risk in other categories of the balance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sheet, while providing a vehicle for the investment of available funds, furnishing liquidity, and supplying securities to pledge as collateral. </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investment securities presented in the following table are reported at fair value and by contractual maturity as of March 31, 2024. Actual timing may differ from contractual maturities if borrowers have the right to call or prepay obligations with or without call or prepayment penalties. Additionally, residential mortgage backed securities and collateralized mortgage obligations receive monthly principal payments, which are not reflected below. The yields below are calculated on a tax-equivalent basis, assuming a 21.00% income tax rate.</w:t>
      </w:r>
    </w:p>
    <w:tbl>
      <w:tblPr>
        <w:tblW w:w="10205" w:type="dxa"/>
        <w:jc w:val="left"/>
        <w:tblInd w:w="0" w:type="dxa"/>
        <w:tblLayout w:type="fixed"/>
        <w:tblCellMar>
          <w:top w:w="0" w:type="dxa"/>
          <w:left w:w="0" w:type="dxa"/>
          <w:bottom w:w="0" w:type="dxa"/>
          <w:right w:w="0" w:type="dxa"/>
        </w:tblCellMar>
      </w:tblPr>
      <w:tblGrid>
        <w:gridCol w:w="1903"/>
        <w:gridCol w:w="326"/>
        <w:gridCol w:w="196"/>
        <w:gridCol w:w="511"/>
        <w:gridCol w:w="326"/>
        <w:gridCol w:w="421"/>
        <w:gridCol w:w="346"/>
        <w:gridCol w:w="109"/>
        <w:gridCol w:w="196"/>
        <w:gridCol w:w="601"/>
        <w:gridCol w:w="326"/>
        <w:gridCol w:w="421"/>
        <w:gridCol w:w="346"/>
        <w:gridCol w:w="109"/>
        <w:gridCol w:w="196"/>
        <w:gridCol w:w="691"/>
        <w:gridCol w:w="326"/>
        <w:gridCol w:w="421"/>
        <w:gridCol w:w="346"/>
        <w:gridCol w:w="109"/>
        <w:gridCol w:w="196"/>
        <w:gridCol w:w="691"/>
        <w:gridCol w:w="326"/>
        <w:gridCol w:w="446"/>
        <w:gridCol w:w="320"/>
      </w:tblGrid>
      <w:tr>
        <w:trPr/>
        <w:tc>
          <w:tcPr>
            <w:tcW w:w="19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6">
                      <wp:simplePos x="0" y="0"/>
                      <wp:positionH relativeFrom="character">
                        <wp:align>left</wp:align>
                      </wp:positionH>
                      <wp:positionV relativeFrom="line">
                        <wp:posOffset>635</wp:posOffset>
                      </wp:positionV>
                      <wp:extent cx="207010" cy="175260"/>
                      <wp:effectExtent l="0" t="0" r="0" b="0"/>
                      <wp:wrapNone/>
                      <wp:docPr id="885" name="Frame8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7">
                      <wp:simplePos x="0" y="0"/>
                      <wp:positionH relativeFrom="character">
                        <wp:align>left</wp:align>
                      </wp:positionH>
                      <wp:positionV relativeFrom="line">
                        <wp:posOffset>635</wp:posOffset>
                      </wp:positionV>
                      <wp:extent cx="124460" cy="175260"/>
                      <wp:effectExtent l="0" t="0" r="0" b="0"/>
                      <wp:wrapNone/>
                      <wp:docPr id="886" name="Frame8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8">
                      <wp:simplePos x="0" y="0"/>
                      <wp:positionH relativeFrom="character">
                        <wp:align>left</wp:align>
                      </wp:positionH>
                      <wp:positionV relativeFrom="line">
                        <wp:posOffset>635</wp:posOffset>
                      </wp:positionV>
                      <wp:extent cx="324485" cy="175260"/>
                      <wp:effectExtent l="0" t="0" r="0" b="0"/>
                      <wp:wrapNone/>
                      <wp:docPr id="887" name="Frame88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9">
                      <wp:simplePos x="0" y="0"/>
                      <wp:positionH relativeFrom="character">
                        <wp:align>left</wp:align>
                      </wp:positionH>
                      <wp:positionV relativeFrom="line">
                        <wp:posOffset>635</wp:posOffset>
                      </wp:positionV>
                      <wp:extent cx="207010" cy="175260"/>
                      <wp:effectExtent l="0" t="0" r="0" b="0"/>
                      <wp:wrapNone/>
                      <wp:docPr id="888" name="Frame8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0">
                      <wp:simplePos x="0" y="0"/>
                      <wp:positionH relativeFrom="character">
                        <wp:align>left</wp:align>
                      </wp:positionH>
                      <wp:positionV relativeFrom="line">
                        <wp:posOffset>635</wp:posOffset>
                      </wp:positionV>
                      <wp:extent cx="267335" cy="175260"/>
                      <wp:effectExtent l="0" t="0" r="0" b="0"/>
                      <wp:wrapNone/>
                      <wp:docPr id="889" name="Frame88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1">
                      <wp:simplePos x="0" y="0"/>
                      <wp:positionH relativeFrom="character">
                        <wp:align>left</wp:align>
                      </wp:positionH>
                      <wp:positionV relativeFrom="line">
                        <wp:posOffset>635</wp:posOffset>
                      </wp:positionV>
                      <wp:extent cx="219710" cy="175260"/>
                      <wp:effectExtent l="0" t="0" r="0" b="0"/>
                      <wp:wrapNone/>
                      <wp:docPr id="890" name="Frame8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2">
                      <wp:simplePos x="0" y="0"/>
                      <wp:positionH relativeFrom="character">
                        <wp:align>left</wp:align>
                      </wp:positionH>
                      <wp:positionV relativeFrom="line">
                        <wp:posOffset>635</wp:posOffset>
                      </wp:positionV>
                      <wp:extent cx="69215" cy="175260"/>
                      <wp:effectExtent l="0" t="0" r="0" b="0"/>
                      <wp:wrapNone/>
                      <wp:docPr id="891" name="Frame8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3">
                      <wp:simplePos x="0" y="0"/>
                      <wp:positionH relativeFrom="character">
                        <wp:align>left</wp:align>
                      </wp:positionH>
                      <wp:positionV relativeFrom="line">
                        <wp:posOffset>635</wp:posOffset>
                      </wp:positionV>
                      <wp:extent cx="124460" cy="175260"/>
                      <wp:effectExtent l="0" t="0" r="0" b="0"/>
                      <wp:wrapNone/>
                      <wp:docPr id="892" name="Frame8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4">
                      <wp:simplePos x="0" y="0"/>
                      <wp:positionH relativeFrom="character">
                        <wp:align>left</wp:align>
                      </wp:positionH>
                      <wp:positionV relativeFrom="line">
                        <wp:posOffset>635</wp:posOffset>
                      </wp:positionV>
                      <wp:extent cx="381635" cy="175260"/>
                      <wp:effectExtent l="0" t="0" r="0" b="0"/>
                      <wp:wrapNone/>
                      <wp:docPr id="893" name="Frame89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5">
                      <wp:simplePos x="0" y="0"/>
                      <wp:positionH relativeFrom="character">
                        <wp:align>left</wp:align>
                      </wp:positionH>
                      <wp:positionV relativeFrom="line">
                        <wp:posOffset>635</wp:posOffset>
                      </wp:positionV>
                      <wp:extent cx="207010" cy="175260"/>
                      <wp:effectExtent l="0" t="0" r="0" b="0"/>
                      <wp:wrapNone/>
                      <wp:docPr id="894" name="Frame8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6">
                      <wp:simplePos x="0" y="0"/>
                      <wp:positionH relativeFrom="character">
                        <wp:align>left</wp:align>
                      </wp:positionH>
                      <wp:positionV relativeFrom="line">
                        <wp:posOffset>635</wp:posOffset>
                      </wp:positionV>
                      <wp:extent cx="267335" cy="175260"/>
                      <wp:effectExtent l="0" t="0" r="0" b="0"/>
                      <wp:wrapNone/>
                      <wp:docPr id="895" name="Frame89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7">
                      <wp:simplePos x="0" y="0"/>
                      <wp:positionH relativeFrom="character">
                        <wp:align>left</wp:align>
                      </wp:positionH>
                      <wp:positionV relativeFrom="line">
                        <wp:posOffset>635</wp:posOffset>
                      </wp:positionV>
                      <wp:extent cx="219710" cy="175260"/>
                      <wp:effectExtent l="0" t="0" r="0" b="0"/>
                      <wp:wrapNone/>
                      <wp:docPr id="896" name="Frame8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8">
                      <wp:simplePos x="0" y="0"/>
                      <wp:positionH relativeFrom="character">
                        <wp:align>left</wp:align>
                      </wp:positionH>
                      <wp:positionV relativeFrom="line">
                        <wp:posOffset>635</wp:posOffset>
                      </wp:positionV>
                      <wp:extent cx="69215" cy="175260"/>
                      <wp:effectExtent l="0" t="0" r="0" b="0"/>
                      <wp:wrapNone/>
                      <wp:docPr id="897" name="Frame8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9">
                      <wp:simplePos x="0" y="0"/>
                      <wp:positionH relativeFrom="character">
                        <wp:align>left</wp:align>
                      </wp:positionH>
                      <wp:positionV relativeFrom="line">
                        <wp:posOffset>635</wp:posOffset>
                      </wp:positionV>
                      <wp:extent cx="124460" cy="175260"/>
                      <wp:effectExtent l="0" t="0" r="0" b="0"/>
                      <wp:wrapNone/>
                      <wp:docPr id="898" name="Frame8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0">
                      <wp:simplePos x="0" y="0"/>
                      <wp:positionH relativeFrom="character">
                        <wp:align>left</wp:align>
                      </wp:positionH>
                      <wp:positionV relativeFrom="line">
                        <wp:posOffset>635</wp:posOffset>
                      </wp:positionV>
                      <wp:extent cx="438785" cy="175260"/>
                      <wp:effectExtent l="0" t="0" r="0" b="0"/>
                      <wp:wrapNone/>
                      <wp:docPr id="899" name="Frame8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1">
                      <wp:simplePos x="0" y="0"/>
                      <wp:positionH relativeFrom="character">
                        <wp:align>left</wp:align>
                      </wp:positionH>
                      <wp:positionV relativeFrom="line">
                        <wp:posOffset>635</wp:posOffset>
                      </wp:positionV>
                      <wp:extent cx="207010" cy="175260"/>
                      <wp:effectExtent l="0" t="0" r="0" b="0"/>
                      <wp:wrapNone/>
                      <wp:docPr id="900" name="Frame9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2">
                      <wp:simplePos x="0" y="0"/>
                      <wp:positionH relativeFrom="character">
                        <wp:align>left</wp:align>
                      </wp:positionH>
                      <wp:positionV relativeFrom="line">
                        <wp:posOffset>635</wp:posOffset>
                      </wp:positionV>
                      <wp:extent cx="267335" cy="175260"/>
                      <wp:effectExtent l="0" t="0" r="0" b="0"/>
                      <wp:wrapNone/>
                      <wp:docPr id="901" name="Frame90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3">
                      <wp:simplePos x="0" y="0"/>
                      <wp:positionH relativeFrom="character">
                        <wp:align>left</wp:align>
                      </wp:positionH>
                      <wp:positionV relativeFrom="line">
                        <wp:posOffset>635</wp:posOffset>
                      </wp:positionV>
                      <wp:extent cx="219710" cy="175260"/>
                      <wp:effectExtent l="0" t="0" r="0" b="0"/>
                      <wp:wrapNone/>
                      <wp:docPr id="902" name="Frame9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4">
                      <wp:simplePos x="0" y="0"/>
                      <wp:positionH relativeFrom="character">
                        <wp:align>left</wp:align>
                      </wp:positionH>
                      <wp:positionV relativeFrom="line">
                        <wp:posOffset>635</wp:posOffset>
                      </wp:positionV>
                      <wp:extent cx="69215" cy="175260"/>
                      <wp:effectExtent l="0" t="0" r="0" b="0"/>
                      <wp:wrapNone/>
                      <wp:docPr id="903" name="Frame9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5">
                      <wp:simplePos x="0" y="0"/>
                      <wp:positionH relativeFrom="character">
                        <wp:align>left</wp:align>
                      </wp:positionH>
                      <wp:positionV relativeFrom="line">
                        <wp:posOffset>635</wp:posOffset>
                      </wp:positionV>
                      <wp:extent cx="124460" cy="175260"/>
                      <wp:effectExtent l="0" t="0" r="0" b="0"/>
                      <wp:wrapNone/>
                      <wp:docPr id="904" name="Frame9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6">
                      <wp:simplePos x="0" y="0"/>
                      <wp:positionH relativeFrom="character">
                        <wp:align>left</wp:align>
                      </wp:positionH>
                      <wp:positionV relativeFrom="line">
                        <wp:posOffset>635</wp:posOffset>
                      </wp:positionV>
                      <wp:extent cx="438785" cy="175260"/>
                      <wp:effectExtent l="0" t="0" r="0" b="0"/>
                      <wp:wrapNone/>
                      <wp:docPr id="905" name="Frame90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7">
                      <wp:simplePos x="0" y="0"/>
                      <wp:positionH relativeFrom="character">
                        <wp:align>left</wp:align>
                      </wp:positionH>
                      <wp:positionV relativeFrom="line">
                        <wp:posOffset>635</wp:posOffset>
                      </wp:positionV>
                      <wp:extent cx="207010" cy="175260"/>
                      <wp:effectExtent l="0" t="0" r="0" b="0"/>
                      <wp:wrapNone/>
                      <wp:docPr id="906" name="Frame9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8">
                      <wp:simplePos x="0" y="0"/>
                      <wp:positionH relativeFrom="character">
                        <wp:align>left</wp:align>
                      </wp:positionH>
                      <wp:positionV relativeFrom="line">
                        <wp:posOffset>635</wp:posOffset>
                      </wp:positionV>
                      <wp:extent cx="283210" cy="175260"/>
                      <wp:effectExtent l="0" t="0" r="0" b="0"/>
                      <wp:wrapNone/>
                      <wp:docPr id="907" name="Frame907"/>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9">
                      <wp:simplePos x="0" y="0"/>
                      <wp:positionH relativeFrom="character">
                        <wp:align>left</wp:align>
                      </wp:positionH>
                      <wp:positionV relativeFrom="line">
                        <wp:posOffset>635</wp:posOffset>
                      </wp:positionV>
                      <wp:extent cx="203200" cy="175260"/>
                      <wp:effectExtent l="0" t="0" r="0" b="0"/>
                      <wp:wrapNone/>
                      <wp:docPr id="908" name="Frame908"/>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76" w:type="dxa"/>
            <w:gridSpan w:val="2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Maturity as of March 31, 2024</w:t>
            </w:r>
          </w:p>
        </w:tc>
      </w:tr>
      <w:tr>
        <w:trPr/>
        <w:tc>
          <w:tcPr>
            <w:tcW w:w="19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One year or less</w:t>
            </w:r>
          </w:p>
        </w:tc>
        <w:tc>
          <w:tcPr>
            <w:tcW w:w="109" w:type="dxa"/>
            <w:tcBorders/>
            <w:vAlign w:val="center"/>
          </w:tcPr>
          <w:p>
            <w:pPr>
              <w:pStyle w:val="TableContents"/>
              <w:bidi w:val="0"/>
              <w:spacing w:before="0" w:after="1"/>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One to five years</w:t>
            </w:r>
          </w:p>
        </w:tc>
        <w:tc>
          <w:tcPr>
            <w:tcW w:w="109" w:type="dxa"/>
            <w:tcBorders/>
            <w:vAlign w:val="center"/>
          </w:tcPr>
          <w:p>
            <w:pPr>
              <w:pStyle w:val="TableContents"/>
              <w:bidi w:val="0"/>
              <w:spacing w:before="0" w:after="1"/>
              <w:ind w:left="0" w:right="0" w:hanging="0"/>
              <w:jc w:val="left"/>
              <w:rPr/>
            </w:pPr>
            <w:r>
              <w:rPr/>
              <w:t>​</w:t>
            </w:r>
          </w:p>
        </w:tc>
        <w:tc>
          <w:tcPr>
            <w:tcW w:w="19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Five to ten years</w:t>
            </w:r>
          </w:p>
        </w:tc>
        <w:tc>
          <w:tcPr>
            <w:tcW w:w="109" w:type="dxa"/>
            <w:tcBorders/>
            <w:vAlign w:val="center"/>
          </w:tcPr>
          <w:p>
            <w:pPr>
              <w:pStyle w:val="TableContents"/>
              <w:bidi w:val="0"/>
              <w:spacing w:before="0" w:after="1"/>
              <w:ind w:left="0" w:right="0" w:hanging="0"/>
              <w:jc w:val="left"/>
              <w:rPr/>
            </w:pPr>
            <w:r>
              <w:rPr/>
              <w:t>​</w:t>
            </w:r>
          </w:p>
        </w:tc>
        <w:tc>
          <w:tcPr>
            <w:tcW w:w="19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After ten years</w:t>
            </w:r>
          </w:p>
        </w:tc>
      </w:tr>
      <w:tr>
        <w:trPr/>
        <w:tc>
          <w:tcPr>
            <w:tcW w:w="19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1903"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Yield</w:t>
            </w:r>
          </w:p>
        </w:tc>
      </w:tr>
      <w:tr>
        <w:trPr/>
        <w:tc>
          <w:tcPr>
            <w:tcW w:w="19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Available-for-sale</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46" w:type="dxa"/>
            <w:tcBorders/>
            <w:shd w:fill="CCEEFF" w:val="clear"/>
            <w:vAlign w:val="center"/>
          </w:tcPr>
          <w:p>
            <w:pPr>
              <w:pStyle w:val="TableContents"/>
              <w:bidi w:val="0"/>
              <w:spacing w:before="0" w:after="1"/>
              <w:ind w:left="0" w:right="0" w:hanging="0"/>
              <w:jc w:val="right"/>
              <w:rPr/>
            </w:pPr>
            <w:r>
              <w:rPr/>
              <w:t>  </w:t>
            </w:r>
          </w:p>
        </w:tc>
        <w:tc>
          <w:tcPr>
            <w:tcW w:w="320" w:type="dxa"/>
            <w:tcBorders/>
            <w:shd w:fill="CCEEFF" w:val="clear"/>
            <w:vAlign w:val="center"/>
          </w:tcPr>
          <w:p>
            <w:pPr>
              <w:pStyle w:val="TableContents"/>
              <w:bidi w:val="0"/>
              <w:spacing w:before="0" w:after="1"/>
              <w:ind w:left="0" w:right="0" w:hanging="0"/>
              <w:jc w:val="left"/>
              <w:rPr/>
            </w:pPr>
            <w:r>
              <w:rPr/>
              <w:t>​</w:t>
            </w:r>
          </w:p>
        </w:tc>
      </w:tr>
      <w:tr>
        <w:trPr/>
        <w:tc>
          <w:tcPr>
            <w:tcW w:w="19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and agencies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470</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w:t>
            </w:r>
          </w:p>
        </w:tc>
        <w:tc>
          <w:tcPr>
            <w:tcW w:w="326" w:type="dxa"/>
            <w:tcBorders/>
            <w:vAlign w:val="center"/>
          </w:tcPr>
          <w:p>
            <w:pPr>
              <w:pStyle w:val="TableContents"/>
              <w:bidi w:val="0"/>
              <w:spacing w:before="0" w:after="1"/>
              <w:ind w:left="0" w:right="0" w:hanging="0"/>
              <w:jc w:val="left"/>
              <w:rPr/>
            </w:pPr>
            <w:r>
              <w:rPr/>
              <w:t> </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5.94</w:t>
            </w:r>
          </w:p>
        </w:tc>
        <w:tc>
          <w:tcPr>
            <w:tcW w:w="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9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Mortgage backed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46" w:type="dxa"/>
            <w:tcBorders/>
            <w:shd w:fill="CCEEFF" w:val="clear"/>
            <w:vAlign w:val="center"/>
          </w:tcPr>
          <w:p>
            <w:pPr>
              <w:pStyle w:val="TableContents"/>
              <w:bidi w:val="0"/>
              <w:spacing w:before="0" w:after="1"/>
              <w:ind w:left="0" w:right="0" w:hanging="0"/>
              <w:jc w:val="right"/>
              <w:rPr/>
            </w:pPr>
            <w:r>
              <w:rPr/>
              <w:t>  </w:t>
            </w:r>
          </w:p>
        </w:tc>
        <w:tc>
          <w:tcPr>
            <w:tcW w:w="320" w:type="dxa"/>
            <w:tcBorders/>
            <w:shd w:fill="CCEEFF" w:val="clear"/>
            <w:vAlign w:val="center"/>
          </w:tcPr>
          <w:p>
            <w:pPr>
              <w:pStyle w:val="TableContents"/>
              <w:bidi w:val="0"/>
              <w:spacing w:before="0" w:after="1"/>
              <w:ind w:left="0" w:right="0" w:hanging="0"/>
              <w:jc w:val="left"/>
              <w:rPr/>
            </w:pPr>
            <w:r>
              <w:rPr/>
              <w:t>​</w:t>
            </w:r>
          </w:p>
        </w:tc>
      </w:tr>
      <w:tr>
        <w:trPr/>
        <w:tc>
          <w:tcPr>
            <w:tcW w:w="19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agency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3,017</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4,142</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413,722</w:t>
            </w:r>
          </w:p>
        </w:tc>
        <w:tc>
          <w:tcPr>
            <w:tcW w:w="326" w:type="dxa"/>
            <w:tcBorders/>
            <w:vAlign w:val="center"/>
          </w:tcPr>
          <w:p>
            <w:pPr>
              <w:pStyle w:val="TableContents"/>
              <w:bidi w:val="0"/>
              <w:spacing w:before="0" w:after="1"/>
              <w:ind w:left="0" w:right="0" w:hanging="0"/>
              <w:jc w:val="left"/>
              <w:rPr/>
            </w:pPr>
            <w:r>
              <w:rPr/>
              <w:t> </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w:t>
            </w:r>
          </w:p>
        </w:tc>
        <w:tc>
          <w:tcPr>
            <w:tcW w:w="320" w:type="dxa"/>
            <w:tcBorders/>
            <w:vAlign w:val="center"/>
          </w:tcPr>
          <w:p>
            <w:pPr>
              <w:pStyle w:val="TableContents"/>
              <w:bidi w:val="0"/>
              <w:spacing w:before="0" w:after="1"/>
              <w:ind w:left="0" w:right="0" w:hanging="0"/>
              <w:jc w:val="left"/>
              <w:rPr/>
            </w:pPr>
            <w:r>
              <w:rPr/>
              <w:t>​</w:t>
            </w:r>
          </w:p>
        </w:tc>
      </w:tr>
      <w:tr>
        <w:trPr/>
        <w:tc>
          <w:tcPr>
            <w:tcW w:w="19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1,351</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46" w:type="dxa"/>
            <w:tcBorders/>
            <w:shd w:fill="CCEEFF" w:val="clear"/>
            <w:vAlign w:val="center"/>
          </w:tcPr>
          <w:p>
            <w:pPr>
              <w:pStyle w:val="TableContents"/>
              <w:bidi w:val="0"/>
              <w:spacing w:before="0" w:after="1"/>
              <w:ind w:left="0" w:right="0" w:hanging="0"/>
              <w:jc w:val="right"/>
              <w:rPr/>
            </w:pPr>
            <w:r>
              <w:rPr/>
              <w:t>—</w:t>
            </w:r>
          </w:p>
        </w:tc>
        <w:tc>
          <w:tcPr>
            <w:tcW w:w="320" w:type="dxa"/>
            <w:tcBorders/>
            <w:shd w:fill="CCEEFF" w:val="clear"/>
            <w:vAlign w:val="center"/>
          </w:tcPr>
          <w:p>
            <w:pPr>
              <w:pStyle w:val="TableContents"/>
              <w:bidi w:val="0"/>
              <w:spacing w:before="0" w:after="1"/>
              <w:ind w:left="0" w:right="0" w:hanging="0"/>
              <w:jc w:val="left"/>
              <w:rPr/>
            </w:pPr>
            <w:r>
              <w:rPr/>
              <w:t>​</w:t>
            </w:r>
          </w:p>
        </w:tc>
      </w:tr>
      <w:tr>
        <w:trPr/>
        <w:tc>
          <w:tcPr>
            <w:tcW w:w="19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backed securities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4.19</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c>
          <w:tcPr>
            <w:tcW w:w="326" w:type="dxa"/>
            <w:tcBorders/>
            <w:vAlign w:val="center"/>
          </w:tcPr>
          <w:p>
            <w:pPr>
              <w:pStyle w:val="TableContents"/>
              <w:bidi w:val="0"/>
              <w:spacing w:before="0" w:after="1"/>
              <w:ind w:left="0" w:right="0" w:hanging="0"/>
              <w:jc w:val="left"/>
              <w:rPr/>
            </w:pPr>
            <w:r>
              <w:rPr/>
              <w:t> </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5.04</w:t>
            </w:r>
          </w:p>
        </w:tc>
        <w:tc>
          <w:tcPr>
            <w:tcW w:w="320" w:type="dxa"/>
            <w:tcBorders/>
            <w:vAlign w:val="center"/>
          </w:tcPr>
          <w:p>
            <w:pPr>
              <w:pStyle w:val="TableContents"/>
              <w:bidi w:val="0"/>
              <w:spacing w:before="0" w:after="1"/>
              <w:ind w:left="0" w:right="0" w:hanging="0"/>
              <w:jc w:val="left"/>
              <w:rPr/>
            </w:pPr>
            <w:r>
              <w:rPr/>
              <w:t>​</w:t>
            </w:r>
          </w:p>
        </w:tc>
      </w:tr>
      <w:tr>
        <w:trPr/>
        <w:tc>
          <w:tcPr>
            <w:tcW w:w="19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bonds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49,168</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0" w:type="dxa"/>
            <w:tcBorders/>
            <w:shd w:fill="CCEEFF" w:val="clear"/>
            <w:vAlign w:val="center"/>
          </w:tcPr>
          <w:p>
            <w:pPr>
              <w:pStyle w:val="TableContents"/>
              <w:bidi w:val="0"/>
              <w:spacing w:before="0" w:after="1"/>
              <w:ind w:left="0" w:right="0" w:hanging="0"/>
              <w:jc w:val="left"/>
              <w:rPr/>
            </w:pPr>
            <w:r>
              <w:rPr/>
              <w:t>​</w:t>
            </w:r>
          </w:p>
        </w:tc>
      </w:tr>
      <w:tr>
        <w:trPr/>
        <w:tc>
          <w:tcPr>
            <w:tcW w:w="19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available-for-sale investment securities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3,487</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54,666</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3.61</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414,107</w:t>
            </w:r>
          </w:p>
        </w:tc>
        <w:tc>
          <w:tcPr>
            <w:tcW w:w="326" w:type="dxa"/>
            <w:tcBorders/>
            <w:vAlign w:val="center"/>
          </w:tcPr>
          <w:p>
            <w:pPr>
              <w:pStyle w:val="TableContents"/>
              <w:bidi w:val="0"/>
              <w:spacing w:before="0" w:after="1"/>
              <w:ind w:left="0" w:right="0" w:hanging="0"/>
              <w:jc w:val="left"/>
              <w:rPr/>
            </w:pPr>
            <w:r>
              <w:rPr/>
              <w:t> </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w:t>
            </w:r>
          </w:p>
        </w:tc>
        <w:tc>
          <w:tcPr>
            <w:tcW w:w="320" w:type="dxa"/>
            <w:tcBorders/>
            <w:vAlign w:val="center"/>
          </w:tcPr>
          <w:p>
            <w:pPr>
              <w:pStyle w:val="TableContents"/>
              <w:bidi w:val="0"/>
              <w:spacing w:before="0" w:after="1"/>
              <w:ind w:left="0" w:right="0" w:hanging="0"/>
              <w:jc w:val="left"/>
              <w:rPr/>
            </w:pPr>
            <w:r>
              <w:rPr/>
              <w:t>​</w:t>
            </w:r>
          </w:p>
        </w:tc>
      </w:tr>
      <w:tr>
        <w:trPr/>
        <w:tc>
          <w:tcPr>
            <w:tcW w:w="19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Held-to-maturity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20" w:type="dxa"/>
            <w:tcBorders/>
            <w:shd w:fill="CCEEFF" w:val="clear"/>
            <w:vAlign w:val="center"/>
          </w:tcPr>
          <w:p>
            <w:pPr>
              <w:pStyle w:val="TableContents"/>
              <w:bidi w:val="0"/>
              <w:spacing w:before="0" w:after="1"/>
              <w:ind w:left="0" w:right="0" w:hanging="0"/>
              <w:jc w:val="left"/>
              <w:rPr/>
            </w:pPr>
            <w:r>
              <w:rPr/>
              <w:t>​</w:t>
            </w:r>
          </w:p>
        </w:tc>
      </w:tr>
      <w:tr>
        <w:trPr/>
        <w:tc>
          <w:tcPr>
            <w:tcW w:w="19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Obligations of state and political agencies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7,974</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43,614</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49,662</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10,736</w:t>
            </w:r>
          </w:p>
        </w:tc>
        <w:tc>
          <w:tcPr>
            <w:tcW w:w="326"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w:t>
            </w:r>
          </w:p>
        </w:tc>
        <w:tc>
          <w:tcPr>
            <w:tcW w:w="320" w:type="dxa"/>
            <w:tcBorders/>
            <w:vAlign w:val="center"/>
          </w:tcPr>
          <w:p>
            <w:pPr>
              <w:pStyle w:val="TableContents"/>
              <w:bidi w:val="0"/>
              <w:spacing w:before="0" w:after="1"/>
              <w:ind w:left="0" w:right="0" w:hanging="0"/>
              <w:jc w:val="left"/>
              <w:rPr/>
            </w:pPr>
            <w:r>
              <w:rPr/>
              <w:t>​</w:t>
            </w:r>
          </w:p>
        </w:tc>
      </w:tr>
      <w:tr>
        <w:trPr/>
        <w:tc>
          <w:tcPr>
            <w:tcW w:w="19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Mortgage backed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46" w:type="dxa"/>
            <w:tcBorders/>
            <w:shd w:fill="CCEEFF" w:val="clear"/>
            <w:vAlign w:val="center"/>
          </w:tcPr>
          <w:p>
            <w:pPr>
              <w:pStyle w:val="TableContents"/>
              <w:bidi w:val="0"/>
              <w:spacing w:before="0" w:after="1"/>
              <w:ind w:left="0" w:right="0" w:hanging="0"/>
              <w:jc w:val="right"/>
              <w:rPr/>
            </w:pPr>
            <w:r>
              <w:rPr/>
              <w:t>  </w:t>
            </w:r>
          </w:p>
        </w:tc>
        <w:tc>
          <w:tcPr>
            <w:tcW w:w="320" w:type="dxa"/>
            <w:tcBorders/>
            <w:shd w:fill="CCEEFF" w:val="clear"/>
            <w:vAlign w:val="center"/>
          </w:tcPr>
          <w:p>
            <w:pPr>
              <w:pStyle w:val="TableContents"/>
              <w:bidi w:val="0"/>
              <w:spacing w:before="0" w:after="1"/>
              <w:ind w:left="0" w:right="0" w:hanging="0"/>
              <w:jc w:val="left"/>
              <w:rPr/>
            </w:pPr>
            <w:r>
              <w:rPr/>
              <w:t>​</w:t>
            </w:r>
          </w:p>
        </w:tc>
      </w:tr>
      <w:tr>
        <w:trPr/>
        <w:tc>
          <w:tcPr>
            <w:tcW w:w="19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agency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137,821</w:t>
            </w:r>
          </w:p>
        </w:tc>
        <w:tc>
          <w:tcPr>
            <w:tcW w:w="326" w:type="dxa"/>
            <w:tcBorders/>
            <w:vAlign w:val="center"/>
          </w:tcPr>
          <w:p>
            <w:pPr>
              <w:pStyle w:val="TableContents"/>
              <w:bidi w:val="0"/>
              <w:spacing w:before="0" w:after="1"/>
              <w:ind w:left="0" w:right="0" w:hanging="0"/>
              <w:jc w:val="left"/>
              <w:rPr/>
            </w:pPr>
            <w:r>
              <w:rPr/>
              <w:t> </w:t>
            </w:r>
          </w:p>
        </w:tc>
        <w:tc>
          <w:tcPr>
            <w:tcW w:w="4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w:t>
            </w:r>
          </w:p>
        </w:tc>
        <w:tc>
          <w:tcPr>
            <w:tcW w:w="320" w:type="dxa"/>
            <w:tcBorders/>
            <w:vAlign w:val="center"/>
          </w:tcPr>
          <w:p>
            <w:pPr>
              <w:pStyle w:val="TableContents"/>
              <w:bidi w:val="0"/>
              <w:spacing w:before="0" w:after="1"/>
              <w:ind w:left="0" w:right="0" w:hanging="0"/>
              <w:jc w:val="left"/>
              <w:rPr/>
            </w:pPr>
            <w:r>
              <w:rPr/>
              <w:t>​</w:t>
            </w:r>
          </w:p>
        </w:tc>
      </w:tr>
      <w:tr>
        <w:trPr/>
        <w:tc>
          <w:tcPr>
            <w:tcW w:w="19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held-to-maturity investment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7,974</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43,614</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49,662</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148,557</w:t>
            </w:r>
          </w:p>
        </w:tc>
        <w:tc>
          <w:tcPr>
            <w:tcW w:w="326" w:type="dxa"/>
            <w:tcBorders/>
            <w:shd w:fill="CCEEFF" w:val="clear"/>
            <w:vAlign w:val="center"/>
          </w:tcPr>
          <w:p>
            <w:pPr>
              <w:pStyle w:val="TableContents"/>
              <w:bidi w:val="0"/>
              <w:spacing w:before="0" w:after="1"/>
              <w:ind w:left="0" w:right="0" w:hanging="0"/>
              <w:jc w:val="left"/>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w:t>
            </w:r>
          </w:p>
        </w:tc>
        <w:tc>
          <w:tcPr>
            <w:tcW w:w="320" w:type="dxa"/>
            <w:tcBorders/>
            <w:shd w:fill="CCEEFF" w:val="clear"/>
            <w:vAlign w:val="center"/>
          </w:tcPr>
          <w:p>
            <w:pPr>
              <w:pStyle w:val="TableContents"/>
              <w:bidi w:val="0"/>
              <w:spacing w:before="0" w:after="1"/>
              <w:ind w:left="0" w:right="0" w:hanging="0"/>
              <w:jc w:val="left"/>
              <w:rPr/>
            </w:pPr>
            <w:r>
              <w:rPr/>
              <w:t>​</w:t>
            </w:r>
          </w:p>
        </w:tc>
      </w:tr>
      <w:tr>
        <w:trPr/>
        <w:tc>
          <w:tcPr>
            <w:tcW w:w="19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investment securities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7,986</w:t>
            </w:r>
          </w:p>
        </w:tc>
        <w:tc>
          <w:tcPr>
            <w:tcW w:w="326" w:type="dxa"/>
            <w:tcBorders/>
            <w:vAlign w:val="center"/>
          </w:tcPr>
          <w:p>
            <w:pPr>
              <w:pStyle w:val="TableContents"/>
              <w:bidi w:val="0"/>
              <w:spacing w:before="0" w:after="1"/>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47,101</w:t>
            </w:r>
          </w:p>
        </w:tc>
        <w:tc>
          <w:tcPr>
            <w:tcW w:w="326" w:type="dxa"/>
            <w:tcBorders/>
            <w:vAlign w:val="center"/>
          </w:tcPr>
          <w:p>
            <w:pPr>
              <w:pStyle w:val="TableContents"/>
              <w:bidi w:val="0"/>
              <w:spacing w:before="0" w:after="1"/>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104,328</w:t>
            </w:r>
          </w:p>
        </w:tc>
        <w:tc>
          <w:tcPr>
            <w:tcW w:w="326" w:type="dxa"/>
            <w:tcBorders/>
            <w:vAlign w:val="center"/>
          </w:tcPr>
          <w:p>
            <w:pPr>
              <w:pStyle w:val="TableContents"/>
              <w:bidi w:val="0"/>
              <w:spacing w:before="0" w:after="1"/>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562,664</w:t>
            </w:r>
          </w:p>
        </w:tc>
        <w:tc>
          <w:tcPr>
            <w:tcW w:w="326" w:type="dxa"/>
            <w:tcBorders/>
            <w:vAlign w:val="center"/>
          </w:tcPr>
          <w:p>
            <w:pPr>
              <w:pStyle w:val="TableContents"/>
              <w:bidi w:val="0"/>
              <w:spacing w:before="0" w:after="1"/>
              <w:ind w:left="0" w:right="0" w:hanging="0"/>
              <w:jc w:val="left"/>
              <w:rPr/>
            </w:pPr>
            <w:r>
              <w:rPr/>
              <w:t>​</w:t>
            </w:r>
          </w:p>
        </w:tc>
        <w:tc>
          <w:tcPr>
            <w:tcW w:w="4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w:t>
            </w:r>
          </w:p>
        </w:tc>
        <w:tc>
          <w:tcPr>
            <w:tcW w:w="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loan portfolio represents a broad range of borrowers comprised of commercial and industrial, real estate construction, commercial real estate (“CRE”), residential real estate, and other revolving and installment loans.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loans outstanding were $2.8 billion as of March 31, 2024, an increase of $39.9 million, or 1.4%, from December 31, 2023. The increase was primarily driven by a $28.0 million increase in CRE loans and a $13.4 million increase in commercial and industrial loans, offset by a $2.0 million decrease in residential real estate loans.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loan portfolio is highly diversified. As of March 31, 2024, approximately 21.8% of loans outstanding were commercial and industrial, while 45.7% of loans outstanding were CRE, and 31.4% of loans outstanding were residential real estate. </w:t>
      </w:r>
    </w:p>
    <w:tbl>
      <w:tblPr>
        <w:tblW w:w="7471" w:type="dxa"/>
        <w:jc w:val="left"/>
        <w:tblInd w:w="0" w:type="dxa"/>
        <w:tblLayout w:type="fixed"/>
        <w:tblCellMar>
          <w:top w:w="0" w:type="dxa"/>
          <w:left w:w="0" w:type="dxa"/>
          <w:bottom w:w="0" w:type="dxa"/>
          <w:right w:w="0" w:type="dxa"/>
        </w:tblCellMar>
      </w:tblPr>
      <w:tblGrid>
        <w:gridCol w:w="2611"/>
        <w:gridCol w:w="326"/>
        <w:gridCol w:w="196"/>
        <w:gridCol w:w="826"/>
        <w:gridCol w:w="326"/>
        <w:gridCol w:w="511"/>
        <w:gridCol w:w="331"/>
        <w:gridCol w:w="109"/>
        <w:gridCol w:w="196"/>
        <w:gridCol w:w="826"/>
        <w:gridCol w:w="326"/>
        <w:gridCol w:w="511"/>
        <w:gridCol w:w="376"/>
      </w:tblGrid>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0">
                      <wp:simplePos x="0" y="0"/>
                      <wp:positionH relativeFrom="character">
                        <wp:align>left</wp:align>
                      </wp:positionH>
                      <wp:positionV relativeFrom="line">
                        <wp:posOffset>635</wp:posOffset>
                      </wp:positionV>
                      <wp:extent cx="207010" cy="175260"/>
                      <wp:effectExtent l="0" t="0" r="0" b="0"/>
                      <wp:wrapNone/>
                      <wp:docPr id="909" name="Frame9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1">
                      <wp:simplePos x="0" y="0"/>
                      <wp:positionH relativeFrom="character">
                        <wp:align>left</wp:align>
                      </wp:positionH>
                      <wp:positionV relativeFrom="line">
                        <wp:posOffset>635</wp:posOffset>
                      </wp:positionV>
                      <wp:extent cx="124460" cy="175260"/>
                      <wp:effectExtent l="0" t="0" r="0" b="0"/>
                      <wp:wrapNone/>
                      <wp:docPr id="910" name="Frame9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2">
                      <wp:simplePos x="0" y="0"/>
                      <wp:positionH relativeFrom="character">
                        <wp:align>left</wp:align>
                      </wp:positionH>
                      <wp:positionV relativeFrom="line">
                        <wp:posOffset>635</wp:posOffset>
                      </wp:positionV>
                      <wp:extent cx="524510" cy="175260"/>
                      <wp:effectExtent l="0" t="0" r="0" b="0"/>
                      <wp:wrapNone/>
                      <wp:docPr id="911" name="Frame91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3">
                      <wp:simplePos x="0" y="0"/>
                      <wp:positionH relativeFrom="character">
                        <wp:align>left</wp:align>
                      </wp:positionH>
                      <wp:positionV relativeFrom="line">
                        <wp:posOffset>635</wp:posOffset>
                      </wp:positionV>
                      <wp:extent cx="207010" cy="175260"/>
                      <wp:effectExtent l="0" t="0" r="0" b="0"/>
                      <wp:wrapNone/>
                      <wp:docPr id="912" name="Frame9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4">
                      <wp:simplePos x="0" y="0"/>
                      <wp:positionH relativeFrom="character">
                        <wp:align>left</wp:align>
                      </wp:positionH>
                      <wp:positionV relativeFrom="line">
                        <wp:posOffset>635</wp:posOffset>
                      </wp:positionV>
                      <wp:extent cx="324485" cy="175260"/>
                      <wp:effectExtent l="0" t="0" r="0" b="0"/>
                      <wp:wrapNone/>
                      <wp:docPr id="913" name="Frame91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5">
                      <wp:simplePos x="0" y="0"/>
                      <wp:positionH relativeFrom="character">
                        <wp:align>left</wp:align>
                      </wp:positionH>
                      <wp:positionV relativeFrom="line">
                        <wp:posOffset>635</wp:posOffset>
                      </wp:positionV>
                      <wp:extent cx="210185" cy="175260"/>
                      <wp:effectExtent l="0" t="0" r="0" b="0"/>
                      <wp:wrapNone/>
                      <wp:docPr id="914" name="Frame91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6">
                      <wp:simplePos x="0" y="0"/>
                      <wp:positionH relativeFrom="character">
                        <wp:align>left</wp:align>
                      </wp:positionH>
                      <wp:positionV relativeFrom="line">
                        <wp:posOffset>635</wp:posOffset>
                      </wp:positionV>
                      <wp:extent cx="69215" cy="175260"/>
                      <wp:effectExtent l="0" t="0" r="0" b="0"/>
                      <wp:wrapNone/>
                      <wp:docPr id="915" name="Frame9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7">
                      <wp:simplePos x="0" y="0"/>
                      <wp:positionH relativeFrom="character">
                        <wp:align>left</wp:align>
                      </wp:positionH>
                      <wp:positionV relativeFrom="line">
                        <wp:posOffset>635</wp:posOffset>
                      </wp:positionV>
                      <wp:extent cx="124460" cy="175260"/>
                      <wp:effectExtent l="0" t="0" r="0" b="0"/>
                      <wp:wrapNone/>
                      <wp:docPr id="916" name="Frame9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8">
                      <wp:simplePos x="0" y="0"/>
                      <wp:positionH relativeFrom="character">
                        <wp:align>left</wp:align>
                      </wp:positionH>
                      <wp:positionV relativeFrom="line">
                        <wp:posOffset>635</wp:posOffset>
                      </wp:positionV>
                      <wp:extent cx="524510" cy="175260"/>
                      <wp:effectExtent l="0" t="0" r="0" b="0"/>
                      <wp:wrapNone/>
                      <wp:docPr id="917" name="Frame9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9">
                      <wp:simplePos x="0" y="0"/>
                      <wp:positionH relativeFrom="character">
                        <wp:align>left</wp:align>
                      </wp:positionH>
                      <wp:positionV relativeFrom="line">
                        <wp:posOffset>635</wp:posOffset>
                      </wp:positionV>
                      <wp:extent cx="207010" cy="175260"/>
                      <wp:effectExtent l="0" t="0" r="0" b="0"/>
                      <wp:wrapNone/>
                      <wp:docPr id="918" name="Frame9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0">
                      <wp:simplePos x="0" y="0"/>
                      <wp:positionH relativeFrom="character">
                        <wp:align>left</wp:align>
                      </wp:positionH>
                      <wp:positionV relativeFrom="line">
                        <wp:posOffset>635</wp:posOffset>
                      </wp:positionV>
                      <wp:extent cx="324485" cy="175260"/>
                      <wp:effectExtent l="0" t="0" r="0" b="0"/>
                      <wp:wrapNone/>
                      <wp:docPr id="919" name="Frame91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1">
                      <wp:simplePos x="0" y="0"/>
                      <wp:positionH relativeFrom="character">
                        <wp:align>left</wp:align>
                      </wp:positionH>
                      <wp:positionV relativeFrom="line">
                        <wp:posOffset>635</wp:posOffset>
                      </wp:positionV>
                      <wp:extent cx="238760" cy="175260"/>
                      <wp:effectExtent l="0" t="0" r="0" b="0"/>
                      <wp:wrapNone/>
                      <wp:docPr id="920" name="Frame92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March 31, 2024</w:t>
            </w:r>
          </w:p>
        </w:tc>
        <w:tc>
          <w:tcPr>
            <w:tcW w:w="109" w:type="dxa"/>
            <w:tcBorders/>
            <w:vAlign w:val="center"/>
          </w:tcPr>
          <w:p>
            <w:pPr>
              <w:pStyle w:val="TableContents"/>
              <w:bidi w:val="0"/>
              <w:spacing w:before="0" w:after="0"/>
              <w:ind w:left="0" w:right="0" w:hanging="0"/>
              <w:jc w:val="left"/>
              <w:rPr/>
            </w:pPr>
            <w:r>
              <w:rPr/>
              <w:t>​</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2023</w:t>
            </w:r>
          </w:p>
        </w:tc>
      </w:tr>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Percent of</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Percent of</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i/>
                <w:sz w:val="14"/>
              </w:rPr>
            </w:pPr>
            <w:r>
              <w:rPr>
                <w:rFonts w:ascii="Times New Roman;Times;serif" w:hAnsi="Times New Roman;Times;serif"/>
                <w:i/>
                <w:sz w:val="14"/>
              </w:rPr>
              <w:t>(dollars in thousands)</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Balance</w:t>
            </w:r>
          </w:p>
        </w:tc>
        <w:tc>
          <w:tcPr>
            <w:tcW w:w="32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Portfolio</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Balance</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Portfolio</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and industrial:</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left"/>
              <w:rPr/>
            </w:pPr>
            <w:r>
              <w:rPr/>
              <w:t>  </w:t>
            </w:r>
          </w:p>
        </w:tc>
        <w:tc>
          <w:tcPr>
            <w:tcW w:w="33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business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316,298</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294,149</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147,584</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146,318</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Retail trade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79,620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91,216</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37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Manufacturing</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68,193</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66,638</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and industrial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611,695</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598,321</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37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real estate: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  </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Owner occupied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285,149</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271,619</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c>
          <w:tcPr>
            <w:tcW w:w="37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Non-owner occupied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260,609</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245,103</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37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Office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133,284</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124,684</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Industrial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103,303</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104,241</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37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96,023</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96,578</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Hotel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67,288</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80,576</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37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Medical office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63,775</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63,788</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Medical or nursing facility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47,302</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47,625</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7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commercial real estate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55,066</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51,866</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non-owner occupied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826,650</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814,461</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w:t>
            </w:r>
          </w:p>
        </w:tc>
        <w:tc>
          <w:tcPr>
            <w:tcW w:w="37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125,966</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124,034</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Agricultural real estate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41,149</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40,832</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7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real estate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1,278,914</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1,250,946</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45.3</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Consumer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  </w:t>
            </w:r>
          </w:p>
        </w:tc>
        <w:tc>
          <w:tcPr>
            <w:tcW w:w="37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real estate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722,151</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726,879</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real estate junior lien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156,882</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154,134</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37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revolving and installment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29,833</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29,303</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76"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consumer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908,866</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910,316</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w:t>
            </w:r>
          </w:p>
        </w:tc>
        <w:tc>
          <w:tcPr>
            <w:tcW w:w="376"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loans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2,799,475</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2,759,583</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r>
    </w:tbl>
    <w:p>
      <w:pPr>
        <w:pStyle w:val="TextBody"/>
        <w:bidi w:val="0"/>
        <w:spacing w:before="0" w:after="0"/>
        <w:ind w:left="36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Despite headwinds from a higher interest rate environment and competition in the Company’s market areas, the Company anticipates continued loan growth for the commercial and industrial and commercial real estate loan portfolios as a result of recently added production talent.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Commercial loans represent loans for working capital, purchases of equipment and other needs of commercial customers primarily located within the Bank’s geographical footprint. These loans are underwritten individually and represent ongoing relationships based on a thorough knowledge of the customer, the customer’s industry and the customer’s market. While commercial loans are generally secured by the customer’s assets, including real property, inventory, accounts receivable, operating equipment and other property, and may also include personal guarantees of the owners and related parties, the primary source of repayment of the loans is the ongoing cash flow from operations of the customer’s business. In addition, revolving lines of credit are generally governed by a borrowing base. Inherent lending risks are monitored on a continuous basis through interim reporting, covenant testing and annual underwriting.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CRE loans consist of term loans secured by a mortgage lien on real property and include both owner occupied CRE loans as well as non-owner occupied loans. Non-owner occupied CRE loans consist of mortgage loans to finance investments in real property that may include, but are not limited to, multi-family, industrial, office, retail and other specific use properties as well as CRE construction loans that are offered to builders and developers generally within the Bank’s geographical footprint. The primary risk characteristics in the non-owner occupied portfolio include impacts of overall leasing rates, absorption timelines, levels of vacancy rates and operating expenses. The Company requires collateral values in excess of the loan amounts, cash flows in excess of expected debt service requirements and equity investment in the project. The expected cash flows from all significant new or renewed income producing property commitments are stress tested to reflect the risks in varying interest rates, vacancy rates and rental rates. Inherent lending risks are monitored on a continuous basis through quarterly monitoring and the Bank’s annual underwriting process, incorporating an analysis of cash flow, collateral, market conditions and guarantor liquidity, if applicable. CRE loan policies are specific to individual product types and underwriting parameters vary depending on the risk profile of each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asset class. CRE loan policies are reviewed no less than semi-annually by management and approved by the Bank’s Board of Directors to ensure they align with current market conditions and the Bank’s moderate risk appetite. Construction loans are monitored monthly and includes on-site inspections. Management reviews all construction loans quarterly to ensure projects are on time and within budget. CRE concentration limits have been established by product type and are monitored quarterly by the Bank’s Credit Governance Committee and Bank Board of Directors.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CRE loans may be adversely affected by conditions in the real estate markets or in the general economy. The Company does not monitor the CRE portfolio for attributes such as loan-to-value ratios, occupancy rates or net operating income, as these characteristics are assessed and evaluated on an individual loan basis. Portfolio stress testing is completed based on property type and takes into consideration changes to net operating income and capitalization rates. The Company does not have exposure to the office building sector in central business districts as the office portfolio is generally diversified in suburban markets with strong occupancy levels.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geographical markets of the collateral related to the non-owner occupied CRE loans for the periods presented:</w:t>
      </w:r>
    </w:p>
    <w:tbl>
      <w:tblPr>
        <w:tblW w:w="8536" w:type="dxa"/>
        <w:jc w:val="left"/>
        <w:tblInd w:w="0" w:type="dxa"/>
        <w:tblLayout w:type="fixed"/>
        <w:tblCellMar>
          <w:top w:w="0" w:type="dxa"/>
          <w:left w:w="0" w:type="dxa"/>
          <w:bottom w:w="0" w:type="dxa"/>
          <w:right w:w="0" w:type="dxa"/>
        </w:tblCellMar>
      </w:tblPr>
      <w:tblGrid>
        <w:gridCol w:w="3946"/>
        <w:gridCol w:w="326"/>
        <w:gridCol w:w="196"/>
        <w:gridCol w:w="691"/>
        <w:gridCol w:w="326"/>
        <w:gridCol w:w="511"/>
        <w:gridCol w:w="331"/>
        <w:gridCol w:w="109"/>
        <w:gridCol w:w="196"/>
        <w:gridCol w:w="691"/>
        <w:gridCol w:w="326"/>
        <w:gridCol w:w="511"/>
        <w:gridCol w:w="376"/>
      </w:tblGrid>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2">
                      <wp:simplePos x="0" y="0"/>
                      <wp:positionH relativeFrom="character">
                        <wp:align>left</wp:align>
                      </wp:positionH>
                      <wp:positionV relativeFrom="line">
                        <wp:posOffset>635</wp:posOffset>
                      </wp:positionV>
                      <wp:extent cx="207010" cy="175260"/>
                      <wp:effectExtent l="0" t="0" r="0" b="0"/>
                      <wp:wrapNone/>
                      <wp:docPr id="921" name="Frame9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3">
                      <wp:simplePos x="0" y="0"/>
                      <wp:positionH relativeFrom="character">
                        <wp:align>left</wp:align>
                      </wp:positionH>
                      <wp:positionV relativeFrom="line">
                        <wp:posOffset>635</wp:posOffset>
                      </wp:positionV>
                      <wp:extent cx="124460" cy="175260"/>
                      <wp:effectExtent l="0" t="0" r="0" b="0"/>
                      <wp:wrapNone/>
                      <wp:docPr id="922" name="Frame9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4">
                      <wp:simplePos x="0" y="0"/>
                      <wp:positionH relativeFrom="character">
                        <wp:align>left</wp:align>
                      </wp:positionH>
                      <wp:positionV relativeFrom="line">
                        <wp:posOffset>635</wp:posOffset>
                      </wp:positionV>
                      <wp:extent cx="438785" cy="175260"/>
                      <wp:effectExtent l="0" t="0" r="0" b="0"/>
                      <wp:wrapNone/>
                      <wp:docPr id="923" name="Frame9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5">
                      <wp:simplePos x="0" y="0"/>
                      <wp:positionH relativeFrom="character">
                        <wp:align>left</wp:align>
                      </wp:positionH>
                      <wp:positionV relativeFrom="line">
                        <wp:posOffset>635</wp:posOffset>
                      </wp:positionV>
                      <wp:extent cx="207010" cy="175260"/>
                      <wp:effectExtent l="0" t="0" r="0" b="0"/>
                      <wp:wrapNone/>
                      <wp:docPr id="924" name="Frame9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6">
                      <wp:simplePos x="0" y="0"/>
                      <wp:positionH relativeFrom="character">
                        <wp:align>left</wp:align>
                      </wp:positionH>
                      <wp:positionV relativeFrom="line">
                        <wp:posOffset>635</wp:posOffset>
                      </wp:positionV>
                      <wp:extent cx="324485" cy="175260"/>
                      <wp:effectExtent l="0" t="0" r="0" b="0"/>
                      <wp:wrapNone/>
                      <wp:docPr id="925" name="Frame92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7">
                      <wp:simplePos x="0" y="0"/>
                      <wp:positionH relativeFrom="character">
                        <wp:align>left</wp:align>
                      </wp:positionH>
                      <wp:positionV relativeFrom="line">
                        <wp:posOffset>635</wp:posOffset>
                      </wp:positionV>
                      <wp:extent cx="210185" cy="175260"/>
                      <wp:effectExtent l="0" t="0" r="0" b="0"/>
                      <wp:wrapNone/>
                      <wp:docPr id="926" name="Frame92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8">
                      <wp:simplePos x="0" y="0"/>
                      <wp:positionH relativeFrom="character">
                        <wp:align>left</wp:align>
                      </wp:positionH>
                      <wp:positionV relativeFrom="line">
                        <wp:posOffset>635</wp:posOffset>
                      </wp:positionV>
                      <wp:extent cx="69215" cy="175260"/>
                      <wp:effectExtent l="0" t="0" r="0" b="0"/>
                      <wp:wrapNone/>
                      <wp:docPr id="927" name="Frame9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9">
                      <wp:simplePos x="0" y="0"/>
                      <wp:positionH relativeFrom="character">
                        <wp:align>left</wp:align>
                      </wp:positionH>
                      <wp:positionV relativeFrom="line">
                        <wp:posOffset>635</wp:posOffset>
                      </wp:positionV>
                      <wp:extent cx="124460" cy="175260"/>
                      <wp:effectExtent l="0" t="0" r="0" b="0"/>
                      <wp:wrapNone/>
                      <wp:docPr id="928" name="Frame9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0">
                      <wp:simplePos x="0" y="0"/>
                      <wp:positionH relativeFrom="character">
                        <wp:align>left</wp:align>
                      </wp:positionH>
                      <wp:positionV relativeFrom="line">
                        <wp:posOffset>635</wp:posOffset>
                      </wp:positionV>
                      <wp:extent cx="438785" cy="175260"/>
                      <wp:effectExtent l="0" t="0" r="0" b="0"/>
                      <wp:wrapNone/>
                      <wp:docPr id="929" name="Frame9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1">
                      <wp:simplePos x="0" y="0"/>
                      <wp:positionH relativeFrom="character">
                        <wp:align>left</wp:align>
                      </wp:positionH>
                      <wp:positionV relativeFrom="line">
                        <wp:posOffset>635</wp:posOffset>
                      </wp:positionV>
                      <wp:extent cx="207010" cy="175260"/>
                      <wp:effectExtent l="0" t="0" r="0" b="0"/>
                      <wp:wrapNone/>
                      <wp:docPr id="930" name="Frame9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2">
                      <wp:simplePos x="0" y="0"/>
                      <wp:positionH relativeFrom="character">
                        <wp:align>left</wp:align>
                      </wp:positionH>
                      <wp:positionV relativeFrom="line">
                        <wp:posOffset>635</wp:posOffset>
                      </wp:positionV>
                      <wp:extent cx="324485" cy="175260"/>
                      <wp:effectExtent l="0" t="0" r="0" b="0"/>
                      <wp:wrapNone/>
                      <wp:docPr id="931" name="Frame93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3">
                      <wp:simplePos x="0" y="0"/>
                      <wp:positionH relativeFrom="character">
                        <wp:align>left</wp:align>
                      </wp:positionH>
                      <wp:positionV relativeFrom="line">
                        <wp:posOffset>635</wp:posOffset>
                      </wp:positionV>
                      <wp:extent cx="238760" cy="175260"/>
                      <wp:effectExtent l="0" t="0" r="0" b="0"/>
                      <wp:wrapNone/>
                      <wp:docPr id="932" name="Frame932"/>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March 31, 2024</w:t>
            </w:r>
          </w:p>
        </w:tc>
        <w:tc>
          <w:tcPr>
            <w:tcW w:w="109"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2023</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Percent of</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Percent of</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i/>
                <w:sz w:val="14"/>
              </w:rPr>
            </w:pPr>
            <w:r>
              <w:rPr>
                <w:rFonts w:ascii="Times New Roman;Times;serif" w:hAnsi="Times New Roman;Times;serif"/>
                <w:i/>
                <w:sz w:val="14"/>
              </w:rPr>
              <w:t>(dollars in thousands)</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w:t>
            </w:r>
          </w:p>
        </w:tc>
        <w:tc>
          <w:tcPr>
            <w:tcW w:w="326" w:type="dxa"/>
            <w:tcBorders/>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Geographical Market: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left"/>
              <w:rPr/>
            </w:pPr>
            <w:r>
              <w:rPr/>
              <w:t>  </w:t>
            </w:r>
          </w:p>
        </w:tc>
        <w:tc>
          <w:tcPr>
            <w:tcW w:w="33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left"/>
              <w:rPr/>
            </w:pPr>
            <w:r>
              <w:rPr/>
              <w:t>  </w:t>
            </w:r>
          </w:p>
        </w:tc>
        <w:tc>
          <w:tcPr>
            <w:tcW w:w="376" w:type="dxa"/>
            <w:tcBorders/>
            <w:shd w:fill="CCEEFF" w:val="clear"/>
            <w:vAlign w:val="center"/>
          </w:tcPr>
          <w:p>
            <w:pPr>
              <w:pStyle w:val="TableContents"/>
              <w:bidi w:val="0"/>
              <w:spacing w:before="0" w:after="1"/>
              <w:ind w:left="0" w:right="0" w:hanging="0"/>
              <w:jc w:val="left"/>
              <w:rPr/>
            </w:pPr>
            <w:r>
              <w:rPr/>
              <w:t>​</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Minnesota</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408,858</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49.5</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394,754</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48.5</w:t>
            </w:r>
          </w:p>
        </w:tc>
        <w:tc>
          <w:tcPr>
            <w:tcW w:w="3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North Dakota</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212,551</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214,884</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Arizona</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130,568</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139,450</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w:t>
            </w:r>
          </w:p>
        </w:tc>
        <w:tc>
          <w:tcPr>
            <w:tcW w:w="3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Missouri</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15,970</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15,969</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Oregon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14,956</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14,953</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c>
          <w:tcPr>
            <w:tcW w:w="3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South Dakota</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14,720</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14,790</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29,027</w:t>
            </w:r>
          </w:p>
        </w:tc>
        <w:tc>
          <w:tcPr>
            <w:tcW w:w="326"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19,661</w:t>
            </w:r>
          </w:p>
        </w:tc>
        <w:tc>
          <w:tcPr>
            <w:tcW w:w="326"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w:t>
            </w:r>
          </w:p>
        </w:tc>
        <w:tc>
          <w:tcPr>
            <w:tcW w:w="3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non-owner occupied commercial real estate loans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826,650</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814,461</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Bank does not currently monitor owner occupied CRE loans based on geographical markets, as the primary source of repayment for these loans is predicated on the cash flow from the underlying operating entity. These loans are generally located within the Company’s geographical footprint.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Highly competitive conditions continue to prevail in the small- and middle-market commercial segments in which the Company primarily operates. The Company maintains a commitment to generating growth in the Company’s business portfolio in a manner that adheres to its twin goals of maintaining strong asset quality and producing profitable margins. The Company continues to invest in additional personnel, technology and business development resources to further strengthen its capabilities.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Residential real estate loans represent loans to consumers for the purchase or refinance of a residence. These loans are generally financed over a 15- to 30-year term and, in most cases, are extended to borrowers to finance their primary residence with both fixed-rate and adjustable-rate terms. Real estate construction loans are also offered to consumers who wish to build their own homes and are often structured to be converted to permanent loans at the end of the construction phase, which is typically twelve months. Residential real estate loans also include home equity loans and lines of credit that are secured by a first or second lien on the borrower’s residence. Home equity lines of credit consist mainly of revolving lines of credit secured by residential real estate.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Consumer loans include loans made to individuals not secured by real estate, including loans secured by automobiles or watercraft, and personal unsecured loans.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originates both fixed and adjustable rate residential real estate loans conforming to the underwriting guidelines of the Federal National Mortgage Association or the Federal Home Loan Mortgage Corporation, as well as home equity loans and lines of credit that are secured by first or junior liens. Most of the Company’s fixed rate residential loans, along with some of the Company’s adjustable rate mortgages are sold to other financial institutions with which the Company has established a correspondent lending relationship.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consumer mortgage loans have minimal direct exposure to subprime mortgages as the loans are underwritten to conform to secondary market standards. As of March 31, 2024, the Company’s consumer mortgage portfolio was $879.0 million, which was a $2.0 million, or 0.2%, decrease from $881.0 million as of December 31, 2023. Market interest rates, expected duration, and the Company’s overall interest rate sensitivity profile continue to be the most significant factors in determining whether the Company chooses to retain versus sell portions of new consumer mortgage originations.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maturities and types of interest rates for the loan portfolio as of March 31, 2024:</w:t>
      </w:r>
    </w:p>
    <w:tbl>
      <w:tblPr>
        <w:tblW w:w="9235" w:type="dxa"/>
        <w:jc w:val="left"/>
        <w:tblInd w:w="0" w:type="dxa"/>
        <w:tblLayout w:type="fixed"/>
        <w:tblCellMar>
          <w:top w:w="0" w:type="dxa"/>
          <w:left w:w="0" w:type="dxa"/>
          <w:bottom w:w="0" w:type="dxa"/>
          <w:right w:w="0" w:type="dxa"/>
        </w:tblCellMar>
      </w:tblPr>
      <w:tblGrid>
        <w:gridCol w:w="2776"/>
        <w:gridCol w:w="326"/>
        <w:gridCol w:w="196"/>
        <w:gridCol w:w="691"/>
        <w:gridCol w:w="326"/>
        <w:gridCol w:w="196"/>
        <w:gridCol w:w="826"/>
        <w:gridCol w:w="326"/>
        <w:gridCol w:w="222"/>
        <w:gridCol w:w="783"/>
        <w:gridCol w:w="109"/>
        <w:gridCol w:w="222"/>
        <w:gridCol w:w="783"/>
        <w:gridCol w:w="326"/>
        <w:gridCol w:w="196"/>
        <w:gridCol w:w="931"/>
      </w:tblGrid>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4">
                      <wp:simplePos x="0" y="0"/>
                      <wp:positionH relativeFrom="character">
                        <wp:align>left</wp:align>
                      </wp:positionH>
                      <wp:positionV relativeFrom="line">
                        <wp:posOffset>635</wp:posOffset>
                      </wp:positionV>
                      <wp:extent cx="207010" cy="175260"/>
                      <wp:effectExtent l="0" t="0" r="0" b="0"/>
                      <wp:wrapNone/>
                      <wp:docPr id="933" name="Frame9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5">
                      <wp:simplePos x="0" y="0"/>
                      <wp:positionH relativeFrom="character">
                        <wp:align>left</wp:align>
                      </wp:positionH>
                      <wp:positionV relativeFrom="line">
                        <wp:posOffset>635</wp:posOffset>
                      </wp:positionV>
                      <wp:extent cx="124460" cy="175260"/>
                      <wp:effectExtent l="0" t="0" r="0" b="0"/>
                      <wp:wrapNone/>
                      <wp:docPr id="934" name="Frame9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6">
                      <wp:simplePos x="0" y="0"/>
                      <wp:positionH relativeFrom="character">
                        <wp:align>left</wp:align>
                      </wp:positionH>
                      <wp:positionV relativeFrom="line">
                        <wp:posOffset>635</wp:posOffset>
                      </wp:positionV>
                      <wp:extent cx="438785" cy="175260"/>
                      <wp:effectExtent l="0" t="0" r="0" b="0"/>
                      <wp:wrapNone/>
                      <wp:docPr id="935" name="Frame9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7">
                      <wp:simplePos x="0" y="0"/>
                      <wp:positionH relativeFrom="character">
                        <wp:align>left</wp:align>
                      </wp:positionH>
                      <wp:positionV relativeFrom="line">
                        <wp:posOffset>635</wp:posOffset>
                      </wp:positionV>
                      <wp:extent cx="207010" cy="175260"/>
                      <wp:effectExtent l="0" t="0" r="0" b="0"/>
                      <wp:wrapNone/>
                      <wp:docPr id="936" name="Frame9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8">
                      <wp:simplePos x="0" y="0"/>
                      <wp:positionH relativeFrom="character">
                        <wp:align>left</wp:align>
                      </wp:positionH>
                      <wp:positionV relativeFrom="line">
                        <wp:posOffset>635</wp:posOffset>
                      </wp:positionV>
                      <wp:extent cx="124460" cy="175260"/>
                      <wp:effectExtent l="0" t="0" r="0" b="0"/>
                      <wp:wrapNone/>
                      <wp:docPr id="937" name="Frame9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9">
                      <wp:simplePos x="0" y="0"/>
                      <wp:positionH relativeFrom="character">
                        <wp:align>left</wp:align>
                      </wp:positionH>
                      <wp:positionV relativeFrom="line">
                        <wp:posOffset>635</wp:posOffset>
                      </wp:positionV>
                      <wp:extent cx="524510" cy="175260"/>
                      <wp:effectExtent l="0" t="0" r="0" b="0"/>
                      <wp:wrapNone/>
                      <wp:docPr id="938" name="Frame93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0">
                      <wp:simplePos x="0" y="0"/>
                      <wp:positionH relativeFrom="character">
                        <wp:align>left</wp:align>
                      </wp:positionH>
                      <wp:positionV relativeFrom="line">
                        <wp:posOffset>635</wp:posOffset>
                      </wp:positionV>
                      <wp:extent cx="207010" cy="175260"/>
                      <wp:effectExtent l="0" t="0" r="0" b="0"/>
                      <wp:wrapNone/>
                      <wp:docPr id="939" name="Frame9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1">
                      <wp:simplePos x="0" y="0"/>
                      <wp:positionH relativeFrom="character">
                        <wp:align>left</wp:align>
                      </wp:positionH>
                      <wp:positionV relativeFrom="line">
                        <wp:posOffset>635</wp:posOffset>
                      </wp:positionV>
                      <wp:extent cx="140970" cy="175260"/>
                      <wp:effectExtent l="0" t="0" r="0" b="0"/>
                      <wp:wrapNone/>
                      <wp:docPr id="940" name="Frame94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2">
                      <wp:simplePos x="0" y="0"/>
                      <wp:positionH relativeFrom="character">
                        <wp:align>left</wp:align>
                      </wp:positionH>
                      <wp:positionV relativeFrom="line">
                        <wp:posOffset>635</wp:posOffset>
                      </wp:positionV>
                      <wp:extent cx="497205" cy="175260"/>
                      <wp:effectExtent l="0" t="0" r="0" b="0"/>
                      <wp:wrapNone/>
                      <wp:docPr id="941" name="Frame941"/>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3">
                      <wp:simplePos x="0" y="0"/>
                      <wp:positionH relativeFrom="character">
                        <wp:align>left</wp:align>
                      </wp:positionH>
                      <wp:positionV relativeFrom="line">
                        <wp:posOffset>635</wp:posOffset>
                      </wp:positionV>
                      <wp:extent cx="69215" cy="175260"/>
                      <wp:effectExtent l="0" t="0" r="0" b="0"/>
                      <wp:wrapNone/>
                      <wp:docPr id="942" name="Frame9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4">
                      <wp:simplePos x="0" y="0"/>
                      <wp:positionH relativeFrom="character">
                        <wp:align>left</wp:align>
                      </wp:positionH>
                      <wp:positionV relativeFrom="line">
                        <wp:posOffset>635</wp:posOffset>
                      </wp:positionV>
                      <wp:extent cx="140970" cy="175260"/>
                      <wp:effectExtent l="0" t="0" r="0" b="0"/>
                      <wp:wrapNone/>
                      <wp:docPr id="943" name="Frame94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5">
                      <wp:simplePos x="0" y="0"/>
                      <wp:positionH relativeFrom="character">
                        <wp:align>left</wp:align>
                      </wp:positionH>
                      <wp:positionV relativeFrom="line">
                        <wp:posOffset>635</wp:posOffset>
                      </wp:positionV>
                      <wp:extent cx="497205" cy="175260"/>
                      <wp:effectExtent l="0" t="0" r="0" b="0"/>
                      <wp:wrapNone/>
                      <wp:docPr id="944" name="Frame944"/>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6">
                      <wp:simplePos x="0" y="0"/>
                      <wp:positionH relativeFrom="character">
                        <wp:align>left</wp:align>
                      </wp:positionH>
                      <wp:positionV relativeFrom="line">
                        <wp:posOffset>635</wp:posOffset>
                      </wp:positionV>
                      <wp:extent cx="207010" cy="175260"/>
                      <wp:effectExtent l="0" t="0" r="0" b="0"/>
                      <wp:wrapNone/>
                      <wp:docPr id="945" name="Frame9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7">
                      <wp:simplePos x="0" y="0"/>
                      <wp:positionH relativeFrom="character">
                        <wp:align>left</wp:align>
                      </wp:positionH>
                      <wp:positionV relativeFrom="line">
                        <wp:posOffset>635</wp:posOffset>
                      </wp:positionV>
                      <wp:extent cx="124460" cy="175260"/>
                      <wp:effectExtent l="0" t="0" r="0" b="0"/>
                      <wp:wrapNone/>
                      <wp:docPr id="946" name="Frame9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8">
                      <wp:simplePos x="0" y="0"/>
                      <wp:positionH relativeFrom="character">
                        <wp:align>left</wp:align>
                      </wp:positionH>
                      <wp:positionV relativeFrom="line">
                        <wp:posOffset>635</wp:posOffset>
                      </wp:positionV>
                      <wp:extent cx="591185" cy="175260"/>
                      <wp:effectExtent l="0" t="0" r="0" b="0"/>
                      <wp:wrapNone/>
                      <wp:docPr id="947" name="Frame94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3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After one</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After five</w:t>
            </w:r>
          </w:p>
        </w:tc>
        <w:tc>
          <w:tcPr>
            <w:tcW w:w="109"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One year</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but within</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but within</w:t>
            </w:r>
          </w:p>
        </w:tc>
        <w:tc>
          <w:tcPr>
            <w:tcW w:w="109" w:type="dxa"/>
            <w:tcBorders/>
            <w:vAlign w:val="center"/>
          </w:tcPr>
          <w:p>
            <w:pPr>
              <w:pStyle w:val="TableContents"/>
              <w:bidi w:val="0"/>
              <w:spacing w:before="0" w:after="0"/>
              <w:ind w:left="0" w:right="0" w:hanging="0"/>
              <w:jc w:val="center"/>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After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less</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five years</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fifteen years</w:t>
            </w:r>
          </w:p>
        </w:tc>
        <w:tc>
          <w:tcPr>
            <w:tcW w:w="109" w:type="dxa"/>
            <w:tcBorders/>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fifteen years</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Commercial</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149,102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259,712</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202,881</w:t>
            </w:r>
          </w:p>
        </w:tc>
        <w:tc>
          <w:tcPr>
            <w:tcW w:w="109"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611,695</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109,851</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1,709</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125,966</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91,414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610,152</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384,410</w:t>
            </w:r>
          </w:p>
        </w:tc>
        <w:tc>
          <w:tcPr>
            <w:tcW w:w="109" w:type="dxa"/>
            <w:tcBorders/>
            <w:vAlign w:val="center"/>
          </w:tcPr>
          <w:p>
            <w:pPr>
              <w:pStyle w:val="TableContents"/>
              <w:bidi w:val="0"/>
              <w:spacing w:before="0" w:after="0"/>
              <w:ind w:left="0" w:right="0" w:hanging="0"/>
              <w:jc w:val="righ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66,972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1,152,948</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252,730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979,715</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589,000</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69,164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1,890,609</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Consumer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33,865</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43,388</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640,297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722,151</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21,224</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32,724</w:t>
            </w:r>
          </w:p>
        </w:tc>
        <w:tc>
          <w:tcPr>
            <w:tcW w:w="109"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94,250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156,882</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16,808</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2,583</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29,833</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consumer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71,897</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78,695</w:t>
            </w:r>
          </w:p>
        </w:tc>
        <w:tc>
          <w:tcPr>
            <w:tcW w:w="109" w:type="dxa"/>
            <w:tcBorders/>
            <w:vAlign w:val="center"/>
          </w:tcPr>
          <w:p>
            <w:pPr>
              <w:pStyle w:val="TableContents"/>
              <w:bidi w:val="0"/>
              <w:spacing w:before="0" w:after="0"/>
              <w:ind w:left="0" w:right="0" w:hanging="0"/>
              <w:jc w:val="righ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734,547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908,866</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276,457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1,051,612</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667,695</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803,711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2,799,475</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Loans with fixed interest rates: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Commercial</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211,917</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79,223</w:t>
            </w:r>
          </w:p>
        </w:tc>
        <w:tc>
          <w:tcPr>
            <w:tcW w:w="109"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310,680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22,143</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32,397</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78,793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415,228</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253,237</w:t>
            </w:r>
          </w:p>
        </w:tc>
        <w:tc>
          <w:tcPr>
            <w:tcW w:w="109" w:type="dxa"/>
            <w:tcBorders/>
            <w:vAlign w:val="center"/>
          </w:tcPr>
          <w:p>
            <w:pPr>
              <w:pStyle w:val="TableContents"/>
              <w:bidi w:val="0"/>
              <w:spacing w:before="0" w:after="0"/>
              <w:ind w:left="0" w:right="0" w:hanging="0"/>
              <w:jc w:val="righ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23,456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770,714</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108,553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649,288</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332,494</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1,113,791</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Consumer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30,943</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36,759</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410,236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480,514</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6,312</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22,269</w:t>
            </w:r>
          </w:p>
        </w:tc>
        <w:tc>
          <w:tcPr>
            <w:tcW w:w="109"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44,986</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13,417</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2,583</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17,520</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consumer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6,410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50,672</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61,611</w:t>
            </w:r>
          </w:p>
        </w:tc>
        <w:tc>
          <w:tcPr>
            <w:tcW w:w="109" w:type="dxa"/>
            <w:tcBorders/>
            <w:vAlign w:val="center"/>
          </w:tcPr>
          <w:p>
            <w:pPr>
              <w:pStyle w:val="TableContents"/>
              <w:bidi w:val="0"/>
              <w:spacing w:before="0" w:after="0"/>
              <w:ind w:left="0" w:right="0" w:hanging="0"/>
              <w:jc w:val="righ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424,327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543,020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 with fixed interest rates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114,963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699,960</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394,105</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447,783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1,656,811</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Loans with floating interest rates: </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129,562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47,795</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123,658</w:t>
            </w:r>
          </w:p>
        </w:tc>
        <w:tc>
          <w:tcPr>
            <w:tcW w:w="109"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301,015</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87,708</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1,675</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93,569</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12,621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194,924</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131,173</w:t>
            </w:r>
          </w:p>
        </w:tc>
        <w:tc>
          <w:tcPr>
            <w:tcW w:w="109" w:type="dxa"/>
            <w:tcBorders/>
            <w:vAlign w:val="center"/>
          </w:tcPr>
          <w:p>
            <w:pPr>
              <w:pStyle w:val="TableContents"/>
              <w:bidi w:val="0"/>
              <w:spacing w:before="0" w:after="0"/>
              <w:ind w:left="0" w:right="0" w:hanging="0"/>
              <w:jc w:val="righ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43,516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382,234</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144,177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330,427</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256,506</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776,818</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Consumer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2,922</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6,629</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230,061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241,637</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14,912</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10,455</w:t>
            </w:r>
          </w:p>
        </w:tc>
        <w:tc>
          <w:tcPr>
            <w:tcW w:w="109"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80,159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111,896</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3,391</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12,313</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consumer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17,317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21,225</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17,084</w:t>
            </w:r>
          </w:p>
        </w:tc>
        <w:tc>
          <w:tcPr>
            <w:tcW w:w="109" w:type="dxa"/>
            <w:tcBorders/>
            <w:vAlign w:val="center"/>
          </w:tcPr>
          <w:p>
            <w:pPr>
              <w:pStyle w:val="TableContents"/>
              <w:bidi w:val="0"/>
              <w:spacing w:before="0" w:after="0"/>
              <w:ind w:left="0" w:right="0" w:hanging="0"/>
              <w:jc w:val="righ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310,220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365,846</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 with floating interest rates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161,494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351,652</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273,590</w:t>
            </w:r>
          </w:p>
        </w:tc>
        <w:tc>
          <w:tcPr>
            <w:tcW w:w="109" w:type="dxa"/>
            <w:tcBorders/>
            <w:shd w:fill="CCEEFF" w:val="clear"/>
            <w:vAlign w:val="center"/>
          </w:tcPr>
          <w:p>
            <w:pPr>
              <w:pStyle w:val="TableContents"/>
              <w:bidi w:val="0"/>
              <w:spacing w:before="0" w:after="0"/>
              <w:ind w:left="0" w:right="0" w:hanging="0"/>
              <w:jc w:val="righ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355,928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1,142,664</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expected life of the Company’s loan portfolio will differ from contractual maturities because borrowers may have the right to curtail or prepay their loans with or without penalties. Consequently, the table above includes information limited to contractual maturities of the underlying loans.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Asset Quality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strategy for credit risk management includes well-defined, centralized credit policies; uniform underwriting criteria; and ongoing risk monitoring and review processes for all commercial and consumer credit exposures. The strategy also emphasizes diversification on a geographic, industry, and client level; regular credit examinations; and management reviews of loans experiencing deterioration of credit quality. The Company strives to identify potential problem loans early, take necessary charge-offs promptly, and maintain adequate reserve levels for credit losses inherent in the portfolio. Management performs ongoing, internal reviews of any problem credits and continually assesses the adequacy of the allowance. The Company utilized an internal lending division, Special Credit Services, to develop and implement strategies for the management of individual nonperforming loans.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Quality Indicators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Loans are assigned a risk rating and grouped into categories based on relevant information about the ability of borrowers to service their debt, such as: current financial information, historical payment experience, credit documentation, public information, and current economic trends, among other factors. The risk ratings are aligned to pass and criticized categories. The criticized categories include special mention, substandard, and doubtful risk ratings. See “NOTE 4 Loans and Allowance for Credit Losses” of the consolidated financial statements for a definition of each of the risk ratings.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presents criticized loans outstanding by loan portfolio segment as of March 31, 2024 and December 31, 2023:</w:t>
      </w:r>
    </w:p>
    <w:tbl>
      <w:tblPr>
        <w:tblW w:w="5809" w:type="dxa"/>
        <w:jc w:val="left"/>
        <w:tblInd w:w="0" w:type="dxa"/>
        <w:tblLayout w:type="fixed"/>
        <w:tblCellMar>
          <w:top w:w="0" w:type="dxa"/>
          <w:left w:w="0" w:type="dxa"/>
          <w:bottom w:w="0" w:type="dxa"/>
          <w:right w:w="0" w:type="dxa"/>
        </w:tblCellMar>
      </w:tblPr>
      <w:tblGrid>
        <w:gridCol w:w="3046"/>
        <w:gridCol w:w="326"/>
        <w:gridCol w:w="196"/>
        <w:gridCol w:w="691"/>
        <w:gridCol w:w="256"/>
        <w:gridCol w:w="109"/>
        <w:gridCol w:w="211"/>
        <w:gridCol w:w="649"/>
        <w:gridCol w:w="325"/>
      </w:tblGrid>
      <w:tr>
        <w:trPr/>
        <w:tc>
          <w:tcPr>
            <w:tcW w:w="30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9">
                      <wp:simplePos x="0" y="0"/>
                      <wp:positionH relativeFrom="character">
                        <wp:align>left</wp:align>
                      </wp:positionH>
                      <wp:positionV relativeFrom="line">
                        <wp:posOffset>635</wp:posOffset>
                      </wp:positionV>
                      <wp:extent cx="207010" cy="175260"/>
                      <wp:effectExtent l="0" t="0" r="0" b="0"/>
                      <wp:wrapNone/>
                      <wp:docPr id="948" name="Frame9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0">
                      <wp:simplePos x="0" y="0"/>
                      <wp:positionH relativeFrom="character">
                        <wp:align>left</wp:align>
                      </wp:positionH>
                      <wp:positionV relativeFrom="line">
                        <wp:posOffset>635</wp:posOffset>
                      </wp:positionV>
                      <wp:extent cx="124460" cy="175260"/>
                      <wp:effectExtent l="0" t="0" r="0" b="0"/>
                      <wp:wrapNone/>
                      <wp:docPr id="949" name="Frame9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1">
                      <wp:simplePos x="0" y="0"/>
                      <wp:positionH relativeFrom="character">
                        <wp:align>left</wp:align>
                      </wp:positionH>
                      <wp:positionV relativeFrom="line">
                        <wp:posOffset>635</wp:posOffset>
                      </wp:positionV>
                      <wp:extent cx="438785" cy="175260"/>
                      <wp:effectExtent l="0" t="0" r="0" b="0"/>
                      <wp:wrapNone/>
                      <wp:docPr id="950" name="Frame95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2">
                      <wp:simplePos x="0" y="0"/>
                      <wp:positionH relativeFrom="character">
                        <wp:align>left</wp:align>
                      </wp:positionH>
                      <wp:positionV relativeFrom="line">
                        <wp:posOffset>635</wp:posOffset>
                      </wp:positionV>
                      <wp:extent cx="162560" cy="175260"/>
                      <wp:effectExtent l="0" t="0" r="0" b="0"/>
                      <wp:wrapNone/>
                      <wp:docPr id="951" name="Frame95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3">
                      <wp:simplePos x="0" y="0"/>
                      <wp:positionH relativeFrom="character">
                        <wp:align>left</wp:align>
                      </wp:positionH>
                      <wp:positionV relativeFrom="line">
                        <wp:posOffset>635</wp:posOffset>
                      </wp:positionV>
                      <wp:extent cx="69215" cy="175260"/>
                      <wp:effectExtent l="0" t="0" r="0" b="0"/>
                      <wp:wrapNone/>
                      <wp:docPr id="952" name="Frame9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4">
                      <wp:simplePos x="0" y="0"/>
                      <wp:positionH relativeFrom="character">
                        <wp:align>left</wp:align>
                      </wp:positionH>
                      <wp:positionV relativeFrom="line">
                        <wp:posOffset>635</wp:posOffset>
                      </wp:positionV>
                      <wp:extent cx="133985" cy="175260"/>
                      <wp:effectExtent l="0" t="0" r="0" b="0"/>
                      <wp:wrapNone/>
                      <wp:docPr id="953" name="Frame9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5">
                      <wp:simplePos x="0" y="0"/>
                      <wp:positionH relativeFrom="character">
                        <wp:align>left</wp:align>
                      </wp:positionH>
                      <wp:positionV relativeFrom="line">
                        <wp:posOffset>635</wp:posOffset>
                      </wp:positionV>
                      <wp:extent cx="412115" cy="175260"/>
                      <wp:effectExtent l="0" t="0" r="0" b="0"/>
                      <wp:wrapNone/>
                      <wp:docPr id="954" name="Frame954"/>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6">
                      <wp:simplePos x="0" y="0"/>
                      <wp:positionH relativeFrom="character">
                        <wp:align>left</wp:align>
                      </wp:positionH>
                      <wp:positionV relativeFrom="line">
                        <wp:posOffset>635</wp:posOffset>
                      </wp:positionV>
                      <wp:extent cx="206375" cy="175260"/>
                      <wp:effectExtent l="0" t="0" r="0" b="0"/>
                      <wp:wrapNone/>
                      <wp:docPr id="955" name="Frame955"/>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0"/>
              <w:ind w:left="0" w:right="0" w:hanging="0"/>
              <w:jc w:val="left"/>
              <w:rPr/>
            </w:pPr>
            <w:r>
              <w:rPr/>
              <w:t>​</w:t>
            </w:r>
          </w:p>
        </w:tc>
        <w:tc>
          <w:tcPr>
            <w:tcW w:w="118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1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18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49" w:type="dxa"/>
            <w:tcBorders/>
            <w:shd w:fill="CCEEFF" w:val="cle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42,653</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29,840</w:t>
            </w:r>
          </w:p>
        </w:tc>
        <w:tc>
          <w:tcPr>
            <w:tcW w:w="325" w:type="dxa"/>
            <w:tcBorders/>
            <w:vAlign w:val="center"/>
          </w:tcPr>
          <w:p>
            <w:pPr>
              <w:pStyle w:val="TableContents"/>
              <w:bidi w:val="0"/>
              <w:spacing w:before="0" w:after="0"/>
              <w:ind w:left="0" w:right="0" w:hanging="0"/>
              <w:jc w:val="lef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21,055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20,667</w:t>
            </w:r>
          </w:p>
        </w:tc>
        <w:tc>
          <w:tcPr>
            <w:tcW w:w="325" w:type="dxa"/>
            <w:tcBorders/>
            <w:shd w:fill="CCEEFF" w:val="clear"/>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34,442</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9,170</w:t>
            </w:r>
          </w:p>
        </w:tc>
        <w:tc>
          <w:tcPr>
            <w:tcW w:w="325" w:type="dxa"/>
            <w:tcBorders/>
            <w:vAlign w:val="center"/>
          </w:tcPr>
          <w:p>
            <w:pPr>
              <w:pStyle w:val="TableContents"/>
              <w:bidi w:val="0"/>
              <w:spacing w:before="0" w:after="0"/>
              <w:ind w:left="0" w:right="0" w:hanging="0"/>
              <w:jc w:val="lef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98,150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59,677</w:t>
            </w:r>
          </w:p>
        </w:tc>
        <w:tc>
          <w:tcPr>
            <w:tcW w:w="325" w:type="dxa"/>
            <w:tcBorders/>
            <w:shd w:fill="CCEEFF" w:val="clear"/>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pPr>
            <w:r>
              <w:rPr/>
              <w:t>​</w:t>
            </w:r>
          </w:p>
        </w:tc>
        <w:tc>
          <w:tcPr>
            <w:tcW w:w="325" w:type="dxa"/>
            <w:tcBorders/>
            <w:vAlign w:val="center"/>
          </w:tcPr>
          <w:p>
            <w:pPr>
              <w:pStyle w:val="TableContents"/>
              <w:bidi w:val="0"/>
              <w:spacing w:before="0" w:after="0"/>
              <w:ind w:left="0" w:right="0" w:hanging="0"/>
              <w:jc w:val="lef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5,301</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325" w:type="dxa"/>
            <w:tcBorders/>
            <w:shd w:fill="CCEEFF" w:val="clear"/>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2,588</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1,781</w:t>
            </w:r>
          </w:p>
        </w:tc>
        <w:tc>
          <w:tcPr>
            <w:tcW w:w="325" w:type="dxa"/>
            <w:tcBorders/>
            <w:vAlign w:val="center"/>
          </w:tcPr>
          <w:p>
            <w:pPr>
              <w:pStyle w:val="TableContents"/>
              <w:bidi w:val="0"/>
              <w:spacing w:before="0" w:after="0"/>
              <w:ind w:left="0" w:right="0" w:hanging="0"/>
              <w:jc w:val="lef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5" w:type="dxa"/>
            <w:tcBorders/>
            <w:shd w:fill="CCEEFF" w:val="clear"/>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consumer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7,890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1,886</w:t>
            </w:r>
          </w:p>
        </w:tc>
        <w:tc>
          <w:tcPr>
            <w:tcW w:w="325" w:type="dxa"/>
            <w:tcBorders/>
            <w:vAlign w:val="center"/>
          </w:tcPr>
          <w:p>
            <w:pPr>
              <w:pStyle w:val="TableContents"/>
              <w:bidi w:val="0"/>
              <w:spacing w:before="0" w:after="0"/>
              <w:ind w:left="0" w:right="0" w:hanging="0"/>
              <w:jc w:val="lef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106,040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61,563</w:t>
            </w:r>
          </w:p>
        </w:tc>
        <w:tc>
          <w:tcPr>
            <w:tcW w:w="325" w:type="dxa"/>
            <w:tcBorders/>
            <w:shd w:fill="CCEEFF" w:val="clear"/>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Criticized loans as a percent of total loans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32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information regarding nonperforming assets as of March 31, 2024 and December 31, 2023:</w:t>
      </w:r>
    </w:p>
    <w:tbl>
      <w:tblPr>
        <w:tblW w:w="6993" w:type="dxa"/>
        <w:jc w:val="left"/>
        <w:tblInd w:w="0" w:type="dxa"/>
        <w:tblLayout w:type="fixed"/>
        <w:tblCellMar>
          <w:top w:w="0" w:type="dxa"/>
          <w:left w:w="0" w:type="dxa"/>
          <w:bottom w:w="0" w:type="dxa"/>
          <w:right w:w="0" w:type="dxa"/>
        </w:tblCellMar>
      </w:tblPr>
      <w:tblGrid>
        <w:gridCol w:w="4411"/>
        <w:gridCol w:w="326"/>
        <w:gridCol w:w="196"/>
        <w:gridCol w:w="511"/>
        <w:gridCol w:w="256"/>
        <w:gridCol w:w="109"/>
        <w:gridCol w:w="230"/>
        <w:gridCol w:w="600"/>
        <w:gridCol w:w="354"/>
      </w:tblGrid>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7">
                      <wp:simplePos x="0" y="0"/>
                      <wp:positionH relativeFrom="character">
                        <wp:align>left</wp:align>
                      </wp:positionH>
                      <wp:positionV relativeFrom="line">
                        <wp:posOffset>635</wp:posOffset>
                      </wp:positionV>
                      <wp:extent cx="207010" cy="175260"/>
                      <wp:effectExtent l="0" t="0" r="0" b="0"/>
                      <wp:wrapNone/>
                      <wp:docPr id="956" name="Frame9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8">
                      <wp:simplePos x="0" y="0"/>
                      <wp:positionH relativeFrom="character">
                        <wp:align>left</wp:align>
                      </wp:positionH>
                      <wp:positionV relativeFrom="line">
                        <wp:posOffset>635</wp:posOffset>
                      </wp:positionV>
                      <wp:extent cx="124460" cy="175260"/>
                      <wp:effectExtent l="0" t="0" r="0" b="0"/>
                      <wp:wrapNone/>
                      <wp:docPr id="957" name="Frame9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9">
                      <wp:simplePos x="0" y="0"/>
                      <wp:positionH relativeFrom="character">
                        <wp:align>left</wp:align>
                      </wp:positionH>
                      <wp:positionV relativeFrom="line">
                        <wp:posOffset>635</wp:posOffset>
                      </wp:positionV>
                      <wp:extent cx="324485" cy="175260"/>
                      <wp:effectExtent l="0" t="0" r="0" b="0"/>
                      <wp:wrapNone/>
                      <wp:docPr id="958" name="Frame95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0">
                      <wp:simplePos x="0" y="0"/>
                      <wp:positionH relativeFrom="character">
                        <wp:align>left</wp:align>
                      </wp:positionH>
                      <wp:positionV relativeFrom="line">
                        <wp:posOffset>635</wp:posOffset>
                      </wp:positionV>
                      <wp:extent cx="162560" cy="175260"/>
                      <wp:effectExtent l="0" t="0" r="0" b="0"/>
                      <wp:wrapNone/>
                      <wp:docPr id="959" name="Frame95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1">
                      <wp:simplePos x="0" y="0"/>
                      <wp:positionH relativeFrom="character">
                        <wp:align>left</wp:align>
                      </wp:positionH>
                      <wp:positionV relativeFrom="line">
                        <wp:posOffset>635</wp:posOffset>
                      </wp:positionV>
                      <wp:extent cx="69215" cy="175260"/>
                      <wp:effectExtent l="0" t="0" r="0" b="0"/>
                      <wp:wrapNone/>
                      <wp:docPr id="960" name="Frame9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2">
                      <wp:simplePos x="0" y="0"/>
                      <wp:positionH relativeFrom="character">
                        <wp:align>left</wp:align>
                      </wp:positionH>
                      <wp:positionV relativeFrom="line">
                        <wp:posOffset>635</wp:posOffset>
                      </wp:positionV>
                      <wp:extent cx="146050" cy="175260"/>
                      <wp:effectExtent l="0" t="0" r="0" b="0"/>
                      <wp:wrapNone/>
                      <wp:docPr id="961" name="Frame96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3">
                      <wp:simplePos x="0" y="0"/>
                      <wp:positionH relativeFrom="character">
                        <wp:align>left</wp:align>
                      </wp:positionH>
                      <wp:positionV relativeFrom="line">
                        <wp:posOffset>635</wp:posOffset>
                      </wp:positionV>
                      <wp:extent cx="381000" cy="175260"/>
                      <wp:effectExtent l="0" t="0" r="0" b="0"/>
                      <wp:wrapNone/>
                      <wp:docPr id="962" name="Frame962"/>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4">
                      <wp:simplePos x="0" y="0"/>
                      <wp:positionH relativeFrom="character">
                        <wp:align>left</wp:align>
                      </wp:positionH>
                      <wp:positionV relativeFrom="line">
                        <wp:posOffset>635</wp:posOffset>
                      </wp:positionV>
                      <wp:extent cx="224790" cy="175260"/>
                      <wp:effectExtent l="0" t="0" r="0" b="0"/>
                      <wp:wrapNone/>
                      <wp:docPr id="963" name="Frame963"/>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0"/>
              <w:ind w:left="0" w:right="0" w:hanging="0"/>
              <w:jc w:val="left"/>
              <w:rPr/>
            </w:pPr>
            <w:r>
              <w:rPr/>
              <w:t>​</w:t>
            </w:r>
          </w:p>
        </w:tc>
        <w:tc>
          <w:tcPr>
            <w:tcW w:w="118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18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Nonaccrual loans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7,345</w:t>
            </w:r>
          </w:p>
        </w:tc>
        <w:tc>
          <w:tcPr>
            <w:tcW w:w="25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8,596</w:t>
            </w:r>
          </w:p>
        </w:tc>
        <w:tc>
          <w:tcPr>
            <w:tcW w:w="354" w:type="dxa"/>
            <w:tcBorders/>
            <w:shd w:fill="CCEEFF" w:val="clear"/>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Accruing loans 90+ days past due</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54" w:type="dxa"/>
            <w:tcBorders/>
            <w:vAlign w:val="center"/>
          </w:tcPr>
          <w:p>
            <w:pPr>
              <w:pStyle w:val="TableContents"/>
              <w:bidi w:val="0"/>
              <w:spacing w:before="0" w:after="0"/>
              <w:ind w:left="0" w:right="0" w:hanging="0"/>
              <w:jc w:val="left"/>
              <w:rPr/>
            </w:pPr>
            <w:r>
              <w:rPr/>
              <w:t> </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nonperforming loans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8,735</w:t>
            </w:r>
          </w:p>
        </w:tc>
        <w:tc>
          <w:tcPr>
            <w:tcW w:w="354"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OREO and repossessed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54"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nonperforming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7,348</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8,767</w:t>
            </w:r>
          </w:p>
        </w:tc>
        <w:tc>
          <w:tcPr>
            <w:tcW w:w="354"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restructured accruing loans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4"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nonperforming assets and restructured accruing loans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7,348</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8,767</w:t>
            </w:r>
          </w:p>
        </w:tc>
        <w:tc>
          <w:tcPr>
            <w:tcW w:w="354"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Nonperforming loans to total loans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0.26</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0.32</w:t>
            </w:r>
          </w:p>
        </w:tc>
        <w:tc>
          <w:tcPr>
            <w:tcW w:w="3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Nonperforming assets to 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0.17</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0.22</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Allowance for credit losses on loans to nonperforming loans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w:t>
            </w:r>
          </w:p>
        </w:tc>
        <w:tc>
          <w:tcPr>
            <w:tcW w:w="3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Interest income lost on nonaccrual loans approximated $651 thousand and $38 thousand for the three months ended March 31, 2024 and 2023, respectively. There was no interest income included in net interest income related to nonaccrual loans for the three months ended March 31, 2024 and 2023.</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allowance for credit losses, or ACL, on loans is maintained at a level management believes is sufficient to absorb expected losses in the loan portfolio over the remaining estimated life of loans in the portfolio. Under CECL accounting standard the ACL is a valuation estimated at each balance sheet date and deducted from the amortized cost basis of loans held for investment to present the net amount expected to be collected. These evaluations are inherently subjective as they require management to make material estimates, all of which may be susceptible to significant change. The allowance is increased by provisions charged to expense and decreased by actual charge-offs, net of recoveries.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estimates the ACL using relevant information, from internal and external sources, relating to past events, current conditions, and reasonable supportable forecasts. Historical loss experience provides the basis for estimation of expected credit losses. Adjustments to historical loss information are made for differences in the current loan-specific risk characteristics such as different underwriting standards, portfolio mix, delinquency level, or life of the loan, as well as changes in environmental conditions, levels of economic activity, unemployment rates, property values and other relevant factors. The calculation also contemplates that the Company may not be able to make or obtain such forecasts for the entire life of the financial assets and requires a reversion to historical loss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Loans that do not share risk characteristics are evaluated on an individual basis. Loans evaluated individually are not also included in the collective evaluation. The ACL on individually evaluated loans is recognized on the basis of the present value of expected future cash flows discounted at the effective interest rate, the fair value of collateral adjusted of estimated costs to sell, or observable market price as of the relevant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ordinary course of business, the Company enters into commitments to extend credit, including commitments under credit arrangements, commercial letters of credit, and standby letters of credit. Such financial instruments are recorded when they are funded. A reserve for unfunded commitments is established using historical loss data and utilization assumptions. This reserve is located under accrued expenses and other liabilities on the Consolidated Balance Sheets. The expense for provision (recovery) for unfunded commitments for the three months ended March 31, 2024 and 2023, was ($0.8) million and $0.2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by loan type, the changes in the allowance for credit losses on loans for the periods presented:</w:t>
      </w:r>
    </w:p>
    <w:tbl>
      <w:tblPr>
        <w:tblW w:w="7431" w:type="dxa"/>
        <w:jc w:val="left"/>
        <w:tblInd w:w="0" w:type="dxa"/>
        <w:tblLayout w:type="fixed"/>
        <w:tblCellMar>
          <w:top w:w="0" w:type="dxa"/>
          <w:left w:w="0" w:type="dxa"/>
          <w:bottom w:w="0" w:type="dxa"/>
          <w:right w:w="0" w:type="dxa"/>
        </w:tblCellMar>
      </w:tblPr>
      <w:tblGrid>
        <w:gridCol w:w="4561"/>
        <w:gridCol w:w="326"/>
        <w:gridCol w:w="196"/>
        <w:gridCol w:w="826"/>
        <w:gridCol w:w="346"/>
        <w:gridCol w:w="109"/>
        <w:gridCol w:w="196"/>
        <w:gridCol w:w="871"/>
      </w:tblGrid>
      <w:tr>
        <w:trPr/>
        <w:tc>
          <w:tcPr>
            <w:tcW w:w="4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5">
                      <wp:simplePos x="0" y="0"/>
                      <wp:positionH relativeFrom="character">
                        <wp:align>left</wp:align>
                      </wp:positionH>
                      <wp:positionV relativeFrom="line">
                        <wp:posOffset>635</wp:posOffset>
                      </wp:positionV>
                      <wp:extent cx="207010" cy="175260"/>
                      <wp:effectExtent l="0" t="0" r="0" b="0"/>
                      <wp:wrapNone/>
                      <wp:docPr id="964" name="Frame9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6">
                      <wp:simplePos x="0" y="0"/>
                      <wp:positionH relativeFrom="character">
                        <wp:align>left</wp:align>
                      </wp:positionH>
                      <wp:positionV relativeFrom="line">
                        <wp:posOffset>635</wp:posOffset>
                      </wp:positionV>
                      <wp:extent cx="124460" cy="175260"/>
                      <wp:effectExtent l="0" t="0" r="0" b="0"/>
                      <wp:wrapNone/>
                      <wp:docPr id="965" name="Frame9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7">
                      <wp:simplePos x="0" y="0"/>
                      <wp:positionH relativeFrom="character">
                        <wp:align>left</wp:align>
                      </wp:positionH>
                      <wp:positionV relativeFrom="line">
                        <wp:posOffset>635</wp:posOffset>
                      </wp:positionV>
                      <wp:extent cx="524510" cy="175260"/>
                      <wp:effectExtent l="0" t="0" r="0" b="0"/>
                      <wp:wrapNone/>
                      <wp:docPr id="966" name="Frame96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8">
                      <wp:simplePos x="0" y="0"/>
                      <wp:positionH relativeFrom="character">
                        <wp:align>left</wp:align>
                      </wp:positionH>
                      <wp:positionV relativeFrom="line">
                        <wp:posOffset>635</wp:posOffset>
                      </wp:positionV>
                      <wp:extent cx="219710" cy="175260"/>
                      <wp:effectExtent l="0" t="0" r="0" b="0"/>
                      <wp:wrapNone/>
                      <wp:docPr id="967" name="Frame9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9">
                      <wp:simplePos x="0" y="0"/>
                      <wp:positionH relativeFrom="character">
                        <wp:align>left</wp:align>
                      </wp:positionH>
                      <wp:positionV relativeFrom="line">
                        <wp:posOffset>635</wp:posOffset>
                      </wp:positionV>
                      <wp:extent cx="69215" cy="175260"/>
                      <wp:effectExtent l="0" t="0" r="0" b="0"/>
                      <wp:wrapNone/>
                      <wp:docPr id="968" name="Frame9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0">
                      <wp:simplePos x="0" y="0"/>
                      <wp:positionH relativeFrom="character">
                        <wp:align>left</wp:align>
                      </wp:positionH>
                      <wp:positionV relativeFrom="line">
                        <wp:posOffset>635</wp:posOffset>
                      </wp:positionV>
                      <wp:extent cx="124460" cy="175260"/>
                      <wp:effectExtent l="0" t="0" r="0" b="0"/>
                      <wp:wrapNone/>
                      <wp:docPr id="969" name="Frame9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1">
                      <wp:simplePos x="0" y="0"/>
                      <wp:positionH relativeFrom="character">
                        <wp:align>left</wp:align>
                      </wp:positionH>
                      <wp:positionV relativeFrom="line">
                        <wp:posOffset>635</wp:posOffset>
                      </wp:positionV>
                      <wp:extent cx="553085" cy="175260"/>
                      <wp:effectExtent l="0" t="0" r="0" b="0"/>
                      <wp:wrapNone/>
                      <wp:docPr id="970" name="Frame97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4"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3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35,843</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35,003</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loan charge-offs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commercial loan charge-offs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 loan charge-offs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consumer loan charge-offs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 charge-offs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loan recoveries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commercial recoveries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 loan recoveries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consumer loan recoveries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 recoveries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loan charge-offs (recoveries)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loan 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834</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commercial loan 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767</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 loan provision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consumer loan provision</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provision for credit losses on loans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799</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36,584</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35,102</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2,799,475</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2,486,625</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total loans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2,768,514</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2,457,154</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Allowance for credit losses on loans to total loans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charge-offs/(recoveries) to average total loans (annualized)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0.03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activity in the allowance for credit losses on loans for the periods indicated:</w:t>
      </w:r>
    </w:p>
    <w:tbl>
      <w:tblPr>
        <w:tblW w:w="7282" w:type="dxa"/>
        <w:jc w:val="left"/>
        <w:tblInd w:w="0" w:type="dxa"/>
        <w:tblLayout w:type="fixed"/>
        <w:tblCellMar>
          <w:top w:w="0" w:type="dxa"/>
          <w:left w:w="0" w:type="dxa"/>
          <w:bottom w:w="0" w:type="dxa"/>
          <w:right w:w="0" w:type="dxa"/>
        </w:tblCellMar>
      </w:tblPr>
      <w:tblGrid>
        <w:gridCol w:w="4516"/>
        <w:gridCol w:w="326"/>
        <w:gridCol w:w="196"/>
        <w:gridCol w:w="601"/>
        <w:gridCol w:w="346"/>
        <w:gridCol w:w="109"/>
        <w:gridCol w:w="196"/>
        <w:gridCol w:w="601"/>
        <w:gridCol w:w="391"/>
      </w:tblGrid>
      <w:tr>
        <w:trPr/>
        <w:tc>
          <w:tcPr>
            <w:tcW w:w="4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2">
                      <wp:simplePos x="0" y="0"/>
                      <wp:positionH relativeFrom="character">
                        <wp:align>left</wp:align>
                      </wp:positionH>
                      <wp:positionV relativeFrom="line">
                        <wp:posOffset>635</wp:posOffset>
                      </wp:positionV>
                      <wp:extent cx="207010" cy="175260"/>
                      <wp:effectExtent l="0" t="0" r="0" b="0"/>
                      <wp:wrapNone/>
                      <wp:docPr id="971" name="Frame9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3">
                      <wp:simplePos x="0" y="0"/>
                      <wp:positionH relativeFrom="character">
                        <wp:align>left</wp:align>
                      </wp:positionH>
                      <wp:positionV relativeFrom="line">
                        <wp:posOffset>635</wp:posOffset>
                      </wp:positionV>
                      <wp:extent cx="124460" cy="175260"/>
                      <wp:effectExtent l="0" t="0" r="0" b="0"/>
                      <wp:wrapNone/>
                      <wp:docPr id="972" name="Frame9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4">
                      <wp:simplePos x="0" y="0"/>
                      <wp:positionH relativeFrom="character">
                        <wp:align>left</wp:align>
                      </wp:positionH>
                      <wp:positionV relativeFrom="line">
                        <wp:posOffset>635</wp:posOffset>
                      </wp:positionV>
                      <wp:extent cx="381635" cy="175260"/>
                      <wp:effectExtent l="0" t="0" r="0" b="0"/>
                      <wp:wrapNone/>
                      <wp:docPr id="973" name="Frame97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5">
                      <wp:simplePos x="0" y="0"/>
                      <wp:positionH relativeFrom="character">
                        <wp:align>left</wp:align>
                      </wp:positionH>
                      <wp:positionV relativeFrom="line">
                        <wp:posOffset>635</wp:posOffset>
                      </wp:positionV>
                      <wp:extent cx="219710" cy="175260"/>
                      <wp:effectExtent l="0" t="0" r="0" b="0"/>
                      <wp:wrapNone/>
                      <wp:docPr id="974" name="Frame9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6">
                      <wp:simplePos x="0" y="0"/>
                      <wp:positionH relativeFrom="character">
                        <wp:align>left</wp:align>
                      </wp:positionH>
                      <wp:positionV relativeFrom="line">
                        <wp:posOffset>635</wp:posOffset>
                      </wp:positionV>
                      <wp:extent cx="69215" cy="175260"/>
                      <wp:effectExtent l="0" t="0" r="0" b="0"/>
                      <wp:wrapNone/>
                      <wp:docPr id="975" name="Frame9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7">
                      <wp:simplePos x="0" y="0"/>
                      <wp:positionH relativeFrom="character">
                        <wp:align>left</wp:align>
                      </wp:positionH>
                      <wp:positionV relativeFrom="line">
                        <wp:posOffset>635</wp:posOffset>
                      </wp:positionV>
                      <wp:extent cx="124460" cy="175260"/>
                      <wp:effectExtent l="0" t="0" r="0" b="0"/>
                      <wp:wrapNone/>
                      <wp:docPr id="976" name="Frame9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8">
                      <wp:simplePos x="0" y="0"/>
                      <wp:positionH relativeFrom="character">
                        <wp:align>left</wp:align>
                      </wp:positionH>
                      <wp:positionV relativeFrom="line">
                        <wp:posOffset>635</wp:posOffset>
                      </wp:positionV>
                      <wp:extent cx="381635" cy="175260"/>
                      <wp:effectExtent l="0" t="0" r="0" b="0"/>
                      <wp:wrapNone/>
                      <wp:docPr id="977" name="Frame97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9">
                      <wp:simplePos x="0" y="0"/>
                      <wp:positionH relativeFrom="character">
                        <wp:align>left</wp:align>
                      </wp:positionH>
                      <wp:positionV relativeFrom="line">
                        <wp:posOffset>635</wp:posOffset>
                      </wp:positionV>
                      <wp:extent cx="248285" cy="175260"/>
                      <wp:effectExtent l="0" t="0" r="0" b="0"/>
                      <wp:wrapNone/>
                      <wp:docPr id="978" name="Frame97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49" w:type="dxa"/>
            <w:gridSpan w:val="6"/>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391" w:type="dxa"/>
            <w:tcBorders/>
            <w:vAlign w:val="center"/>
          </w:tcPr>
          <w:p>
            <w:pPr>
              <w:pStyle w:val="TableContents"/>
              <w:bidi w:val="0"/>
              <w:spacing w:before="0" w:after="1"/>
              <w:ind w:left="0" w:right="0" w:hanging="0"/>
              <w:jc w:val="left"/>
              <w:rPr/>
            </w:pPr>
            <w:r>
              <w:rPr/>
              <w:t>​</w:t>
            </w:r>
          </w:p>
        </w:tc>
      </w:tr>
      <w:tr>
        <w:trPr/>
        <w:tc>
          <w:tcPr>
            <w:tcW w:w="4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49"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391" w:type="dxa"/>
            <w:tcBorders/>
            <w:vAlign w:val="center"/>
          </w:tcPr>
          <w:p>
            <w:pPr>
              <w:pStyle w:val="TableContents"/>
              <w:bidi w:val="0"/>
              <w:spacing w:before="0" w:after="1"/>
              <w:ind w:left="0" w:right="0" w:hanging="0"/>
              <w:jc w:val="lef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(dollars in thousands)</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91" w:type="dxa"/>
            <w:tcBorders/>
            <w:vAlign w:val="center"/>
          </w:tcPr>
          <w:p>
            <w:pPr>
              <w:pStyle w:val="TableContents"/>
              <w:bidi w:val="0"/>
              <w:spacing w:before="0" w:after="1"/>
              <w:ind w:left="0" w:right="0" w:hanging="0"/>
              <w:jc w:val="left"/>
              <w:rPr/>
            </w:pPr>
            <w:r>
              <w:rPr/>
              <w:t>​</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35,843</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35,003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charge-offs (recoveries):</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net charge-offs (recoveries)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w:t>
            </w:r>
          </w:p>
        </w:tc>
        <w:tc>
          <w:tcPr>
            <w:tcW w:w="391" w:type="dxa"/>
            <w:tcBorders/>
            <w:vAlign w:val="center"/>
          </w:tcPr>
          <w:p>
            <w:pPr>
              <w:pStyle w:val="TableContents"/>
              <w:bidi w:val="0"/>
              <w:spacing w:before="0" w:after="1"/>
              <w:ind w:left="0" w:right="0" w:hanging="0"/>
              <w:jc w:val="left"/>
              <w:rPr/>
            </w:pPr>
            <w:r>
              <w:rPr/>
              <w:t>​</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391" w:type="dxa"/>
            <w:tcBorders/>
            <w:vAlign w:val="center"/>
          </w:tcPr>
          <w:p>
            <w:pPr>
              <w:pStyle w:val="TableContents"/>
              <w:bidi w:val="0"/>
              <w:spacing w:before="0" w:after="1"/>
              <w:ind w:left="0" w:right="0" w:hanging="0"/>
              <w:jc w:val="left"/>
              <w:rPr/>
            </w:pPr>
            <w:r>
              <w:rPr/>
              <w:t>​</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commercial net charge-offs (recoveries)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 net charge-offs (recoveries)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w:t>
            </w:r>
          </w:p>
        </w:tc>
        <w:tc>
          <w:tcPr>
            <w:tcW w:w="391" w:type="dxa"/>
            <w:tcBorders/>
            <w:vAlign w:val="center"/>
          </w:tcPr>
          <w:p>
            <w:pPr>
              <w:pStyle w:val="TableContents"/>
              <w:bidi w:val="0"/>
              <w:spacing w:before="0" w:after="1"/>
              <w:ind w:left="0" w:right="0" w:hanging="0"/>
              <w:jc w:val="left"/>
              <w:rPr/>
            </w:pPr>
            <w:r>
              <w:rPr/>
              <w:t>​</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consumer net charge-offs (recoveries)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w:t>
            </w:r>
          </w:p>
        </w:tc>
        <w:tc>
          <w:tcPr>
            <w:tcW w:w="391" w:type="dxa"/>
            <w:tcBorders/>
            <w:vAlign w:val="center"/>
          </w:tcPr>
          <w:p>
            <w:pPr>
              <w:pStyle w:val="TableContents"/>
              <w:bidi w:val="0"/>
              <w:spacing w:before="0" w:after="1"/>
              <w:ind w:left="0" w:right="0" w:hanging="0"/>
              <w:jc w:val="left"/>
              <w:rPr/>
            </w:pPr>
            <w:r>
              <w:rPr/>
              <w:t>​</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net charge-offs (recoveries)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credit losses on loans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799</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w:t>
            </w:r>
          </w:p>
        </w:tc>
        <w:tc>
          <w:tcPr>
            <w:tcW w:w="391" w:type="dxa"/>
            <w:tcBorders/>
            <w:vAlign w:val="center"/>
          </w:tcPr>
          <w:p>
            <w:pPr>
              <w:pStyle w:val="TableContents"/>
              <w:bidi w:val="0"/>
              <w:spacing w:before="0" w:after="1"/>
              <w:ind w:left="0" w:right="0" w:hanging="0"/>
              <w:jc w:val="left"/>
              <w:rPr/>
            </w:pPr>
            <w:r>
              <w:rPr/>
              <w:t>​</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36,584</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35,102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charge-offs (recoveries) to average loans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net charge-offs (recoveries) to average loans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commercial net charge-offs (recoveries) to average loans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 net charge-offs (recoveries) to average loans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consumer net charge-offs (recoveries) to average loans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net charge-offs (recoveries) to average loans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5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Allowance for credit losses on loans to total loans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Allowance for credit losses on loans to nonaccrual loans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Allowance for credit losses on loans to nonperforming loans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1,657</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allocation of the allowance for credit losses on loans as of the dates presented:</w:t>
      </w:r>
    </w:p>
    <w:tbl>
      <w:tblPr>
        <w:tblW w:w="8076" w:type="dxa"/>
        <w:jc w:val="left"/>
        <w:tblInd w:w="0" w:type="dxa"/>
        <w:tblLayout w:type="fixed"/>
        <w:tblCellMar>
          <w:top w:w="0" w:type="dxa"/>
          <w:left w:w="0" w:type="dxa"/>
          <w:bottom w:w="0" w:type="dxa"/>
          <w:right w:w="0" w:type="dxa"/>
        </w:tblCellMar>
      </w:tblPr>
      <w:tblGrid>
        <w:gridCol w:w="2671"/>
        <w:gridCol w:w="326"/>
        <w:gridCol w:w="210"/>
        <w:gridCol w:w="646"/>
        <w:gridCol w:w="326"/>
        <w:gridCol w:w="916"/>
        <w:gridCol w:w="256"/>
        <w:gridCol w:w="326"/>
        <w:gridCol w:w="210"/>
        <w:gridCol w:w="646"/>
        <w:gridCol w:w="326"/>
        <w:gridCol w:w="916"/>
        <w:gridCol w:w="30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0">
                      <wp:simplePos x="0" y="0"/>
                      <wp:positionH relativeFrom="character">
                        <wp:align>left</wp:align>
                      </wp:positionH>
                      <wp:positionV relativeFrom="line">
                        <wp:posOffset>635</wp:posOffset>
                      </wp:positionV>
                      <wp:extent cx="1696085" cy="175260"/>
                      <wp:effectExtent l="0" t="0" r="0" b="0"/>
                      <wp:wrapNone/>
                      <wp:docPr id="979" name="Frame979"/>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1">
                      <wp:simplePos x="0" y="0"/>
                      <wp:positionH relativeFrom="character">
                        <wp:align>left</wp:align>
                      </wp:positionH>
                      <wp:positionV relativeFrom="line">
                        <wp:posOffset>635</wp:posOffset>
                      </wp:positionV>
                      <wp:extent cx="207010" cy="175260"/>
                      <wp:effectExtent l="0" t="0" r="0" b="0"/>
                      <wp:wrapNone/>
                      <wp:docPr id="980" name="Frame9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2">
                      <wp:simplePos x="0" y="0"/>
                      <wp:positionH relativeFrom="character">
                        <wp:align>left</wp:align>
                      </wp:positionH>
                      <wp:positionV relativeFrom="line">
                        <wp:posOffset>635</wp:posOffset>
                      </wp:positionV>
                      <wp:extent cx="133350" cy="175260"/>
                      <wp:effectExtent l="0" t="0" r="0" b="0"/>
                      <wp:wrapNone/>
                      <wp:docPr id="981" name="Frame981"/>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3">
                      <wp:simplePos x="0" y="0"/>
                      <wp:positionH relativeFrom="character">
                        <wp:align>left</wp:align>
                      </wp:positionH>
                      <wp:positionV relativeFrom="line">
                        <wp:posOffset>635</wp:posOffset>
                      </wp:positionV>
                      <wp:extent cx="410210" cy="175260"/>
                      <wp:effectExtent l="0" t="0" r="0" b="0"/>
                      <wp:wrapNone/>
                      <wp:docPr id="982" name="Frame98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4">
                      <wp:simplePos x="0" y="0"/>
                      <wp:positionH relativeFrom="character">
                        <wp:align>left</wp:align>
                      </wp:positionH>
                      <wp:positionV relativeFrom="line">
                        <wp:posOffset>635</wp:posOffset>
                      </wp:positionV>
                      <wp:extent cx="207010" cy="175260"/>
                      <wp:effectExtent l="0" t="0" r="0" b="0"/>
                      <wp:wrapNone/>
                      <wp:docPr id="983" name="Frame9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5">
                      <wp:simplePos x="0" y="0"/>
                      <wp:positionH relativeFrom="character">
                        <wp:align>left</wp:align>
                      </wp:positionH>
                      <wp:positionV relativeFrom="line">
                        <wp:posOffset>635</wp:posOffset>
                      </wp:positionV>
                      <wp:extent cx="581660" cy="175260"/>
                      <wp:effectExtent l="0" t="0" r="0" b="0"/>
                      <wp:wrapNone/>
                      <wp:docPr id="984" name="Frame98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6">
                      <wp:simplePos x="0" y="0"/>
                      <wp:positionH relativeFrom="character">
                        <wp:align>left</wp:align>
                      </wp:positionH>
                      <wp:positionV relativeFrom="line">
                        <wp:posOffset>635</wp:posOffset>
                      </wp:positionV>
                      <wp:extent cx="162560" cy="175260"/>
                      <wp:effectExtent l="0" t="0" r="0" b="0"/>
                      <wp:wrapNone/>
                      <wp:docPr id="985" name="Frame98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7">
                      <wp:simplePos x="0" y="0"/>
                      <wp:positionH relativeFrom="character">
                        <wp:align>left</wp:align>
                      </wp:positionH>
                      <wp:positionV relativeFrom="line">
                        <wp:posOffset>635</wp:posOffset>
                      </wp:positionV>
                      <wp:extent cx="207010" cy="175260"/>
                      <wp:effectExtent l="0" t="0" r="0" b="0"/>
                      <wp:wrapNone/>
                      <wp:docPr id="986" name="Frame9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8">
                      <wp:simplePos x="0" y="0"/>
                      <wp:positionH relativeFrom="character">
                        <wp:align>left</wp:align>
                      </wp:positionH>
                      <wp:positionV relativeFrom="line">
                        <wp:posOffset>635</wp:posOffset>
                      </wp:positionV>
                      <wp:extent cx="133350" cy="175260"/>
                      <wp:effectExtent l="0" t="0" r="0" b="0"/>
                      <wp:wrapNone/>
                      <wp:docPr id="987" name="Frame987"/>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9">
                      <wp:simplePos x="0" y="0"/>
                      <wp:positionH relativeFrom="character">
                        <wp:align>left</wp:align>
                      </wp:positionH>
                      <wp:positionV relativeFrom="line">
                        <wp:posOffset>635</wp:posOffset>
                      </wp:positionV>
                      <wp:extent cx="410210" cy="175260"/>
                      <wp:effectExtent l="0" t="0" r="0" b="0"/>
                      <wp:wrapNone/>
                      <wp:docPr id="988" name="Frame98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0">
                      <wp:simplePos x="0" y="0"/>
                      <wp:positionH relativeFrom="character">
                        <wp:align>left</wp:align>
                      </wp:positionH>
                      <wp:positionV relativeFrom="line">
                        <wp:posOffset>635</wp:posOffset>
                      </wp:positionV>
                      <wp:extent cx="207010" cy="175260"/>
                      <wp:effectExtent l="0" t="0" r="0" b="0"/>
                      <wp:wrapNone/>
                      <wp:docPr id="989" name="Frame9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1">
                      <wp:simplePos x="0" y="0"/>
                      <wp:positionH relativeFrom="character">
                        <wp:align>left</wp:align>
                      </wp:positionH>
                      <wp:positionV relativeFrom="line">
                        <wp:posOffset>635</wp:posOffset>
                      </wp:positionV>
                      <wp:extent cx="581660" cy="175260"/>
                      <wp:effectExtent l="0" t="0" r="0" b="0"/>
                      <wp:wrapNone/>
                      <wp:docPr id="990" name="Frame99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2">
                      <wp:simplePos x="0" y="0"/>
                      <wp:positionH relativeFrom="character">
                        <wp:align>left</wp:align>
                      </wp:positionH>
                      <wp:positionV relativeFrom="line">
                        <wp:posOffset>635</wp:posOffset>
                      </wp:positionV>
                      <wp:extent cx="191135" cy="175260"/>
                      <wp:effectExtent l="0" t="0" r="0" b="0"/>
                      <wp:wrapNone/>
                      <wp:docPr id="991" name="Frame991"/>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01" w:type="dxa"/>
            <w:tcBorders/>
            <w:vAlign w:val="center"/>
          </w:tcPr>
          <w:p>
            <w:pPr>
              <w:pStyle w:val="TableContents"/>
              <w:bidi w:val="0"/>
              <w:spacing w:before="0" w:after="0"/>
              <w:ind w:left="0" w:right="0" w:hanging="0"/>
              <w:jc w:val="left"/>
              <w:rPr/>
            </w:pPr>
            <w:r>
              <w:rPr/>
              <w:t>​</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01" w:type="dxa"/>
            <w:tcBorders/>
            <w:vAlign w:val="center"/>
          </w:tcPr>
          <w:p>
            <w:pPr>
              <w:pStyle w:val="TableContents"/>
              <w:bidi w:val="0"/>
              <w:spacing w:before="0" w:after="0"/>
              <w:ind w:left="0" w:right="0" w:hanging="0"/>
              <w:jc w:val="left"/>
              <w:rPr/>
            </w:pPr>
            <w:r>
              <w:rPr/>
              <w:t>​</w: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Allocated</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loans to</w:t>
            </w:r>
          </w:p>
        </w:tc>
        <w:tc>
          <w:tcPr>
            <w:tcW w:w="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Allocated</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loans to</w:t>
            </w:r>
          </w:p>
        </w:tc>
        <w:tc>
          <w:tcPr>
            <w:tcW w:w="301" w:type="dxa"/>
            <w:tcBorders/>
            <w:vAlign w:val="center"/>
          </w:tcPr>
          <w:p>
            <w:pPr>
              <w:pStyle w:val="TableContents"/>
              <w:bidi w:val="0"/>
              <w:spacing w:before="0" w:after="0"/>
              <w:ind w:left="0" w:right="0" w:hanging="0"/>
              <w:jc w:val="lef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loans</w:t>
            </w:r>
          </w:p>
        </w:tc>
        <w:tc>
          <w:tcPr>
            <w:tcW w:w="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loans</w:t>
            </w:r>
          </w:p>
        </w:tc>
        <w:tc>
          <w:tcPr>
            <w:tcW w:w="301" w:type="dxa"/>
            <w:tcBorders/>
            <w:vAlign w:val="center"/>
          </w:tcPr>
          <w:p>
            <w:pPr>
              <w:pStyle w:val="TableContents"/>
              <w:bidi w:val="0"/>
              <w:spacing w:before="0" w:after="0"/>
              <w:ind w:left="0" w:right="0" w:hanging="0"/>
              <w:jc w:val="lef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2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9,975</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9,894</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 estate construction</w:t>
            </w:r>
          </w:p>
        </w:tc>
        <w:tc>
          <w:tcPr>
            <w:tcW w:w="3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5,922</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6,111</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301" w:type="dxa"/>
            <w:tcBorders/>
            <w:vAlign w:val="center"/>
          </w:tcPr>
          <w:p>
            <w:pPr>
              <w:pStyle w:val="TableContents"/>
              <w:bidi w:val="0"/>
              <w:spacing w:before="0" w:after="0"/>
              <w:ind w:left="0" w:right="0" w:hanging="0"/>
              <w:jc w:val="lef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2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12,713</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w:t>
            </w:r>
          </w:p>
        </w:tc>
        <w:tc>
          <w:tcPr>
            <w:tcW w:w="2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11,897</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first mortgage</w:t>
            </w:r>
          </w:p>
        </w:tc>
        <w:tc>
          <w:tcPr>
            <w:tcW w:w="3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6,641</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w:t>
            </w:r>
          </w:p>
        </w:tc>
        <w:tc>
          <w:tcPr>
            <w:tcW w:w="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6,578</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w:t>
            </w:r>
          </w:p>
        </w:tc>
        <w:tc>
          <w:tcPr>
            <w:tcW w:w="301" w:type="dxa"/>
            <w:tcBorders/>
            <w:vAlign w:val="center"/>
          </w:tcPr>
          <w:p>
            <w:pPr>
              <w:pStyle w:val="TableContents"/>
              <w:bidi w:val="0"/>
              <w:spacing w:before="0" w:after="0"/>
              <w:ind w:left="0" w:right="0" w:hanging="0"/>
              <w:jc w:val="lef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 junior lien</w:t>
            </w:r>
          </w:p>
        </w:tc>
        <w:tc>
          <w:tcPr>
            <w:tcW w:w="32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1,148</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2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1,151</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revolving and installment</w:t>
            </w:r>
          </w:p>
        </w:tc>
        <w:tc>
          <w:tcPr>
            <w:tcW w:w="326"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01" w:type="dxa"/>
            <w:tcBorders/>
            <w:vAlign w:val="center"/>
          </w:tcPr>
          <w:p>
            <w:pPr>
              <w:pStyle w:val="TableContents"/>
              <w:bidi w:val="0"/>
              <w:spacing w:before="0" w:after="0"/>
              <w:ind w:left="0" w:right="0" w:hanging="0"/>
              <w:jc w:val="lef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w:t>
            </w:r>
          </w:p>
        </w:tc>
        <w:tc>
          <w:tcPr>
            <w:tcW w:w="326" w:type="dxa"/>
            <w:tcBorders/>
            <w:shd w:fill="CCEEFF" w:val="clear"/>
            <w:vAlign w:val="center"/>
          </w:tcPr>
          <w:p>
            <w:pPr>
              <w:pStyle w:val="TableContents"/>
              <w:bidi w:val="0"/>
              <w:spacing w:before="0" w:after="0"/>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36,584</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35,843</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ordinary course of business, the Company enters into commitments to extend credit, including commitments under credit arrangements, commercial letters of credit, and standby letters of credit. Such financial instruments are recorded when they are funded. An ACL on off-balance sheet credit exposures is measured using similar internal and external assumptions as the ACL on loans. This allowance is located in accrued expenses and other liabilities on the Consolidated Balance Sheets. The ACL for unfunded commitments was $6.6 million and $5.4 million as of March 31, 2024 and 2023,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Deposits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Deposit inflows and outflows are influenced by prevailing market interest rates, competition, local and economic conditions, and fluctuations in the Company’s customers’ own liquidity needs and may also be influenced by recent developments in the financial services industry, including the large-scale deposit withdrawals over a short period of time that resulted in recent bank failures.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deposits were $3.3 billion as of March 31, 2024, an increase of $189.4 million, or 6.1%, from December 31, 2023. Interest-bearing deposits increased $224.9 million while noninterest-bearing deposits decreased $35.6 million. The increase in total deposits was due to both seasonal inflows of public funds deposit balances and expanded commercial deposit relationships, along with time deposit and synergistic deposit growth. Noninterest-bearing deposits decreased from 23.5% of total deposits to 21.1% as higher yields on interest-bearing accounts and other investment alternatives, such as U.S. treasuries, attracted funds. Time deposit balances increased as higher short-term CD rates attracted both existing non-maturity deposits as well as new deposits to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composition of the Company’s deposit portfolio as of March 31, 2024 and December 31, 2023:</w:t>
      </w:r>
    </w:p>
    <w:tbl>
      <w:tblPr>
        <w:tblW w:w="9792" w:type="dxa"/>
        <w:jc w:val="left"/>
        <w:tblInd w:w="0" w:type="dxa"/>
        <w:tblLayout w:type="fixed"/>
        <w:tblCellMar>
          <w:top w:w="0" w:type="dxa"/>
          <w:left w:w="0" w:type="dxa"/>
          <w:bottom w:w="0" w:type="dxa"/>
          <w:right w:w="0" w:type="dxa"/>
        </w:tblCellMar>
      </w:tblPr>
      <w:tblGrid>
        <w:gridCol w:w="2131"/>
        <w:gridCol w:w="326"/>
        <w:gridCol w:w="196"/>
        <w:gridCol w:w="826"/>
        <w:gridCol w:w="326"/>
        <w:gridCol w:w="856"/>
        <w:gridCol w:w="326"/>
        <w:gridCol w:w="196"/>
        <w:gridCol w:w="826"/>
        <w:gridCol w:w="326"/>
        <w:gridCol w:w="856"/>
        <w:gridCol w:w="326"/>
        <w:gridCol w:w="196"/>
        <w:gridCol w:w="721"/>
        <w:gridCol w:w="326"/>
        <w:gridCol w:w="661"/>
        <w:gridCol w:w="37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3">
                      <wp:simplePos x="0" y="0"/>
                      <wp:positionH relativeFrom="character">
                        <wp:align>left</wp:align>
                      </wp:positionH>
                      <wp:positionV relativeFrom="line">
                        <wp:posOffset>635</wp:posOffset>
                      </wp:positionV>
                      <wp:extent cx="1353185" cy="175260"/>
                      <wp:effectExtent l="0" t="0" r="0" b="0"/>
                      <wp:wrapNone/>
                      <wp:docPr id="992" name="Frame992"/>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4">
                      <wp:simplePos x="0" y="0"/>
                      <wp:positionH relativeFrom="character">
                        <wp:align>left</wp:align>
                      </wp:positionH>
                      <wp:positionV relativeFrom="line">
                        <wp:posOffset>635</wp:posOffset>
                      </wp:positionV>
                      <wp:extent cx="207010" cy="175260"/>
                      <wp:effectExtent l="0" t="0" r="0" b="0"/>
                      <wp:wrapNone/>
                      <wp:docPr id="993" name="Frame9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5">
                      <wp:simplePos x="0" y="0"/>
                      <wp:positionH relativeFrom="character">
                        <wp:align>left</wp:align>
                      </wp:positionH>
                      <wp:positionV relativeFrom="line">
                        <wp:posOffset>635</wp:posOffset>
                      </wp:positionV>
                      <wp:extent cx="124460" cy="175260"/>
                      <wp:effectExtent l="0" t="0" r="0" b="0"/>
                      <wp:wrapNone/>
                      <wp:docPr id="994" name="Frame9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6">
                      <wp:simplePos x="0" y="0"/>
                      <wp:positionH relativeFrom="character">
                        <wp:align>left</wp:align>
                      </wp:positionH>
                      <wp:positionV relativeFrom="line">
                        <wp:posOffset>635</wp:posOffset>
                      </wp:positionV>
                      <wp:extent cx="524510" cy="175260"/>
                      <wp:effectExtent l="0" t="0" r="0" b="0"/>
                      <wp:wrapNone/>
                      <wp:docPr id="995" name="Frame99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7">
                      <wp:simplePos x="0" y="0"/>
                      <wp:positionH relativeFrom="character">
                        <wp:align>left</wp:align>
                      </wp:positionH>
                      <wp:positionV relativeFrom="line">
                        <wp:posOffset>635</wp:posOffset>
                      </wp:positionV>
                      <wp:extent cx="207010" cy="175260"/>
                      <wp:effectExtent l="0" t="0" r="0" b="0"/>
                      <wp:wrapNone/>
                      <wp:docPr id="996" name="Frame9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8">
                      <wp:simplePos x="0" y="0"/>
                      <wp:positionH relativeFrom="character">
                        <wp:align>left</wp:align>
                      </wp:positionH>
                      <wp:positionV relativeFrom="line">
                        <wp:posOffset>635</wp:posOffset>
                      </wp:positionV>
                      <wp:extent cx="543560" cy="175260"/>
                      <wp:effectExtent l="0" t="0" r="0" b="0"/>
                      <wp:wrapNone/>
                      <wp:docPr id="997" name="Frame99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9">
                      <wp:simplePos x="0" y="0"/>
                      <wp:positionH relativeFrom="character">
                        <wp:align>left</wp:align>
                      </wp:positionH>
                      <wp:positionV relativeFrom="line">
                        <wp:posOffset>635</wp:posOffset>
                      </wp:positionV>
                      <wp:extent cx="207010" cy="175260"/>
                      <wp:effectExtent l="0" t="0" r="0" b="0"/>
                      <wp:wrapNone/>
                      <wp:docPr id="998" name="Frame9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0">
                      <wp:simplePos x="0" y="0"/>
                      <wp:positionH relativeFrom="character">
                        <wp:align>left</wp:align>
                      </wp:positionH>
                      <wp:positionV relativeFrom="line">
                        <wp:posOffset>635</wp:posOffset>
                      </wp:positionV>
                      <wp:extent cx="124460" cy="175260"/>
                      <wp:effectExtent l="0" t="0" r="0" b="0"/>
                      <wp:wrapNone/>
                      <wp:docPr id="999" name="Frame9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1">
                      <wp:simplePos x="0" y="0"/>
                      <wp:positionH relativeFrom="character">
                        <wp:align>left</wp:align>
                      </wp:positionH>
                      <wp:positionV relativeFrom="line">
                        <wp:posOffset>635</wp:posOffset>
                      </wp:positionV>
                      <wp:extent cx="524510" cy="175260"/>
                      <wp:effectExtent l="0" t="0" r="0" b="0"/>
                      <wp:wrapNone/>
                      <wp:docPr id="1000" name="Frame100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2">
                      <wp:simplePos x="0" y="0"/>
                      <wp:positionH relativeFrom="character">
                        <wp:align>left</wp:align>
                      </wp:positionH>
                      <wp:positionV relativeFrom="line">
                        <wp:posOffset>635</wp:posOffset>
                      </wp:positionV>
                      <wp:extent cx="207010" cy="175260"/>
                      <wp:effectExtent l="0" t="0" r="0" b="0"/>
                      <wp:wrapNone/>
                      <wp:docPr id="1001" name="Frame10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3">
                      <wp:simplePos x="0" y="0"/>
                      <wp:positionH relativeFrom="character">
                        <wp:align>left</wp:align>
                      </wp:positionH>
                      <wp:positionV relativeFrom="line">
                        <wp:posOffset>635</wp:posOffset>
                      </wp:positionV>
                      <wp:extent cx="543560" cy="175260"/>
                      <wp:effectExtent l="0" t="0" r="0" b="0"/>
                      <wp:wrapNone/>
                      <wp:docPr id="1002" name="Frame100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4">
                      <wp:simplePos x="0" y="0"/>
                      <wp:positionH relativeFrom="character">
                        <wp:align>left</wp:align>
                      </wp:positionH>
                      <wp:positionV relativeFrom="line">
                        <wp:posOffset>635</wp:posOffset>
                      </wp:positionV>
                      <wp:extent cx="207010" cy="175260"/>
                      <wp:effectExtent l="0" t="0" r="0" b="0"/>
                      <wp:wrapNone/>
                      <wp:docPr id="1003" name="Frame10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5">
                      <wp:simplePos x="0" y="0"/>
                      <wp:positionH relativeFrom="character">
                        <wp:align>left</wp:align>
                      </wp:positionH>
                      <wp:positionV relativeFrom="line">
                        <wp:posOffset>635</wp:posOffset>
                      </wp:positionV>
                      <wp:extent cx="124460" cy="175260"/>
                      <wp:effectExtent l="0" t="0" r="0" b="0"/>
                      <wp:wrapNone/>
                      <wp:docPr id="1004" name="Frame10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6">
                      <wp:simplePos x="0" y="0"/>
                      <wp:positionH relativeFrom="character">
                        <wp:align>left</wp:align>
                      </wp:positionH>
                      <wp:positionV relativeFrom="line">
                        <wp:posOffset>635</wp:posOffset>
                      </wp:positionV>
                      <wp:extent cx="457835" cy="175260"/>
                      <wp:effectExtent l="0" t="0" r="0" b="0"/>
                      <wp:wrapNone/>
                      <wp:docPr id="1005" name="Frame100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7">
                      <wp:simplePos x="0" y="0"/>
                      <wp:positionH relativeFrom="character">
                        <wp:align>left</wp:align>
                      </wp:positionH>
                      <wp:positionV relativeFrom="line">
                        <wp:posOffset>635</wp:posOffset>
                      </wp:positionV>
                      <wp:extent cx="207010" cy="175260"/>
                      <wp:effectExtent l="0" t="0" r="0" b="0"/>
                      <wp:wrapNone/>
                      <wp:docPr id="1006" name="Frame10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8">
                      <wp:simplePos x="0" y="0"/>
                      <wp:positionH relativeFrom="character">
                        <wp:align>left</wp:align>
                      </wp:positionH>
                      <wp:positionV relativeFrom="line">
                        <wp:posOffset>635</wp:posOffset>
                      </wp:positionV>
                      <wp:extent cx="419735" cy="175260"/>
                      <wp:effectExtent l="0" t="0" r="0" b="0"/>
                      <wp:wrapNone/>
                      <wp:docPr id="1007" name="Frame100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9">
                      <wp:simplePos x="0" y="0"/>
                      <wp:positionH relativeFrom="character">
                        <wp:align>left</wp:align>
                      </wp:positionH>
                      <wp:positionV relativeFrom="line">
                        <wp:posOffset>635</wp:posOffset>
                      </wp:positionV>
                      <wp:extent cx="235585" cy="175260"/>
                      <wp:effectExtent l="0" t="0" r="0" b="0"/>
                      <wp:wrapNone/>
                      <wp:docPr id="1008" name="Frame100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0"/>
              <w:ind w:left="0" w:right="0" w:hanging="0"/>
              <w:jc w:val="center"/>
              <w:rPr/>
            </w:pPr>
            <w:r>
              <w:rPr/>
              <w:t>​</w:t>
            </w:r>
          </w:p>
        </w:tc>
        <w:tc>
          <w:tcPr>
            <w:tcW w:w="22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w:t>
            </w:r>
          </w:p>
        </w:tc>
        <w:tc>
          <w:tcPr>
            <w:tcW w:w="326" w:type="dxa"/>
            <w:tcBorders/>
            <w:vAlign w:val="center"/>
          </w:tcPr>
          <w:p>
            <w:pPr>
              <w:pStyle w:val="TableContents"/>
              <w:bidi w:val="0"/>
              <w:spacing w:before="0" w:after="0"/>
              <w:ind w:left="0" w:right="0" w:hanging="0"/>
              <w:jc w:val="center"/>
              <w:rPr/>
            </w:pPr>
            <w:r>
              <w:rPr/>
              <w:t>​</w:t>
            </w:r>
          </w:p>
        </w:tc>
        <w:tc>
          <w:tcPr>
            <w:tcW w:w="19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71" w:type="dxa"/>
            <w:tcBorders/>
            <w:vAlign w:val="center"/>
          </w:tcPr>
          <w:p>
            <w:pPr>
              <w:pStyle w:val="TableContents"/>
              <w:bidi w:val="0"/>
              <w:spacing w:before="0" w:after="0"/>
              <w:ind w:left="0" w:right="0" w:hanging="0"/>
              <w:jc w:val="center"/>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Portfolio</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Portfolio</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71" w:type="dxa"/>
            <w:tcBorders/>
            <w:vAlign w:val="center"/>
          </w:tcPr>
          <w:p>
            <w:pPr>
              <w:pStyle w:val="TableContents"/>
              <w:bidi w:val="0"/>
              <w:spacing w:before="0" w:after="0"/>
              <w:ind w:left="0" w:right="0" w:hanging="0"/>
              <w:jc w:val="left"/>
              <w:rPr/>
            </w:pPr>
            <w:r>
              <w:rPr/>
              <w:t>    </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Noninterest-bearing demand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692,500</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728,082</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(35,582)</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demand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938,751</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840,711</w:t>
            </w:r>
          </w:p>
        </w:tc>
        <w:tc>
          <w:tcPr>
            <w:tcW w:w="32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98,040</w:t>
            </w:r>
          </w:p>
        </w:tc>
        <w:tc>
          <w:tcPr>
            <w:tcW w:w="32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71"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Money market and savings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1,196,989</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1,115,256</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81,733</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Time deposits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456,729</w:t>
            </w:r>
          </w:p>
        </w:tc>
        <w:tc>
          <w:tcPr>
            <w:tcW w:w="32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411,562</w:t>
            </w:r>
          </w:p>
        </w:tc>
        <w:tc>
          <w:tcPr>
            <w:tcW w:w="32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45,167</w:t>
            </w:r>
          </w:p>
        </w:tc>
        <w:tc>
          <w:tcPr>
            <w:tcW w:w="326"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w:t>
            </w:r>
          </w:p>
        </w:tc>
        <w:tc>
          <w:tcPr>
            <w:tcW w:w="371"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3,284,969</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3,095,611</w:t>
            </w:r>
          </w:p>
        </w:tc>
        <w:tc>
          <w:tcPr>
            <w:tcW w:w="326" w:type="dxa"/>
            <w:tcBorders/>
            <w:shd w:fill="CCEEFF" w:val="clear"/>
            <w:vAlign w:val="center"/>
          </w:tcPr>
          <w:p>
            <w:pPr>
              <w:pStyle w:val="TableContents"/>
              <w:bidi w:val="0"/>
              <w:spacing w:before="0" w:after="0"/>
              <w:ind w:left="0" w:right="0" w:hanging="0"/>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189,358</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average balances and rates of the Company’s deposit portfolio for the three months ended March 31, 2024 and 2023:</w:t>
      </w:r>
    </w:p>
    <w:tbl>
      <w:tblPr>
        <w:tblW w:w="7401" w:type="dxa"/>
        <w:jc w:val="left"/>
        <w:tblInd w:w="0" w:type="dxa"/>
        <w:tblLayout w:type="fixed"/>
        <w:tblCellMar>
          <w:top w:w="0" w:type="dxa"/>
          <w:left w:w="0" w:type="dxa"/>
          <w:bottom w:w="0" w:type="dxa"/>
          <w:right w:w="0" w:type="dxa"/>
        </w:tblCellMar>
      </w:tblPr>
      <w:tblGrid>
        <w:gridCol w:w="2131"/>
        <w:gridCol w:w="326"/>
        <w:gridCol w:w="196"/>
        <w:gridCol w:w="826"/>
        <w:gridCol w:w="326"/>
        <w:gridCol w:w="721"/>
        <w:gridCol w:w="326"/>
        <w:gridCol w:w="196"/>
        <w:gridCol w:w="826"/>
        <w:gridCol w:w="326"/>
        <w:gridCol w:w="721"/>
        <w:gridCol w:w="326"/>
        <w:gridCol w:w="154"/>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0">
                      <wp:simplePos x="0" y="0"/>
                      <wp:positionH relativeFrom="character">
                        <wp:align>left</wp:align>
                      </wp:positionH>
                      <wp:positionV relativeFrom="line">
                        <wp:posOffset>635</wp:posOffset>
                      </wp:positionV>
                      <wp:extent cx="1353185" cy="175260"/>
                      <wp:effectExtent l="0" t="0" r="0" b="0"/>
                      <wp:wrapNone/>
                      <wp:docPr id="1009" name="Frame1009"/>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1">
                      <wp:simplePos x="0" y="0"/>
                      <wp:positionH relativeFrom="character">
                        <wp:align>left</wp:align>
                      </wp:positionH>
                      <wp:positionV relativeFrom="line">
                        <wp:posOffset>635</wp:posOffset>
                      </wp:positionV>
                      <wp:extent cx="207010" cy="175260"/>
                      <wp:effectExtent l="0" t="0" r="0" b="0"/>
                      <wp:wrapNone/>
                      <wp:docPr id="1010" name="Frame10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2">
                      <wp:simplePos x="0" y="0"/>
                      <wp:positionH relativeFrom="character">
                        <wp:align>left</wp:align>
                      </wp:positionH>
                      <wp:positionV relativeFrom="line">
                        <wp:posOffset>635</wp:posOffset>
                      </wp:positionV>
                      <wp:extent cx="124460" cy="175260"/>
                      <wp:effectExtent l="0" t="0" r="0" b="0"/>
                      <wp:wrapNone/>
                      <wp:docPr id="1011" name="Frame10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3">
                      <wp:simplePos x="0" y="0"/>
                      <wp:positionH relativeFrom="character">
                        <wp:align>left</wp:align>
                      </wp:positionH>
                      <wp:positionV relativeFrom="line">
                        <wp:posOffset>635</wp:posOffset>
                      </wp:positionV>
                      <wp:extent cx="524510" cy="175260"/>
                      <wp:effectExtent l="0" t="0" r="0" b="0"/>
                      <wp:wrapNone/>
                      <wp:docPr id="1012" name="Frame101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4">
                      <wp:simplePos x="0" y="0"/>
                      <wp:positionH relativeFrom="character">
                        <wp:align>left</wp:align>
                      </wp:positionH>
                      <wp:positionV relativeFrom="line">
                        <wp:posOffset>635</wp:posOffset>
                      </wp:positionV>
                      <wp:extent cx="207010" cy="175260"/>
                      <wp:effectExtent l="0" t="0" r="0" b="0"/>
                      <wp:wrapNone/>
                      <wp:docPr id="1013" name="Frame10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5">
                      <wp:simplePos x="0" y="0"/>
                      <wp:positionH relativeFrom="character">
                        <wp:align>left</wp:align>
                      </wp:positionH>
                      <wp:positionV relativeFrom="line">
                        <wp:posOffset>635</wp:posOffset>
                      </wp:positionV>
                      <wp:extent cx="457835" cy="175260"/>
                      <wp:effectExtent l="0" t="0" r="0" b="0"/>
                      <wp:wrapNone/>
                      <wp:docPr id="1014" name="Frame101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6">
                      <wp:simplePos x="0" y="0"/>
                      <wp:positionH relativeFrom="character">
                        <wp:align>left</wp:align>
                      </wp:positionH>
                      <wp:positionV relativeFrom="line">
                        <wp:posOffset>635</wp:posOffset>
                      </wp:positionV>
                      <wp:extent cx="207010" cy="175260"/>
                      <wp:effectExtent l="0" t="0" r="0" b="0"/>
                      <wp:wrapNone/>
                      <wp:docPr id="1015" name="Frame10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7">
                      <wp:simplePos x="0" y="0"/>
                      <wp:positionH relativeFrom="character">
                        <wp:align>left</wp:align>
                      </wp:positionH>
                      <wp:positionV relativeFrom="line">
                        <wp:posOffset>635</wp:posOffset>
                      </wp:positionV>
                      <wp:extent cx="124460" cy="175260"/>
                      <wp:effectExtent l="0" t="0" r="0" b="0"/>
                      <wp:wrapNone/>
                      <wp:docPr id="1016" name="Frame10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8">
                      <wp:simplePos x="0" y="0"/>
                      <wp:positionH relativeFrom="character">
                        <wp:align>left</wp:align>
                      </wp:positionH>
                      <wp:positionV relativeFrom="line">
                        <wp:posOffset>635</wp:posOffset>
                      </wp:positionV>
                      <wp:extent cx="524510" cy="175260"/>
                      <wp:effectExtent l="0" t="0" r="0" b="0"/>
                      <wp:wrapNone/>
                      <wp:docPr id="1017" name="Frame10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9">
                      <wp:simplePos x="0" y="0"/>
                      <wp:positionH relativeFrom="character">
                        <wp:align>left</wp:align>
                      </wp:positionH>
                      <wp:positionV relativeFrom="line">
                        <wp:posOffset>635</wp:posOffset>
                      </wp:positionV>
                      <wp:extent cx="207010" cy="175260"/>
                      <wp:effectExtent l="0" t="0" r="0" b="0"/>
                      <wp:wrapNone/>
                      <wp:docPr id="1018" name="Frame10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0">
                      <wp:simplePos x="0" y="0"/>
                      <wp:positionH relativeFrom="character">
                        <wp:align>left</wp:align>
                      </wp:positionH>
                      <wp:positionV relativeFrom="line">
                        <wp:posOffset>635</wp:posOffset>
                      </wp:positionV>
                      <wp:extent cx="457835" cy="175260"/>
                      <wp:effectExtent l="0" t="0" r="0" b="0"/>
                      <wp:wrapNone/>
                      <wp:docPr id="1019" name="Frame101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1">
                      <wp:simplePos x="0" y="0"/>
                      <wp:positionH relativeFrom="character">
                        <wp:align>left</wp:align>
                      </wp:positionH>
                      <wp:positionV relativeFrom="line">
                        <wp:posOffset>635</wp:posOffset>
                      </wp:positionV>
                      <wp:extent cx="207010" cy="175260"/>
                      <wp:effectExtent l="0" t="0" r="0" b="0"/>
                      <wp:wrapNone/>
                      <wp:docPr id="1020" name="Frame10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2">
                      <wp:simplePos x="0" y="0"/>
                      <wp:positionH relativeFrom="character">
                        <wp:align>left</wp:align>
                      </wp:positionH>
                      <wp:positionV relativeFrom="line">
                        <wp:posOffset>635</wp:posOffset>
                      </wp:positionV>
                      <wp:extent cx="97790" cy="175260"/>
                      <wp:effectExtent l="0" t="0" r="0" b="0"/>
                      <wp:wrapNone/>
                      <wp:docPr id="1021" name="Frame102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6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20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Noninterest-bearing demand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675,926</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789,134</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demand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869,060</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746,660</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0.87</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Money market and savings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1,186,900</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1,165,269</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w:t>
            </w:r>
          </w:p>
        </w:tc>
        <w:tc>
          <w:tcPr>
            <w:tcW w:w="3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Time deposits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431,679</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231,959</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3,163,565</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2,933,022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contractual maturity of time deposits, including certificate of deposit account registry services and IRA deposits of $250 thousand and over, that were outstanding as of March 31, 2024:</w:t>
      </w:r>
    </w:p>
    <w:tbl>
      <w:tblPr>
        <w:tblW w:w="2984" w:type="dxa"/>
        <w:jc w:val="left"/>
        <w:tblInd w:w="0" w:type="dxa"/>
        <w:tblLayout w:type="fixed"/>
        <w:tblCellMar>
          <w:top w:w="0" w:type="dxa"/>
          <w:left w:w="0" w:type="dxa"/>
          <w:bottom w:w="0" w:type="dxa"/>
          <w:right w:w="0" w:type="dxa"/>
        </w:tblCellMar>
      </w:tblPr>
      <w:tblGrid>
        <w:gridCol w:w="1666"/>
        <w:gridCol w:w="326"/>
        <w:gridCol w:w="196"/>
        <w:gridCol w:w="796"/>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3">
                      <wp:simplePos x="0" y="0"/>
                      <wp:positionH relativeFrom="character">
                        <wp:align>left</wp:align>
                      </wp:positionH>
                      <wp:positionV relativeFrom="line">
                        <wp:posOffset>635</wp:posOffset>
                      </wp:positionV>
                      <wp:extent cx="1057910" cy="175260"/>
                      <wp:effectExtent l="0" t="0" r="0" b="0"/>
                      <wp:wrapNone/>
                      <wp:docPr id="1022" name="Frame1022"/>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4">
                      <wp:simplePos x="0" y="0"/>
                      <wp:positionH relativeFrom="character">
                        <wp:align>left</wp:align>
                      </wp:positionH>
                      <wp:positionV relativeFrom="line">
                        <wp:posOffset>635</wp:posOffset>
                      </wp:positionV>
                      <wp:extent cx="207010" cy="175260"/>
                      <wp:effectExtent l="0" t="0" r="0" b="0"/>
                      <wp:wrapNone/>
                      <wp:docPr id="1023" name="Frame10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5">
                      <wp:simplePos x="0" y="0"/>
                      <wp:positionH relativeFrom="character">
                        <wp:align>left</wp:align>
                      </wp:positionH>
                      <wp:positionV relativeFrom="line">
                        <wp:posOffset>635</wp:posOffset>
                      </wp:positionV>
                      <wp:extent cx="124460" cy="175260"/>
                      <wp:effectExtent l="0" t="0" r="0" b="0"/>
                      <wp:wrapNone/>
                      <wp:docPr id="1024" name="Frame10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6">
                      <wp:simplePos x="0" y="0"/>
                      <wp:positionH relativeFrom="character">
                        <wp:align>left</wp:align>
                      </wp:positionH>
                      <wp:positionV relativeFrom="line">
                        <wp:posOffset>635</wp:posOffset>
                      </wp:positionV>
                      <wp:extent cx="505460" cy="175260"/>
                      <wp:effectExtent l="0" t="0" r="0" b="0"/>
                      <wp:wrapNone/>
                      <wp:docPr id="1025" name="Frame102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Maturing in:</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 months or less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54,618</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 months to 6 months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79,005</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6 months to 1 year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14,031</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 year or greater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3,128</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150,782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total uninsured deposits, which are amounts of deposit accounts that exceed the FDIC insurance limit, currently $250,000, were approximately $1.2 billion at March 31, 2024 These amounts were estimated based on the same methodologies used for regulatory reporting purposes.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Borrowings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Borrowings as of March 31, 2024 and December 31, 2023 were as follows:</w:t>
      </w:r>
    </w:p>
    <w:tbl>
      <w:tblPr>
        <w:tblW w:w="7047" w:type="dxa"/>
        <w:jc w:val="left"/>
        <w:tblInd w:w="0" w:type="dxa"/>
        <w:tblLayout w:type="fixed"/>
        <w:tblCellMar>
          <w:top w:w="0" w:type="dxa"/>
          <w:left w:w="0" w:type="dxa"/>
          <w:bottom w:w="0" w:type="dxa"/>
          <w:right w:w="0" w:type="dxa"/>
        </w:tblCellMar>
      </w:tblPr>
      <w:tblGrid>
        <w:gridCol w:w="2431"/>
        <w:gridCol w:w="326"/>
        <w:gridCol w:w="196"/>
        <w:gridCol w:w="691"/>
        <w:gridCol w:w="326"/>
        <w:gridCol w:w="570"/>
        <w:gridCol w:w="285"/>
        <w:gridCol w:w="109"/>
        <w:gridCol w:w="196"/>
        <w:gridCol w:w="691"/>
        <w:gridCol w:w="326"/>
        <w:gridCol w:w="567"/>
        <w:gridCol w:w="333"/>
      </w:tblGrid>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7">
                      <wp:simplePos x="0" y="0"/>
                      <wp:positionH relativeFrom="character">
                        <wp:align>left</wp:align>
                      </wp:positionH>
                      <wp:positionV relativeFrom="line">
                        <wp:posOffset>635</wp:posOffset>
                      </wp:positionV>
                      <wp:extent cx="207010" cy="175260"/>
                      <wp:effectExtent l="0" t="0" r="0" b="0"/>
                      <wp:wrapNone/>
                      <wp:docPr id="1026" name="Frame10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8">
                      <wp:simplePos x="0" y="0"/>
                      <wp:positionH relativeFrom="character">
                        <wp:align>left</wp:align>
                      </wp:positionH>
                      <wp:positionV relativeFrom="line">
                        <wp:posOffset>635</wp:posOffset>
                      </wp:positionV>
                      <wp:extent cx="124460" cy="175260"/>
                      <wp:effectExtent l="0" t="0" r="0" b="0"/>
                      <wp:wrapNone/>
                      <wp:docPr id="1027" name="Frame10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9">
                      <wp:simplePos x="0" y="0"/>
                      <wp:positionH relativeFrom="character">
                        <wp:align>left</wp:align>
                      </wp:positionH>
                      <wp:positionV relativeFrom="line">
                        <wp:posOffset>635</wp:posOffset>
                      </wp:positionV>
                      <wp:extent cx="438785" cy="175260"/>
                      <wp:effectExtent l="0" t="0" r="0" b="0"/>
                      <wp:wrapNone/>
                      <wp:docPr id="1028" name="Frame10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0">
                      <wp:simplePos x="0" y="0"/>
                      <wp:positionH relativeFrom="character">
                        <wp:align>left</wp:align>
                      </wp:positionH>
                      <wp:positionV relativeFrom="line">
                        <wp:posOffset>635</wp:posOffset>
                      </wp:positionV>
                      <wp:extent cx="207010" cy="175260"/>
                      <wp:effectExtent l="0" t="0" r="0" b="0"/>
                      <wp:wrapNone/>
                      <wp:docPr id="1029" name="Frame10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1">
                      <wp:simplePos x="0" y="0"/>
                      <wp:positionH relativeFrom="character">
                        <wp:align>left</wp:align>
                      </wp:positionH>
                      <wp:positionV relativeFrom="line">
                        <wp:posOffset>635</wp:posOffset>
                      </wp:positionV>
                      <wp:extent cx="361950" cy="175260"/>
                      <wp:effectExtent l="0" t="0" r="0" b="0"/>
                      <wp:wrapNone/>
                      <wp:docPr id="1030" name="Frame1030"/>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2">
                      <wp:simplePos x="0" y="0"/>
                      <wp:positionH relativeFrom="character">
                        <wp:align>left</wp:align>
                      </wp:positionH>
                      <wp:positionV relativeFrom="line">
                        <wp:posOffset>635</wp:posOffset>
                      </wp:positionV>
                      <wp:extent cx="180975" cy="175260"/>
                      <wp:effectExtent l="0" t="0" r="0" b="0"/>
                      <wp:wrapNone/>
                      <wp:docPr id="1031" name="Frame1031"/>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3">
                      <wp:simplePos x="0" y="0"/>
                      <wp:positionH relativeFrom="character">
                        <wp:align>left</wp:align>
                      </wp:positionH>
                      <wp:positionV relativeFrom="line">
                        <wp:posOffset>635</wp:posOffset>
                      </wp:positionV>
                      <wp:extent cx="69215" cy="175260"/>
                      <wp:effectExtent l="0" t="0" r="0" b="0"/>
                      <wp:wrapNone/>
                      <wp:docPr id="1032" name="Frame10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4">
                      <wp:simplePos x="0" y="0"/>
                      <wp:positionH relativeFrom="character">
                        <wp:align>left</wp:align>
                      </wp:positionH>
                      <wp:positionV relativeFrom="line">
                        <wp:posOffset>635</wp:posOffset>
                      </wp:positionV>
                      <wp:extent cx="124460" cy="175260"/>
                      <wp:effectExtent l="0" t="0" r="0" b="0"/>
                      <wp:wrapNone/>
                      <wp:docPr id="1033" name="Frame10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5">
                      <wp:simplePos x="0" y="0"/>
                      <wp:positionH relativeFrom="character">
                        <wp:align>left</wp:align>
                      </wp:positionH>
                      <wp:positionV relativeFrom="line">
                        <wp:posOffset>635</wp:posOffset>
                      </wp:positionV>
                      <wp:extent cx="438785" cy="175260"/>
                      <wp:effectExtent l="0" t="0" r="0" b="0"/>
                      <wp:wrapNone/>
                      <wp:docPr id="1034" name="Frame10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6">
                      <wp:simplePos x="0" y="0"/>
                      <wp:positionH relativeFrom="character">
                        <wp:align>left</wp:align>
                      </wp:positionH>
                      <wp:positionV relativeFrom="line">
                        <wp:posOffset>635</wp:posOffset>
                      </wp:positionV>
                      <wp:extent cx="207010" cy="175260"/>
                      <wp:effectExtent l="0" t="0" r="0" b="0"/>
                      <wp:wrapNone/>
                      <wp:docPr id="1035" name="Frame10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7">
                      <wp:simplePos x="0" y="0"/>
                      <wp:positionH relativeFrom="character">
                        <wp:align>left</wp:align>
                      </wp:positionH>
                      <wp:positionV relativeFrom="line">
                        <wp:posOffset>635</wp:posOffset>
                      </wp:positionV>
                      <wp:extent cx="360045" cy="175260"/>
                      <wp:effectExtent l="0" t="0" r="0" b="0"/>
                      <wp:wrapNone/>
                      <wp:docPr id="1036" name="Frame1036"/>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8">
                      <wp:simplePos x="0" y="0"/>
                      <wp:positionH relativeFrom="character">
                        <wp:align>left</wp:align>
                      </wp:positionH>
                      <wp:positionV relativeFrom="line">
                        <wp:posOffset>635</wp:posOffset>
                      </wp:positionV>
                      <wp:extent cx="211455" cy="175260"/>
                      <wp:effectExtent l="0" t="0" r="0" b="0"/>
                      <wp:wrapNone/>
                      <wp:docPr id="1037" name="Frame1037"/>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09" w:type="dxa"/>
            <w:tcBorders/>
            <w:vAlign w:val="center"/>
          </w:tcPr>
          <w:p>
            <w:pPr>
              <w:pStyle w:val="TableContents"/>
              <w:bidi w:val="0"/>
              <w:spacing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Portfolio</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Portfolio</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Fed funds purchased</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70" w:type="dxa"/>
            <w:tcBorders/>
            <w:shd w:fill="CCEEFF" w:val="clear"/>
            <w:vAlign w:val="center"/>
          </w:tcPr>
          <w:p>
            <w:pPr>
              <w:pStyle w:val="TableContents"/>
              <w:bidi w:val="0"/>
              <w:spacing w:before="0" w:after="0"/>
              <w:ind w:left="0" w:right="0" w:hanging="0"/>
              <w:jc w:val="righ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114,170</w:t>
            </w:r>
          </w:p>
        </w:tc>
        <w:tc>
          <w:tcPr>
            <w:tcW w:w="326"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43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Bank Term Funding Program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355,000</w:t>
            </w:r>
          </w:p>
        </w:tc>
        <w:tc>
          <w:tcPr>
            <w:tcW w:w="326"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w:t>
            </w:r>
          </w:p>
        </w:tc>
        <w:tc>
          <w:tcPr>
            <w:tcW w:w="2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FHLB Short-term advances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w:t>
            </w:r>
          </w:p>
        </w:tc>
        <w:tc>
          <w:tcPr>
            <w:tcW w:w="326"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w:t>
            </w:r>
          </w:p>
        </w:tc>
        <w:tc>
          <w:tcPr>
            <w:tcW w:w="28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w:t>
            </w:r>
          </w:p>
        </w:tc>
        <w:tc>
          <w:tcPr>
            <w:tcW w:w="326"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w:t>
            </w:r>
          </w:p>
        </w:tc>
        <w:tc>
          <w:tcPr>
            <w:tcW w:w="333" w:type="dxa"/>
            <w:tcBorders/>
            <w:shd w:fill="CCEEFF" w:val="clear"/>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Subordinated notes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326"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c>
          <w:tcPr>
            <w:tcW w:w="2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326"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333" w:type="dxa"/>
            <w:tcBorders/>
            <w:vAlign w:val="center"/>
          </w:tcPr>
          <w:p>
            <w:pPr>
              <w:pStyle w:val="TableContents"/>
              <w:bidi w:val="0"/>
              <w:spacing w:before="0" w:after="0"/>
              <w:ind w:left="0" w:right="0" w:hanging="0"/>
              <w:jc w:val="left"/>
              <w:rPr/>
            </w:pPr>
            <w:r>
              <w:rPr/>
              <w:t>​</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Junior subordinated debentures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8,985</w:t>
            </w:r>
          </w:p>
        </w:tc>
        <w:tc>
          <w:tcPr>
            <w:tcW w:w="326" w:type="dxa"/>
            <w:tcBorders/>
            <w:shd w:fill="CCEEFF" w:val="clear"/>
            <w:vAlign w:val="center"/>
          </w:tcPr>
          <w:p>
            <w:pPr>
              <w:pStyle w:val="TableContents"/>
              <w:bidi w:val="0"/>
              <w:spacing w:before="0" w:after="0"/>
              <w:ind w:left="0" w:right="0" w:hanging="0"/>
              <w:jc w:val="left"/>
              <w:rPr/>
            </w:pPr>
            <w:r>
              <w:rPr/>
              <w:t>​</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28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8,956</w:t>
            </w:r>
          </w:p>
        </w:tc>
        <w:tc>
          <w:tcPr>
            <w:tcW w:w="326" w:type="dxa"/>
            <w:tcBorders/>
            <w:shd w:fill="CCEEFF" w:val="clear"/>
            <w:vAlign w:val="center"/>
          </w:tcPr>
          <w:p>
            <w:pPr>
              <w:pStyle w:val="TableContents"/>
              <w:bidi w:val="0"/>
              <w:spacing w:before="0" w:after="0"/>
              <w:ind w:left="0" w:right="0" w:hanging="0"/>
              <w:jc w:val="left"/>
              <w:rPr/>
            </w:pPr>
            <w:r>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33" w:type="dxa"/>
            <w:tcBorders/>
            <w:shd w:fill="CCEEFF" w:val="clear"/>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borrowed funds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613,985</w:t>
            </w:r>
          </w:p>
        </w:tc>
        <w:tc>
          <w:tcPr>
            <w:tcW w:w="326" w:type="dxa"/>
            <w:tcBorders/>
            <w:vAlign w:val="center"/>
          </w:tcPr>
          <w:p>
            <w:pPr>
              <w:pStyle w:val="TableContents"/>
              <w:bidi w:val="0"/>
              <w:spacing w:before="0" w:after="0"/>
              <w:ind w:left="0" w:right="0" w:hanging="0"/>
              <w:jc w:val="left"/>
              <w:rPr/>
            </w:pPr>
            <w:r>
              <w:rPr/>
              <w:t>​</w:t>
            </w:r>
          </w:p>
        </w:tc>
        <w:tc>
          <w:tcPr>
            <w:tcW w:w="5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8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373,126</w:t>
            </w:r>
          </w:p>
        </w:tc>
        <w:tc>
          <w:tcPr>
            <w:tcW w:w="326" w:type="dxa"/>
            <w:tcBorders/>
            <w:vAlign w:val="center"/>
          </w:tcPr>
          <w:p>
            <w:pPr>
              <w:pStyle w:val="TableContents"/>
              <w:bidi w:val="0"/>
              <w:spacing w:before="0" w:after="0"/>
              <w:ind w:left="0" w:right="0" w:hanging="0"/>
              <w:jc w:val="left"/>
              <w:rPr/>
            </w:pPr>
            <w:r>
              <w:rPr/>
              <w:t>​</w:t>
            </w:r>
          </w:p>
        </w:tc>
        <w:tc>
          <w:tcPr>
            <w:tcW w:w="5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 the first quarter of 2024, the Company borrowed $355.0 million from BTFP for a period of up to one year at a fixed rate of 4.88%. Under the program, the Company may prepay this borrowing at any time without penalty and the borrowing is secured by the Company’s pledged collateral of investment securities.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Stockholders' equity is influenced primarily by earnings, dividends, the Company's sales and repurchases of its common stock and changes in accumulated other comprehensive income caused primarily by fluctuations in unrealized gains or losses, net of taxes, on available-for-sale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Stockholders' equity increased $2.5 million, or 0.7%, to $371.6 million as of March 31, 2024, compared to $369.1 million as of December 31, 2023. Tangible common equity to tangible assets, a non-GAAP financial measure, decreased to 7.23% as of March 31, 2024, from 7.94% as of December 31, 2023. Common equity tier 1 capital to risk weighted assets increased to 11.86% as of March 31, 2024, from 11.82% as of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strives to maintain an adequate capital base to support the Company’s activities in a safe and sound manner while at the same time attempting to maximize stockholder value. Capital adequacy is assessed against the risk inherent in the Company’s balance sheet, recognizing that unexpected loss is the common denominator of risk, and that common equity has the greatest capacity to absorb unexpected loss.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is subject to various regulatory capital requirements both at the Company and at the Bank level. Failure to meet minimum capital requirements could result in certain mandatory and possible additional discretionary actions by regulators that, if undertaken, could have an adverse material effect on the Company’s financial statements. Under capital adequacy guidelines and the regulatory framework for prompt corrective action, specific capital guidelines must be met that involve quantitative measures of assets, liabilities, and certain off-balance sheet items as calculated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regulatory accounting policies. The Company has consistently maintained regulatory capital ratios at or above the well-capitalized standards.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March 31, 2024 and December 31, 2023, the Company met all the capital adequacy requirements to which the Company was subject. The table below presents the Company’s and the Bank’s regulatory capital ratios as of March 31, 2024 and December 31, 2023: </w:t>
      </w:r>
    </w:p>
    <w:tbl>
      <w:tblPr>
        <w:tblW w:w="6331" w:type="dxa"/>
        <w:jc w:val="left"/>
        <w:tblInd w:w="0" w:type="dxa"/>
        <w:tblLayout w:type="fixed"/>
        <w:tblCellMar>
          <w:top w:w="0" w:type="dxa"/>
          <w:left w:w="0" w:type="dxa"/>
          <w:bottom w:w="0" w:type="dxa"/>
          <w:right w:w="0" w:type="dxa"/>
        </w:tblCellMar>
      </w:tblPr>
      <w:tblGrid>
        <w:gridCol w:w="3811"/>
        <w:gridCol w:w="326"/>
        <w:gridCol w:w="599"/>
        <w:gridCol w:w="301"/>
        <w:gridCol w:w="109"/>
        <w:gridCol w:w="745"/>
        <w:gridCol w:w="440"/>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9">
                      <wp:simplePos x="0" y="0"/>
                      <wp:positionH relativeFrom="character">
                        <wp:align>left</wp:align>
                      </wp:positionH>
                      <wp:positionV relativeFrom="line">
                        <wp:posOffset>635</wp:posOffset>
                      </wp:positionV>
                      <wp:extent cx="2419985" cy="175260"/>
                      <wp:effectExtent l="0" t="0" r="0" b="0"/>
                      <wp:wrapNone/>
                      <wp:docPr id="1038" name="Frame1038"/>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0">
                      <wp:simplePos x="0" y="0"/>
                      <wp:positionH relativeFrom="character">
                        <wp:align>left</wp:align>
                      </wp:positionH>
                      <wp:positionV relativeFrom="line">
                        <wp:posOffset>635</wp:posOffset>
                      </wp:positionV>
                      <wp:extent cx="207010" cy="175260"/>
                      <wp:effectExtent l="0" t="0" r="0" b="0"/>
                      <wp:wrapNone/>
                      <wp:docPr id="1039" name="Frame10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1">
                      <wp:simplePos x="0" y="0"/>
                      <wp:positionH relativeFrom="character">
                        <wp:align>left</wp:align>
                      </wp:positionH>
                      <wp:positionV relativeFrom="line">
                        <wp:posOffset>635</wp:posOffset>
                      </wp:positionV>
                      <wp:extent cx="380365" cy="175260"/>
                      <wp:effectExtent l="0" t="0" r="0" b="0"/>
                      <wp:wrapNone/>
                      <wp:docPr id="1040" name="Frame1040"/>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2">
                      <wp:simplePos x="0" y="0"/>
                      <wp:positionH relativeFrom="character">
                        <wp:align>left</wp:align>
                      </wp:positionH>
                      <wp:positionV relativeFrom="line">
                        <wp:posOffset>635</wp:posOffset>
                      </wp:positionV>
                      <wp:extent cx="191135" cy="175260"/>
                      <wp:effectExtent l="0" t="0" r="0" b="0"/>
                      <wp:wrapNone/>
                      <wp:docPr id="1041" name="Frame1041"/>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3">
                      <wp:simplePos x="0" y="0"/>
                      <wp:positionH relativeFrom="character">
                        <wp:align>left</wp:align>
                      </wp:positionH>
                      <wp:positionV relativeFrom="line">
                        <wp:posOffset>635</wp:posOffset>
                      </wp:positionV>
                      <wp:extent cx="69215" cy="175260"/>
                      <wp:effectExtent l="0" t="0" r="0" b="0"/>
                      <wp:wrapNone/>
                      <wp:docPr id="1042" name="Frame10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4">
                      <wp:simplePos x="0" y="0"/>
                      <wp:positionH relativeFrom="character">
                        <wp:align>left</wp:align>
                      </wp:positionH>
                      <wp:positionV relativeFrom="line">
                        <wp:posOffset>635</wp:posOffset>
                      </wp:positionV>
                      <wp:extent cx="473075" cy="175260"/>
                      <wp:effectExtent l="0" t="0" r="0" b="0"/>
                      <wp:wrapNone/>
                      <wp:docPr id="1043" name="Frame1043"/>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5">
                      <wp:simplePos x="0" y="0"/>
                      <wp:positionH relativeFrom="character">
                        <wp:align>left</wp:align>
                      </wp:positionH>
                      <wp:positionV relativeFrom="line">
                        <wp:posOffset>635</wp:posOffset>
                      </wp:positionV>
                      <wp:extent cx="279400" cy="175260"/>
                      <wp:effectExtent l="0" t="0" r="0" b="0"/>
                      <wp:wrapNone/>
                      <wp:docPr id="1044" name="Frame1044"/>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Capital Ratios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Alerus Financial Corporation Consolidated</w:t>
            </w:r>
          </w:p>
        </w:tc>
        <w:tc>
          <w:tcPr>
            <w:tcW w:w="326"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pPr>
            <w:r>
              <w:rPr/>
              <w:t>  </w:t>
            </w:r>
          </w:p>
        </w:tc>
        <w:tc>
          <w:tcPr>
            <w:tcW w:w="30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pPr>
            <w:r>
              <w:rPr/>
              <w:t>  </w:t>
            </w:r>
          </w:p>
        </w:tc>
        <w:tc>
          <w:tcPr>
            <w:tcW w:w="440" w:type="dxa"/>
            <w:tcBorders/>
            <w:shd w:fill="CCEEFF" w:val="clear"/>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equity tier 1 capital to risk weighted assets</w:t>
            </w:r>
          </w:p>
        </w:tc>
        <w:tc>
          <w:tcPr>
            <w:tcW w:w="326"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11.82</w:t>
            </w:r>
          </w:p>
        </w:tc>
        <w:tc>
          <w:tcPr>
            <w:tcW w:w="4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Tier 1 capital to risk weighted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12.10</w:t>
            </w:r>
          </w:p>
        </w:tc>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capital to risk weighted assets</w:t>
            </w:r>
          </w:p>
        </w:tc>
        <w:tc>
          <w:tcPr>
            <w:tcW w:w="326"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14.76</w:t>
            </w:r>
          </w:p>
        </w:tc>
        <w:tc>
          <w:tcPr>
            <w:tcW w:w="4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Tier 1 capital to average assets</w:t>
            </w:r>
          </w:p>
        </w:tc>
        <w:tc>
          <w:tcPr>
            <w:tcW w:w="326" w:type="dxa"/>
            <w:tcBorders/>
            <w:shd w:fill="CCEEFF" w:val="clear"/>
            <w:vAlign w:val="center"/>
          </w:tcPr>
          <w:p>
            <w:pPr>
              <w:pStyle w:val="TableContents"/>
              <w:bidi w:val="0"/>
              <w:spacing w:before="0" w:after="0"/>
              <w:ind w:left="0" w:right="0" w:hanging="0"/>
              <w:jc w:val="left"/>
              <w:rPr/>
            </w:pPr>
            <w:r>
              <w:rPr/>
              <w:t>​</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9.89</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10.57</w:t>
            </w:r>
          </w:p>
        </w:tc>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1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Tangible common equity to tangible assets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7.23</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7.94</w:t>
            </w:r>
          </w:p>
        </w:tc>
        <w:tc>
          <w:tcPr>
            <w:tcW w:w="4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99"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Alerus Financial, National Association</w:t>
            </w:r>
          </w:p>
        </w:tc>
        <w:tc>
          <w:tcPr>
            <w:tcW w:w="326"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left"/>
              <w:rPr/>
            </w:pPr>
            <w:r>
              <w:rPr/>
              <w:t> </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equity tier 1 capital to risk weighted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11.40</w:t>
            </w:r>
          </w:p>
        </w:tc>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Tier 1 capital to risk weighted assets</w:t>
            </w:r>
          </w:p>
        </w:tc>
        <w:tc>
          <w:tcPr>
            <w:tcW w:w="326"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11.71</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11.40</w:t>
            </w:r>
          </w:p>
        </w:tc>
        <w:tc>
          <w:tcPr>
            <w:tcW w:w="4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capital to risk weighted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12.51</w:t>
            </w:r>
          </w:p>
        </w:tc>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Tier 1 capital to average assets</w:t>
            </w:r>
          </w:p>
        </w:tc>
        <w:tc>
          <w:tcPr>
            <w:tcW w:w="326"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9.92</w:t>
            </w:r>
          </w:p>
        </w:tc>
        <w:tc>
          <w:tcPr>
            <w:tcW w:w="4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ind w:left="0" w:right="0" w:hanging="0"/>
        <w:jc w:val="left"/>
        <w:rPr>
          <w:rFonts w:ascii="Times New Roman;Times;serif" w:hAnsi="Times New Roman;Times;serif"/>
          <w:sz w:val="16"/>
        </w:rPr>
      </w:pPr>
      <w:r>
        <w:rPr>
          <w:rFonts w:ascii="Times New Roman;Times;serif" w:hAnsi="Times New Roman;Times;serif"/>
          <w:sz w:val="16"/>
        </w:rPr>
        <w:t>(1)Represents a non-GAAP financial measure. See “Non-GAAP to GAAP Reconciliations and Calculation of Non-GAAP Financial Measures.”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capital ratios for the Company and the Bank, as of March 31, 2024, as shown in the above table, were at levels above the regulatory minimums to be considered “well capitalized.” See “NOTE 18 Regulatory Matters” of the consolidated financial statements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a party to financial instruments with off-balance sheet risk in the normal course of business to meet the financing needs of the Company’s customers. These financial instruments consist primarily of commitments to extend credit and standby letters of credit. Commitments to extend credit are agreements to lend to customers, generally having fixed expiration dates or other termination clauses that may require payment of a fee. These commitments consist principally of unused commercial and consumer credit lines. Standby letters of credit generally are contingent upon the failure of the customer to perform according to the terms of an underlying contract with a third party. The credit risks associated with commitments to extend credit and standby letters of credit are essentially the same as that involved with extending loans to customers and are subject to normal credit policies. Collateral may be required based on management’s assessment of the customer’s creditworthiness. The fair value of these commitments is considered immaterial for disclosure purposes.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summary of the contractual amounts of the Company’s exposure to off-balance sheet agreements as of March 31, 2024 and December 31, 2023, was as follows:</w:t>
      </w:r>
    </w:p>
    <w:tbl>
      <w:tblPr>
        <w:tblW w:w="4973" w:type="dxa"/>
        <w:jc w:val="left"/>
        <w:tblInd w:w="0" w:type="dxa"/>
        <w:tblLayout w:type="fixed"/>
        <w:tblCellMar>
          <w:top w:w="0" w:type="dxa"/>
          <w:left w:w="0" w:type="dxa"/>
          <w:bottom w:w="0" w:type="dxa"/>
          <w:right w:w="0" w:type="dxa"/>
        </w:tblCellMar>
      </w:tblPr>
      <w:tblGrid>
        <w:gridCol w:w="2236"/>
        <w:gridCol w:w="326"/>
        <w:gridCol w:w="199"/>
        <w:gridCol w:w="701"/>
        <w:gridCol w:w="326"/>
        <w:gridCol w:w="233"/>
        <w:gridCol w:w="952"/>
      </w:tblGrid>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6">
                      <wp:simplePos x="0" y="0"/>
                      <wp:positionH relativeFrom="character">
                        <wp:align>left</wp:align>
                      </wp:positionH>
                      <wp:positionV relativeFrom="line">
                        <wp:posOffset>635</wp:posOffset>
                      </wp:positionV>
                      <wp:extent cx="207010" cy="175260"/>
                      <wp:effectExtent l="0" t="0" r="0" b="0"/>
                      <wp:wrapNone/>
                      <wp:docPr id="1045" name="Frame10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7">
                      <wp:simplePos x="0" y="0"/>
                      <wp:positionH relativeFrom="character">
                        <wp:align>left</wp:align>
                      </wp:positionH>
                      <wp:positionV relativeFrom="line">
                        <wp:posOffset>635</wp:posOffset>
                      </wp:positionV>
                      <wp:extent cx="126365" cy="175260"/>
                      <wp:effectExtent l="0" t="0" r="0" b="0"/>
                      <wp:wrapNone/>
                      <wp:docPr id="1046" name="Frame1046"/>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8">
                      <wp:simplePos x="0" y="0"/>
                      <wp:positionH relativeFrom="character">
                        <wp:align>left</wp:align>
                      </wp:positionH>
                      <wp:positionV relativeFrom="line">
                        <wp:posOffset>635</wp:posOffset>
                      </wp:positionV>
                      <wp:extent cx="445135" cy="175260"/>
                      <wp:effectExtent l="0" t="0" r="0" b="0"/>
                      <wp:wrapNone/>
                      <wp:docPr id="1047" name="Frame1047"/>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9">
                      <wp:simplePos x="0" y="0"/>
                      <wp:positionH relativeFrom="character">
                        <wp:align>left</wp:align>
                      </wp:positionH>
                      <wp:positionV relativeFrom="line">
                        <wp:posOffset>635</wp:posOffset>
                      </wp:positionV>
                      <wp:extent cx="207010" cy="175260"/>
                      <wp:effectExtent l="0" t="0" r="0" b="0"/>
                      <wp:wrapNone/>
                      <wp:docPr id="1048" name="Frame10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0">
                      <wp:simplePos x="0" y="0"/>
                      <wp:positionH relativeFrom="character">
                        <wp:align>left</wp:align>
                      </wp:positionH>
                      <wp:positionV relativeFrom="line">
                        <wp:posOffset>635</wp:posOffset>
                      </wp:positionV>
                      <wp:extent cx="147955" cy="175260"/>
                      <wp:effectExtent l="0" t="0" r="0" b="0"/>
                      <wp:wrapNone/>
                      <wp:docPr id="1049" name="Frame104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1">
                      <wp:simplePos x="0" y="0"/>
                      <wp:positionH relativeFrom="character">
                        <wp:align>left</wp:align>
                      </wp:positionH>
                      <wp:positionV relativeFrom="line">
                        <wp:posOffset>635</wp:posOffset>
                      </wp:positionV>
                      <wp:extent cx="604520" cy="175260"/>
                      <wp:effectExtent l="0" t="0" r="0" b="0"/>
                      <wp:wrapNone/>
                      <wp:docPr id="1050" name="Frame1050"/>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to extend credit</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916,200</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942,413</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Standby letters of credit</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12,755</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10,045</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928,955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952,458</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Liquidity management is the process by which the Company manages the flow of funds necessary to meet the Company’s financial commitments on a timely basis and at a reasonable cost and to take advantage of earnings enhancement opportunities. These financial commitments include withdrawals by depositors, credit commitments to borrowers, expenses of the Company’s operations, and capital expenditures. Liquidity is monitored and closely managed by the Company’s asset and liability committee, or the ALCO, a group of senior officers from the finance, enterprise risk management, deposit, investment, treasury, and lending areas. It is the ALCO’s responsibility to ensure the Company has the necessary level of funds available for normal operations as well as maintain a contingency funding policy to ensure that potential liquidity stress events are planned for, quickly identified, and management has plans in place to respond. The ALCO has created policies which establish limits and require measurements to monitor liquidity trends, including modeling and management reporting that identifies the amounts and costs of all available funding 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2024, the Company had on balance sheet liquidity of $712.3 million, compared to $668.2 million as of December 31, 2023. On balance sheet liquidity includes cash and cash equivalents, federal funds sold, unencumbered securities available-for-sale, and over collateralized securities pledging positions available-for-sale.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Bank is a member of the FHLB, which provides short- and long-term funding to its members through advances collateralized by real estate related assets and other select collateral, most typically in the form of debt securities. Actual borrowing capacity is contingent on the amount of collateral available to be pledged to the FHLB. As of March 31, 2024, the Company had no federal funds purchased and $200.0 million in short-term borrowings from the FHLB. As of March 31, 2024, the Company had $1.6 billion of collateral pledged to the FHLB and based on this collateral, the Company was eligible to borrow up to an additional $898.0 million from the FHLB. In addition, the Company can borrow up to $107.0 million through the unsecured lines of credit the Company has established with four other correspondent banks.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because the Bank is “well capitalized,” the Company can accept wholesale deposits up to 20.0% of total assets based on current policy limits, or $867.6 million, as of March 31, 2024. Management believed that the Company had adequate resources to fund all of the Company’s commitments as of March 31, 2024 and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primary sources of liquidity include liquid assets, as well as unencumbered securities that can be used to collateralize additional funding.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Though remote, the possibility of a funding crisis exists at all financial institutions. The economic impact of the recent rise in inflation and rising interest rates could place increased demand on the Company’s liquidity if the Company experiences significant credit deterioration and as the Company meets borrowers’ needs. Accordingly, management has addressed this issue by formulating a liquidity contingency plan, which has been reviewed and approved by both the Bank’s board of directors and the ALCO. The plan addresses the actions that the Company would take in response to both a short-term and long-term funding crisis.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short-term funding crisis would most likely result from a shock to the financial system, either internal or external, which disrupts orderly short-term funding operations. Such a crisis would likely be temporary in nature and would not involve a change in credit ratings. A long-term funding crisis would most likely be the result of both external and internal factors and would most likely result in drastic credit deterioration. Management believes that both potential circumstances have been fully addressed through detailed action plans and the establishment of trigger points for monitoring such events.</w:t>
      </w:r>
    </w:p>
    <w:p>
      <w:pPr>
        <w:pStyle w:val="TextBody"/>
        <w:bidi w:val="0"/>
        <w:spacing w:before="0" w:after="240"/>
        <w:ind w:left="0" w:right="0" w:hanging="0"/>
        <w:jc w:val="left"/>
        <w:rPr/>
      </w:pPr>
      <w:bookmarkStart w:id="3997" w:name="_14ec9b2e_bb8c_4b58_a1c0_d0f5947f314a"/>
      <w:bookmarkEnd w:id="3997"/>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998" w:name="ITEM3QUANTITATIVEANDQUALITATIVEDISCLOSUR"/>
      <w:bookmarkEnd w:id="3998"/>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 risk is the risk of loss arising from adverse changes in the fair value of financial instruments due to changes in interest rates. Interest rate risk is the risk to earnings and equity value arising from changes in market interest rates and arises in the normal course of business to the extent that there is a divergence between the amount of interest-earning assets and the amount of interest-bearing liabilities that are prepaid/withdrawn, re-price, or mature in specified periods. The Company seeks to achieve consistent growth in net interest income and equity while managing volatility arising from shifts in market interest rates. The ALCO oversees market risk management, monitoring risk measures, limits, and policy guidelines for managing the amount of interest rate risk and its effect on net interest income and capital. The Bank’s board of directors approves policy limits with respect to interest rate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Interest rate risk management is an active process that encompasses monitoring loan and deposit flows complemented by investment and funding activities. Effective interest rate risk management begins with understanding the dynamic characteristics of assets and liabilities and determining the appropriate interest rate risk position given business activities, management objectives, market expectations and ALCO policy limits and guidelines.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Interest rate risk can come in a variety of forms, including repricing risk, basis risk, yield curve risk and option risk. Repricing risk is the risk of adverse consequences from a change in interest rates that arises because of differences in the timing of when those interest rate changes impact the Company’s assets and liabilities. Basis risk is the risk of adverse consequence resulting from unequal change in the spread between two or more rates for different instruments with the same maturity. Yield curve risk is the risk of adverse consequences resulting from unequal changes in the spread between two or more rates for different maturities for the same or different instruments. Option risk in financial instruments arises from embedded options such as options provided to borrowers to make unscheduled loan prepayments, options provided to debt issuers to exercise call options prior to maturity, and depositor options to make withdrawals and early redemptions.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regularly reviews the Company’s exposure to changes in interest rates. Among the factors considered are changes in the mix of interest-earning assets and interest-bearing liabilities, interest rate spreads and repricing periods. The ALCO reviews, on at least a quarterly basis, the interest rate risk position.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interest-rate risk position is measured and monitored at the Bank using net interest income simulation models and economic value of equity sensitivity analysis that capture both short-term and long-term interest-rate risk exposure.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Modeling the sensitivity of net interest income and the economic value of equity to changes in market interest rates is highly dependent on numerous assumptions incorporated into the modeling process. The models used for these measurements rely on estimates of the potential impact that changes in interest rates may have on the value and prepayment speeds on all components of the Company’s loan portfolio, investment portfolio, as well as embedded options and cash flows of other assets and liabilities. The balance sheet composition and size are assumed to remain static in the simulation modeling process. The analysis provides a framework as to what the Company’s overall sensitivity position is as of the Company’s most recent reported position and the impact that potential changes in interest rates may have on net interest income and the economic value of the Company’s equity.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interest income simulation involves forecasting net interest income under a variety of interest rate scenarios including instantaneous shocks.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estimated impact on the Company’s net interest income as of March 31, 2024 and December 31, 2023, assuming immediate parallel moves in interest rates, is presented in the table below:</w:t>
      </w:r>
    </w:p>
    <w:tbl>
      <w:tblPr>
        <w:tblW w:w="5579" w:type="dxa"/>
        <w:jc w:val="left"/>
        <w:tblInd w:w="0" w:type="dxa"/>
        <w:tblLayout w:type="fixed"/>
        <w:tblCellMar>
          <w:top w:w="0" w:type="dxa"/>
          <w:left w:w="0" w:type="dxa"/>
          <w:bottom w:w="0" w:type="dxa"/>
          <w:right w:w="0" w:type="dxa"/>
        </w:tblCellMar>
      </w:tblPr>
      <w:tblGrid>
        <w:gridCol w:w="1411"/>
        <w:gridCol w:w="326"/>
        <w:gridCol w:w="469"/>
        <w:gridCol w:w="387"/>
        <w:gridCol w:w="109"/>
        <w:gridCol w:w="556"/>
        <w:gridCol w:w="346"/>
        <w:gridCol w:w="109"/>
        <w:gridCol w:w="487"/>
        <w:gridCol w:w="369"/>
        <w:gridCol w:w="109"/>
        <w:gridCol w:w="471"/>
        <w:gridCol w:w="430"/>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2">
                      <wp:simplePos x="0" y="0"/>
                      <wp:positionH relativeFrom="character">
                        <wp:align>left</wp:align>
                      </wp:positionH>
                      <wp:positionV relativeFrom="line">
                        <wp:posOffset>635</wp:posOffset>
                      </wp:positionV>
                      <wp:extent cx="895985" cy="175260"/>
                      <wp:effectExtent l="0" t="0" r="0" b="0"/>
                      <wp:wrapNone/>
                      <wp:docPr id="1051" name="Frame1051"/>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3">
                      <wp:simplePos x="0" y="0"/>
                      <wp:positionH relativeFrom="character">
                        <wp:align>left</wp:align>
                      </wp:positionH>
                      <wp:positionV relativeFrom="line">
                        <wp:posOffset>635</wp:posOffset>
                      </wp:positionV>
                      <wp:extent cx="207010" cy="175260"/>
                      <wp:effectExtent l="0" t="0" r="0" b="0"/>
                      <wp:wrapNone/>
                      <wp:docPr id="1052" name="Frame10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4">
                      <wp:simplePos x="0" y="0"/>
                      <wp:positionH relativeFrom="character">
                        <wp:align>left</wp:align>
                      </wp:positionH>
                      <wp:positionV relativeFrom="line">
                        <wp:posOffset>635</wp:posOffset>
                      </wp:positionV>
                      <wp:extent cx="297815" cy="175260"/>
                      <wp:effectExtent l="0" t="0" r="0" b="0"/>
                      <wp:wrapNone/>
                      <wp:docPr id="1053" name="Frame1053"/>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5">
                      <wp:simplePos x="0" y="0"/>
                      <wp:positionH relativeFrom="character">
                        <wp:align>left</wp:align>
                      </wp:positionH>
                      <wp:positionV relativeFrom="line">
                        <wp:posOffset>635</wp:posOffset>
                      </wp:positionV>
                      <wp:extent cx="245745" cy="175260"/>
                      <wp:effectExtent l="0" t="0" r="0" b="0"/>
                      <wp:wrapNone/>
                      <wp:docPr id="1054" name="Frame1054"/>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6">
                      <wp:simplePos x="0" y="0"/>
                      <wp:positionH relativeFrom="character">
                        <wp:align>left</wp:align>
                      </wp:positionH>
                      <wp:positionV relativeFrom="line">
                        <wp:posOffset>635</wp:posOffset>
                      </wp:positionV>
                      <wp:extent cx="69215" cy="175260"/>
                      <wp:effectExtent l="0" t="0" r="0" b="0"/>
                      <wp:wrapNone/>
                      <wp:docPr id="1055" name="Frame10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7">
                      <wp:simplePos x="0" y="0"/>
                      <wp:positionH relativeFrom="character">
                        <wp:align>left</wp:align>
                      </wp:positionH>
                      <wp:positionV relativeFrom="line">
                        <wp:posOffset>635</wp:posOffset>
                      </wp:positionV>
                      <wp:extent cx="353060" cy="175260"/>
                      <wp:effectExtent l="0" t="0" r="0" b="0"/>
                      <wp:wrapNone/>
                      <wp:docPr id="1056" name="Frame1056"/>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8">
                      <wp:simplePos x="0" y="0"/>
                      <wp:positionH relativeFrom="character">
                        <wp:align>left</wp:align>
                      </wp:positionH>
                      <wp:positionV relativeFrom="line">
                        <wp:posOffset>635</wp:posOffset>
                      </wp:positionV>
                      <wp:extent cx="219710" cy="175260"/>
                      <wp:effectExtent l="0" t="0" r="0" b="0"/>
                      <wp:wrapNone/>
                      <wp:docPr id="1057" name="Frame10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9">
                      <wp:simplePos x="0" y="0"/>
                      <wp:positionH relativeFrom="character">
                        <wp:align>left</wp:align>
                      </wp:positionH>
                      <wp:positionV relativeFrom="line">
                        <wp:posOffset>635</wp:posOffset>
                      </wp:positionV>
                      <wp:extent cx="69215" cy="175260"/>
                      <wp:effectExtent l="0" t="0" r="0" b="0"/>
                      <wp:wrapNone/>
                      <wp:docPr id="1058" name="Frame10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0">
                      <wp:simplePos x="0" y="0"/>
                      <wp:positionH relativeFrom="character">
                        <wp:align>left</wp:align>
                      </wp:positionH>
                      <wp:positionV relativeFrom="line">
                        <wp:posOffset>635</wp:posOffset>
                      </wp:positionV>
                      <wp:extent cx="309245" cy="175260"/>
                      <wp:effectExtent l="0" t="0" r="0" b="0"/>
                      <wp:wrapNone/>
                      <wp:docPr id="1059" name="Frame1059"/>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1">
                      <wp:simplePos x="0" y="0"/>
                      <wp:positionH relativeFrom="character">
                        <wp:align>left</wp:align>
                      </wp:positionH>
                      <wp:positionV relativeFrom="line">
                        <wp:posOffset>635</wp:posOffset>
                      </wp:positionV>
                      <wp:extent cx="234315" cy="175260"/>
                      <wp:effectExtent l="0" t="0" r="0" b="0"/>
                      <wp:wrapNone/>
                      <wp:docPr id="1060" name="Frame1060"/>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2">
                      <wp:simplePos x="0" y="0"/>
                      <wp:positionH relativeFrom="character">
                        <wp:align>left</wp:align>
                      </wp:positionH>
                      <wp:positionV relativeFrom="line">
                        <wp:posOffset>635</wp:posOffset>
                      </wp:positionV>
                      <wp:extent cx="69215" cy="175260"/>
                      <wp:effectExtent l="0" t="0" r="0" b="0"/>
                      <wp:wrapNone/>
                      <wp:docPr id="1061" name="Frame10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3">
                      <wp:simplePos x="0" y="0"/>
                      <wp:positionH relativeFrom="character">
                        <wp:align>left</wp:align>
                      </wp:positionH>
                      <wp:positionV relativeFrom="line">
                        <wp:posOffset>635</wp:posOffset>
                      </wp:positionV>
                      <wp:extent cx="299085" cy="175260"/>
                      <wp:effectExtent l="0" t="0" r="0" b="0"/>
                      <wp:wrapNone/>
                      <wp:docPr id="1062" name="Frame1062"/>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4">
                      <wp:simplePos x="0" y="0"/>
                      <wp:positionH relativeFrom="character">
                        <wp:align>left</wp:align>
                      </wp:positionH>
                      <wp:positionV relativeFrom="line">
                        <wp:posOffset>635</wp:posOffset>
                      </wp:positionV>
                      <wp:extent cx="273050" cy="175260"/>
                      <wp:effectExtent l="0" t="0" r="0" b="0"/>
                      <wp:wrapNone/>
                      <wp:docPr id="1063" name="Frame1063"/>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09" w:type="dxa"/>
            <w:tcBorders/>
            <w:vAlign w:val="center"/>
          </w:tcPr>
          <w:p>
            <w:pPr>
              <w:pStyle w:val="TableContents"/>
              <w:bidi w:val="0"/>
              <w:spacing w:before="0" w:after="1"/>
              <w:ind w:left="0" w:right="0" w:hanging="0"/>
              <w:jc w:val="left"/>
              <w:rPr/>
            </w:pPr>
            <w:r>
              <w:rPr/>
              <w:t>​</w:t>
            </w:r>
          </w:p>
        </w:tc>
        <w:tc>
          <w:tcPr>
            <w:tcW w:w="186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Following</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Following</w:t>
            </w:r>
          </w:p>
        </w:tc>
        <w:tc>
          <w:tcPr>
            <w:tcW w:w="109"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Following</w:t>
            </w:r>
          </w:p>
        </w:tc>
        <w:tc>
          <w:tcPr>
            <w:tcW w:w="109"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Following</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24 months</w:t>
            </w:r>
          </w:p>
        </w:tc>
        <w:tc>
          <w:tcPr>
            <w:tcW w:w="109" w:type="dxa"/>
            <w:tcBorders/>
            <w:vAlign w:val="center"/>
          </w:tcPr>
          <w:p>
            <w:pPr>
              <w:pStyle w:val="TableContents"/>
              <w:bidi w:val="0"/>
              <w:spacing w:before="0" w:after="1"/>
              <w:ind w:left="0" w:right="0" w:hanging="0"/>
              <w:jc w:val="left"/>
              <w:rPr/>
            </w:pPr>
            <w:r>
              <w:rPr/>
              <w:t>​</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w:t>
            </w:r>
          </w:p>
        </w:tc>
        <w:tc>
          <w:tcPr>
            <w:tcW w:w="109"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24 months</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+400 basis points</w:t>
            </w:r>
          </w:p>
        </w:tc>
        <w:tc>
          <w:tcPr>
            <w:tcW w:w="326" w:type="dxa"/>
            <w:tcBorders/>
            <w:shd w:fill="CCEEFF" w:val="clear"/>
            <w:vAlign w:val="center"/>
          </w:tcPr>
          <w:p>
            <w:pPr>
              <w:pStyle w:val="TableContents"/>
              <w:bidi w:val="0"/>
              <w:spacing w:before="0" w:after="1"/>
              <w:ind w:left="0" w:right="0" w:hanging="0"/>
              <w:jc w:val="left"/>
              <w:rPr/>
            </w:pPr>
            <w:r>
              <w:rPr/>
              <w:t> </w:t>
            </w:r>
          </w:p>
        </w:tc>
        <w:tc>
          <w:tcPr>
            <w:tcW w:w="4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w:t>
            </w:r>
          </w:p>
        </w:tc>
        <w:tc>
          <w:tcPr>
            <w:tcW w:w="3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6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+300 basis points</w:t>
            </w:r>
          </w:p>
        </w:tc>
        <w:tc>
          <w:tcPr>
            <w:tcW w:w="326" w:type="dxa"/>
            <w:tcBorders/>
            <w:vAlign w:val="center"/>
          </w:tcPr>
          <w:p>
            <w:pPr>
              <w:pStyle w:val="TableContents"/>
              <w:bidi w:val="0"/>
              <w:spacing w:before="0" w:after="1"/>
              <w:ind w:left="0" w:right="0" w:hanging="0"/>
              <w:jc w:val="left"/>
              <w:rPr/>
            </w:pPr>
            <w:r>
              <w:rPr/>
              <w:t> </w:t>
            </w:r>
          </w:p>
        </w:tc>
        <w:tc>
          <w:tcPr>
            <w:tcW w:w="4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w:t>
            </w:r>
          </w:p>
        </w:tc>
        <w:tc>
          <w:tcPr>
            <w:tcW w:w="3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0.5</w:t>
            </w:r>
          </w:p>
        </w:tc>
        <w:tc>
          <w:tcPr>
            <w:tcW w:w="36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+200 basis points</w:t>
            </w:r>
          </w:p>
        </w:tc>
        <w:tc>
          <w:tcPr>
            <w:tcW w:w="326" w:type="dxa"/>
            <w:tcBorders/>
            <w:shd w:fill="CCEEFF" w:val="clear"/>
            <w:vAlign w:val="center"/>
          </w:tcPr>
          <w:p>
            <w:pPr>
              <w:pStyle w:val="TableContents"/>
              <w:bidi w:val="0"/>
              <w:spacing w:before="0" w:after="1"/>
              <w:ind w:left="0" w:right="0" w:hanging="0"/>
              <w:jc w:val="left"/>
              <w:rPr/>
            </w:pPr>
            <w:r>
              <w:rPr/>
              <w:t> </w:t>
            </w:r>
          </w:p>
        </w:tc>
        <w:tc>
          <w:tcPr>
            <w:tcW w:w="4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c>
          <w:tcPr>
            <w:tcW w:w="3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w:t>
            </w:r>
          </w:p>
        </w:tc>
        <w:tc>
          <w:tcPr>
            <w:tcW w:w="36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w:t>
            </w:r>
          </w:p>
        </w:tc>
        <w:tc>
          <w:tcPr>
            <w:tcW w:w="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+100 basis points</w:t>
            </w:r>
          </w:p>
        </w:tc>
        <w:tc>
          <w:tcPr>
            <w:tcW w:w="326" w:type="dxa"/>
            <w:tcBorders/>
            <w:vAlign w:val="center"/>
          </w:tcPr>
          <w:p>
            <w:pPr>
              <w:pStyle w:val="TableContents"/>
              <w:bidi w:val="0"/>
              <w:spacing w:before="0" w:after="1"/>
              <w:ind w:left="0" w:right="0" w:hanging="0"/>
              <w:jc w:val="left"/>
              <w:rPr/>
            </w:pPr>
            <w:r>
              <w:rPr/>
              <w:t> </w:t>
            </w:r>
          </w:p>
        </w:tc>
        <w:tc>
          <w:tcPr>
            <w:tcW w:w="4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w:t>
            </w:r>
          </w:p>
        </w:tc>
        <w:tc>
          <w:tcPr>
            <w:tcW w:w="3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w:t>
            </w:r>
          </w:p>
        </w:tc>
        <w:tc>
          <w:tcPr>
            <w:tcW w:w="36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w:t>
            </w:r>
          </w:p>
        </w:tc>
        <w:tc>
          <w:tcPr>
            <w:tcW w:w="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411" w:type="dxa"/>
            <w:tcBorders/>
            <w:shd w:fill="CCEEFF" w:val="clear"/>
            <w:vAlign w:val="center"/>
          </w:tcPr>
          <w:p>
            <w:pPr>
              <w:pStyle w:val="TableContents"/>
              <w:bidi w:val="0"/>
              <w:spacing w:before="0" w:after="1"/>
              <w:ind w:left="0" w:right="0" w:hanging="0"/>
              <w:jc w:val="left"/>
              <w:rPr/>
            </w:pPr>
            <w:r>
              <w:rPr/>
              <w:t>−</w:t>
            </w:r>
            <w:r>
              <w:rPr>
                <w:rFonts w:ascii="Times New Roman;Times;serif" w:hAnsi="Times New Roman;Times;serif"/>
                <w:sz w:val="18"/>
              </w:rPr>
              <w:t>100 basis points</w:t>
            </w:r>
          </w:p>
        </w:tc>
        <w:tc>
          <w:tcPr>
            <w:tcW w:w="326" w:type="dxa"/>
            <w:tcBorders/>
            <w:shd w:fill="CCEEFF" w:val="clear"/>
            <w:vAlign w:val="center"/>
          </w:tcPr>
          <w:p>
            <w:pPr>
              <w:pStyle w:val="TableContents"/>
              <w:bidi w:val="0"/>
              <w:spacing w:before="0" w:after="1"/>
              <w:ind w:left="0" w:right="0" w:hanging="0"/>
              <w:jc w:val="left"/>
              <w:rPr/>
            </w:pPr>
            <w:r>
              <w:rPr/>
              <w:t> </w:t>
            </w:r>
          </w:p>
        </w:tc>
        <w:tc>
          <w:tcPr>
            <w:tcW w:w="469" w:type="dxa"/>
            <w:tcBorders/>
            <w:shd w:fill="CCEEFF" w:val="clear"/>
            <w:vAlign w:val="center"/>
          </w:tcPr>
          <w:p>
            <w:pPr>
              <w:pStyle w:val="TableContents"/>
              <w:bidi w:val="0"/>
              <w:spacing w:before="0" w:after="1"/>
              <w:ind w:left="0" w:right="0" w:hanging="0"/>
              <w:jc w:val="right"/>
              <w:rPr/>
            </w:pPr>
            <w:r>
              <w:rPr/>
              <w:t>−</w:t>
            </w:r>
            <w:r>
              <w:rPr>
                <w:rFonts w:ascii="Times New Roman;Times;serif" w:hAnsi="Times New Roman;Times;serif"/>
                <w:sz w:val="18"/>
              </w:rPr>
              <w:t>0.8</w:t>
            </w:r>
          </w:p>
        </w:tc>
        <w:tc>
          <w:tcPr>
            <w:tcW w:w="3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r>
              <w:rPr>
                <w:rFonts w:ascii="Times New Roman;Times;serif" w:hAnsi="Times New Roman;Times;serif"/>
                <w:sz w:val="18"/>
              </w:rPr>
              <w:t>2.9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right"/>
              <w:rPr/>
            </w:pPr>
            <w:r>
              <w:rPr/>
              <w:t>−</w:t>
            </w:r>
            <w:r>
              <w:rPr>
                <w:rFonts w:ascii="Times New Roman;Times;serif" w:hAnsi="Times New Roman;Times;serif"/>
                <w:sz w:val="18"/>
              </w:rPr>
              <w:t>1.0</w:t>
            </w:r>
          </w:p>
        </w:tc>
        <w:tc>
          <w:tcPr>
            <w:tcW w:w="36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pPr>
            <w:r>
              <w:rPr/>
              <w:t>−</w:t>
            </w:r>
            <w:r>
              <w:rPr>
                <w:rFonts w:ascii="Times New Roman;Times;serif" w:hAnsi="Times New Roman;Times;serif"/>
                <w:sz w:val="18"/>
              </w:rPr>
              <w:t>1.7</w:t>
            </w:r>
          </w:p>
        </w:tc>
        <w:tc>
          <w:tcPr>
            <w:tcW w:w="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411" w:type="dxa"/>
            <w:tcBorders/>
            <w:vAlign w:val="center"/>
          </w:tcPr>
          <w:p>
            <w:pPr>
              <w:pStyle w:val="TableContents"/>
              <w:bidi w:val="0"/>
              <w:spacing w:before="0" w:after="1"/>
              <w:ind w:left="0" w:right="0" w:hanging="0"/>
              <w:jc w:val="left"/>
              <w:rPr/>
            </w:pPr>
            <w:r>
              <w:rPr/>
              <w:t>−</w:t>
            </w:r>
            <w:r>
              <w:rPr>
                <w:rFonts w:ascii="Times New Roman;Times;serif" w:hAnsi="Times New Roman;Times;serif"/>
                <w:sz w:val="18"/>
              </w:rPr>
              <w:t>200 basis points</w:t>
            </w:r>
          </w:p>
        </w:tc>
        <w:tc>
          <w:tcPr>
            <w:tcW w:w="326" w:type="dxa"/>
            <w:tcBorders/>
            <w:vAlign w:val="center"/>
          </w:tcPr>
          <w:p>
            <w:pPr>
              <w:pStyle w:val="TableContents"/>
              <w:bidi w:val="0"/>
              <w:spacing w:before="0" w:after="1"/>
              <w:ind w:left="0" w:right="0" w:hanging="0"/>
              <w:jc w:val="left"/>
              <w:rPr/>
            </w:pPr>
            <w:r>
              <w:rPr/>
              <w:t> </w:t>
            </w:r>
          </w:p>
        </w:tc>
        <w:tc>
          <w:tcPr>
            <w:tcW w:w="469"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1.7</w:t>
            </w:r>
          </w:p>
        </w:tc>
        <w:tc>
          <w:tcPr>
            <w:tcW w:w="3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5.9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2.3</w:t>
            </w:r>
          </w:p>
        </w:tc>
        <w:tc>
          <w:tcPr>
            <w:tcW w:w="36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4.1</w:t>
            </w:r>
          </w:p>
        </w:tc>
        <w:tc>
          <w:tcPr>
            <w:tcW w:w="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411" w:type="dxa"/>
            <w:tcBorders/>
            <w:shd w:fill="CCEEFF" w:val="clear"/>
            <w:vAlign w:val="center"/>
          </w:tcPr>
          <w:p>
            <w:pPr>
              <w:pStyle w:val="TableContents"/>
              <w:bidi w:val="0"/>
              <w:spacing w:before="0" w:after="1"/>
              <w:ind w:left="0" w:right="0" w:hanging="0"/>
              <w:jc w:val="left"/>
              <w:rPr/>
            </w:pPr>
            <w:r>
              <w:rPr/>
              <w:t>−</w:t>
            </w:r>
            <w:r>
              <w:rPr>
                <w:rFonts w:ascii="Times New Roman;Times;serif" w:hAnsi="Times New Roman;Times;serif"/>
                <w:sz w:val="18"/>
              </w:rPr>
              <w:t>300 basis points</w:t>
            </w:r>
          </w:p>
        </w:tc>
        <w:tc>
          <w:tcPr>
            <w:tcW w:w="326" w:type="dxa"/>
            <w:tcBorders/>
            <w:shd w:fill="CCEEFF" w:val="clear"/>
            <w:vAlign w:val="center"/>
          </w:tcPr>
          <w:p>
            <w:pPr>
              <w:pStyle w:val="TableContents"/>
              <w:bidi w:val="0"/>
              <w:spacing w:before="0" w:after="1"/>
              <w:ind w:left="0" w:right="0" w:hanging="0"/>
              <w:jc w:val="left"/>
              <w:rPr/>
            </w:pPr>
            <w:r>
              <w:rPr/>
              <w:t> </w:t>
            </w:r>
          </w:p>
        </w:tc>
        <w:tc>
          <w:tcPr>
            <w:tcW w:w="469" w:type="dxa"/>
            <w:tcBorders/>
            <w:shd w:fill="CCEEFF" w:val="clear"/>
            <w:vAlign w:val="center"/>
          </w:tcPr>
          <w:p>
            <w:pPr>
              <w:pStyle w:val="TableContents"/>
              <w:bidi w:val="0"/>
              <w:spacing w:before="0" w:after="1"/>
              <w:ind w:left="0" w:right="0" w:hanging="0"/>
              <w:jc w:val="right"/>
              <w:rPr/>
            </w:pPr>
            <w:r>
              <w:rPr/>
              <w:t>−</w:t>
            </w:r>
            <w:r>
              <w:rPr>
                <w:rFonts w:ascii="Times New Roman;Times;serif" w:hAnsi="Times New Roman;Times;serif"/>
                <w:sz w:val="18"/>
              </w:rPr>
              <w:t>2.9</w:t>
            </w:r>
          </w:p>
        </w:tc>
        <w:tc>
          <w:tcPr>
            <w:tcW w:w="3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r>
              <w:rPr>
                <w:rFonts w:ascii="Times New Roman;Times;serif" w:hAnsi="Times New Roman;Times;serif"/>
                <w:sz w:val="18"/>
              </w:rPr>
              <w:t>9.6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right"/>
              <w:rPr/>
            </w:pPr>
            <w:r>
              <w:rPr/>
              <w:t>−</w:t>
            </w:r>
            <w:r>
              <w:rPr>
                <w:rFonts w:ascii="Times New Roman;Times;serif" w:hAnsi="Times New Roman;Times;serif"/>
                <w:sz w:val="18"/>
              </w:rPr>
              <w:t>4.1</w:t>
            </w:r>
          </w:p>
        </w:tc>
        <w:tc>
          <w:tcPr>
            <w:tcW w:w="36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pPr>
            <w:r>
              <w:rPr/>
              <w:t>−</w:t>
            </w:r>
            <w:r>
              <w:rPr>
                <w:rFonts w:ascii="Times New Roman;Times;serif" w:hAnsi="Times New Roman;Times;serif"/>
                <w:sz w:val="18"/>
              </w:rPr>
              <w:t>7.2</w:t>
            </w:r>
          </w:p>
        </w:tc>
        <w:tc>
          <w:tcPr>
            <w:tcW w:w="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411" w:type="dxa"/>
            <w:tcBorders/>
            <w:vAlign w:val="center"/>
          </w:tcPr>
          <w:p>
            <w:pPr>
              <w:pStyle w:val="TableContents"/>
              <w:bidi w:val="0"/>
              <w:spacing w:before="0" w:after="1"/>
              <w:ind w:left="0" w:right="0" w:hanging="0"/>
              <w:jc w:val="left"/>
              <w:rPr/>
            </w:pPr>
            <w:r>
              <w:rPr/>
              <w:t>−</w:t>
            </w:r>
            <w:r>
              <w:rPr>
                <w:rFonts w:ascii="Times New Roman;Times;serif" w:hAnsi="Times New Roman;Times;serif"/>
                <w:sz w:val="18"/>
              </w:rPr>
              <w:t>400 basis points</w:t>
            </w:r>
          </w:p>
        </w:tc>
        <w:tc>
          <w:tcPr>
            <w:tcW w:w="326" w:type="dxa"/>
            <w:tcBorders/>
            <w:vAlign w:val="center"/>
          </w:tcPr>
          <w:p>
            <w:pPr>
              <w:pStyle w:val="TableContents"/>
              <w:bidi w:val="0"/>
              <w:spacing w:before="0" w:after="1"/>
              <w:ind w:left="0" w:right="0" w:hanging="0"/>
              <w:jc w:val="left"/>
              <w:rPr/>
            </w:pPr>
            <w:r>
              <w:rPr/>
              <w:t> </w:t>
            </w:r>
          </w:p>
        </w:tc>
        <w:tc>
          <w:tcPr>
            <w:tcW w:w="469"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2.2</w:t>
            </w:r>
          </w:p>
        </w:tc>
        <w:tc>
          <w:tcPr>
            <w:tcW w:w="38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10.2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5.0</w:t>
            </w:r>
          </w:p>
        </w:tc>
        <w:tc>
          <w:tcPr>
            <w:tcW w:w="36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7.6</w:t>
            </w:r>
          </w:p>
        </w:tc>
        <w:tc>
          <w:tcPr>
            <w:tcW w:w="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strategies may impact future reporting periods, as actual results may differ from simulated results due to the timing, magnitude, and frequency of interest rate changes, the difference between actual experience, and the characteristics assumed, as well as changes in market conditions. Market-based prepayment speeds are factored into the analysis for loan and securities portfolios. Rate sensitivity for transactional deposit accounts is modeled based on both historical experience and external industry studies.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uses an economic value of equity sensitivity analysis to understand the impact of interest rate changes on long-term cash flows, income, and capital. Economic value of equity is based on discounting the cash flows for all balance sheet instruments under different interest rate scenarios. Deposit premiums are based on external industry studies and utilizing historical experience.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presents the change in the economic value of equity as of March 31, 2024 and December 31, 2023, assuming immediate parallel shifts in interest rates:</w:t>
      </w:r>
    </w:p>
    <w:tbl>
      <w:tblPr>
        <w:tblW w:w="3931" w:type="dxa"/>
        <w:jc w:val="left"/>
        <w:tblInd w:w="0" w:type="dxa"/>
        <w:tblLayout w:type="fixed"/>
        <w:tblCellMar>
          <w:top w:w="0" w:type="dxa"/>
          <w:left w:w="0" w:type="dxa"/>
          <w:bottom w:w="0" w:type="dxa"/>
          <w:right w:w="0" w:type="dxa"/>
        </w:tblCellMar>
      </w:tblPr>
      <w:tblGrid>
        <w:gridCol w:w="1411"/>
        <w:gridCol w:w="326"/>
        <w:gridCol w:w="517"/>
        <w:gridCol w:w="383"/>
        <w:gridCol w:w="109"/>
        <w:gridCol w:w="691"/>
        <w:gridCol w:w="494"/>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5">
                      <wp:simplePos x="0" y="0"/>
                      <wp:positionH relativeFrom="character">
                        <wp:align>left</wp:align>
                      </wp:positionH>
                      <wp:positionV relativeFrom="line">
                        <wp:posOffset>635</wp:posOffset>
                      </wp:positionV>
                      <wp:extent cx="895985" cy="175260"/>
                      <wp:effectExtent l="0" t="0" r="0" b="0"/>
                      <wp:wrapNone/>
                      <wp:docPr id="1064" name="Frame1064"/>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6">
                      <wp:simplePos x="0" y="0"/>
                      <wp:positionH relativeFrom="character">
                        <wp:align>left</wp:align>
                      </wp:positionH>
                      <wp:positionV relativeFrom="line">
                        <wp:posOffset>635</wp:posOffset>
                      </wp:positionV>
                      <wp:extent cx="207010" cy="175260"/>
                      <wp:effectExtent l="0" t="0" r="0" b="0"/>
                      <wp:wrapNone/>
                      <wp:docPr id="1065" name="Frame10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7">
                      <wp:simplePos x="0" y="0"/>
                      <wp:positionH relativeFrom="character">
                        <wp:align>left</wp:align>
                      </wp:positionH>
                      <wp:positionV relativeFrom="line">
                        <wp:posOffset>635</wp:posOffset>
                      </wp:positionV>
                      <wp:extent cx="328295" cy="175260"/>
                      <wp:effectExtent l="0" t="0" r="0" b="0"/>
                      <wp:wrapNone/>
                      <wp:docPr id="1066" name="Frame1066"/>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8">
                      <wp:simplePos x="0" y="0"/>
                      <wp:positionH relativeFrom="character">
                        <wp:align>left</wp:align>
                      </wp:positionH>
                      <wp:positionV relativeFrom="line">
                        <wp:posOffset>635</wp:posOffset>
                      </wp:positionV>
                      <wp:extent cx="243205" cy="175260"/>
                      <wp:effectExtent l="0" t="0" r="0" b="0"/>
                      <wp:wrapNone/>
                      <wp:docPr id="1067" name="Frame1067"/>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9">
                      <wp:simplePos x="0" y="0"/>
                      <wp:positionH relativeFrom="character">
                        <wp:align>left</wp:align>
                      </wp:positionH>
                      <wp:positionV relativeFrom="line">
                        <wp:posOffset>635</wp:posOffset>
                      </wp:positionV>
                      <wp:extent cx="69215" cy="175260"/>
                      <wp:effectExtent l="0" t="0" r="0" b="0"/>
                      <wp:wrapNone/>
                      <wp:docPr id="1068" name="Frame10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0">
                      <wp:simplePos x="0" y="0"/>
                      <wp:positionH relativeFrom="character">
                        <wp:align>left</wp:align>
                      </wp:positionH>
                      <wp:positionV relativeFrom="line">
                        <wp:posOffset>635</wp:posOffset>
                      </wp:positionV>
                      <wp:extent cx="438785" cy="175260"/>
                      <wp:effectExtent l="0" t="0" r="0" b="0"/>
                      <wp:wrapNone/>
                      <wp:docPr id="1069" name="Frame106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1">
                      <wp:simplePos x="0" y="0"/>
                      <wp:positionH relativeFrom="character">
                        <wp:align>left</wp:align>
                      </wp:positionH>
                      <wp:positionV relativeFrom="line">
                        <wp:posOffset>635</wp:posOffset>
                      </wp:positionV>
                      <wp:extent cx="313690" cy="175260"/>
                      <wp:effectExtent l="0" t="0" r="0" b="0"/>
                      <wp:wrapNone/>
                      <wp:docPr id="1070" name="Frame1070"/>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+400 basis points</w:t>
            </w:r>
          </w:p>
        </w:tc>
        <w:tc>
          <w:tcPr>
            <w:tcW w:w="326" w:type="dxa"/>
            <w:tcBorders/>
            <w:shd w:fill="CCEEFF" w:val="clear"/>
            <w:vAlign w:val="center"/>
          </w:tcPr>
          <w:p>
            <w:pPr>
              <w:pStyle w:val="TableContents"/>
              <w:bidi w:val="0"/>
              <w:spacing w:before="0" w:after="1"/>
              <w:ind w:left="0" w:right="0" w:hanging="0"/>
              <w:jc w:val="left"/>
              <w:rPr/>
            </w:pPr>
            <w:r>
              <w:rPr/>
              <w:t> </w:t>
            </w:r>
          </w:p>
        </w:tc>
        <w:tc>
          <w:tcPr>
            <w:tcW w:w="517" w:type="dxa"/>
            <w:tcBorders/>
            <w:shd w:fill="CCEEFF" w:val="clear"/>
            <w:vAlign w:val="center"/>
          </w:tcPr>
          <w:p>
            <w:pPr>
              <w:pStyle w:val="TableContents"/>
              <w:bidi w:val="0"/>
              <w:spacing w:before="0" w:after="1"/>
              <w:ind w:left="0" w:right="0" w:hanging="0"/>
              <w:jc w:val="right"/>
              <w:rPr/>
            </w:pPr>
            <w:r>
              <w:rPr/>
              <w:t>−</w:t>
            </w:r>
            <w:r>
              <w:rPr>
                <w:rFonts w:ascii="Times New Roman;Times;serif" w:hAnsi="Times New Roman;Times;serif"/>
                <w:sz w:val="18"/>
              </w:rPr>
              <w:t>8.5</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r>
              <w:rPr>
                <w:rFonts w:ascii="Times New Roman;Times;serif" w:hAnsi="Times New Roman;Times;serif"/>
                <w:sz w:val="18"/>
              </w:rPr>
              <w:t>15.5</w:t>
            </w:r>
          </w:p>
        </w:tc>
        <w:tc>
          <w:tcPr>
            <w:tcW w:w="49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+300 basis points</w:t>
            </w:r>
          </w:p>
        </w:tc>
        <w:tc>
          <w:tcPr>
            <w:tcW w:w="326" w:type="dxa"/>
            <w:tcBorders/>
            <w:vAlign w:val="center"/>
          </w:tcPr>
          <w:p>
            <w:pPr>
              <w:pStyle w:val="TableContents"/>
              <w:bidi w:val="0"/>
              <w:spacing w:before="0" w:after="1"/>
              <w:ind w:left="0" w:right="0" w:hanging="0"/>
              <w:jc w:val="left"/>
              <w:rPr/>
            </w:pPr>
            <w:r>
              <w:rPr/>
              <w:t> </w:t>
            </w:r>
          </w:p>
        </w:tc>
        <w:tc>
          <w:tcPr>
            <w:tcW w:w="517"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7.1</w:t>
            </w:r>
          </w:p>
        </w:tc>
        <w:tc>
          <w:tcPr>
            <w:tcW w:w="38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12.6</w:t>
            </w:r>
          </w:p>
        </w:tc>
        <w:tc>
          <w:tcPr>
            <w:tcW w:w="49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4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+200 basis points</w:t>
            </w:r>
          </w:p>
        </w:tc>
        <w:tc>
          <w:tcPr>
            <w:tcW w:w="326" w:type="dxa"/>
            <w:tcBorders/>
            <w:shd w:fill="CCEEFF" w:val="clear"/>
            <w:vAlign w:val="center"/>
          </w:tcPr>
          <w:p>
            <w:pPr>
              <w:pStyle w:val="TableContents"/>
              <w:bidi w:val="0"/>
              <w:spacing w:before="0" w:after="1"/>
              <w:ind w:left="0" w:right="0" w:hanging="0"/>
              <w:jc w:val="left"/>
              <w:rPr/>
            </w:pPr>
            <w:r>
              <w:rPr/>
              <w:t> </w:t>
            </w:r>
          </w:p>
        </w:tc>
        <w:tc>
          <w:tcPr>
            <w:tcW w:w="517" w:type="dxa"/>
            <w:tcBorders/>
            <w:shd w:fill="CCEEFF" w:val="clear"/>
            <w:vAlign w:val="center"/>
          </w:tcPr>
          <w:p>
            <w:pPr>
              <w:pStyle w:val="TableContents"/>
              <w:bidi w:val="0"/>
              <w:spacing w:before="0" w:after="1"/>
              <w:ind w:left="0" w:right="0" w:hanging="0"/>
              <w:jc w:val="right"/>
              <w:rPr/>
            </w:pPr>
            <w:r>
              <w:rPr/>
              <w:t>−</w:t>
            </w:r>
            <w:r>
              <w:rPr>
                <w:rFonts w:ascii="Times New Roman;Times;serif" w:hAnsi="Times New Roman;Times;serif"/>
                <w:sz w:val="18"/>
              </w:rPr>
              <w:t>3.5</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r>
              <w:rPr>
                <w:rFonts w:ascii="Times New Roman;Times;serif" w:hAnsi="Times New Roman;Times;serif"/>
                <w:sz w:val="18"/>
              </w:rPr>
              <w:t>7.7</w:t>
            </w:r>
          </w:p>
        </w:tc>
        <w:tc>
          <w:tcPr>
            <w:tcW w:w="49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4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+100 basis points</w:t>
            </w:r>
          </w:p>
        </w:tc>
        <w:tc>
          <w:tcPr>
            <w:tcW w:w="326" w:type="dxa"/>
            <w:tcBorders/>
            <w:vAlign w:val="center"/>
          </w:tcPr>
          <w:p>
            <w:pPr>
              <w:pStyle w:val="TableContents"/>
              <w:bidi w:val="0"/>
              <w:spacing w:before="0" w:after="1"/>
              <w:ind w:left="0" w:right="0" w:hanging="0"/>
              <w:jc w:val="left"/>
              <w:rPr/>
            </w:pPr>
            <w:r>
              <w:rPr/>
              <w:t> </w:t>
            </w:r>
          </w:p>
        </w:tc>
        <w:tc>
          <w:tcPr>
            <w:tcW w:w="517"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1.2</w:t>
            </w:r>
          </w:p>
        </w:tc>
        <w:tc>
          <w:tcPr>
            <w:tcW w:w="38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3.1</w:t>
            </w:r>
          </w:p>
        </w:tc>
        <w:tc>
          <w:tcPr>
            <w:tcW w:w="49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411" w:type="dxa"/>
            <w:tcBorders/>
            <w:shd w:fill="CCEEFF" w:val="clear"/>
            <w:vAlign w:val="center"/>
          </w:tcPr>
          <w:p>
            <w:pPr>
              <w:pStyle w:val="TableContents"/>
              <w:bidi w:val="0"/>
              <w:spacing w:before="0" w:after="1"/>
              <w:ind w:left="0" w:right="0" w:hanging="0"/>
              <w:jc w:val="left"/>
              <w:rPr/>
            </w:pPr>
            <w:r>
              <w:rPr/>
              <w:t>−</w:t>
            </w:r>
            <w:r>
              <w:rPr>
                <w:rFonts w:ascii="Times New Roman;Times;serif" w:hAnsi="Times New Roman;Times;serif"/>
                <w:sz w:val="18"/>
              </w:rPr>
              <w:t>100 basis points</w:t>
            </w:r>
          </w:p>
        </w:tc>
        <w:tc>
          <w:tcPr>
            <w:tcW w:w="326" w:type="dxa"/>
            <w:tcBorders/>
            <w:shd w:fill="CCEEFF" w:val="clear"/>
            <w:vAlign w:val="center"/>
          </w:tcPr>
          <w:p>
            <w:pPr>
              <w:pStyle w:val="TableContents"/>
              <w:bidi w:val="0"/>
              <w:spacing w:before="0" w:after="1"/>
              <w:ind w:left="0" w:right="0" w:hanging="0"/>
              <w:jc w:val="left"/>
              <w:rPr/>
            </w:pPr>
            <w:r>
              <w:rPr/>
              <w:t> </w:t>
            </w:r>
          </w:p>
        </w:tc>
        <w:tc>
          <w:tcPr>
            <w:tcW w:w="5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49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411" w:type="dxa"/>
            <w:tcBorders/>
            <w:vAlign w:val="center"/>
          </w:tcPr>
          <w:p>
            <w:pPr>
              <w:pStyle w:val="TableContents"/>
              <w:bidi w:val="0"/>
              <w:spacing w:before="0" w:after="1"/>
              <w:ind w:left="0" w:right="0" w:hanging="0"/>
              <w:jc w:val="left"/>
              <w:rPr/>
            </w:pPr>
            <w:r>
              <w:rPr/>
              <w:t>−</w:t>
            </w:r>
            <w:r>
              <w:rPr>
                <w:rFonts w:ascii="Times New Roman;Times;serif" w:hAnsi="Times New Roman;Times;serif"/>
                <w:sz w:val="18"/>
              </w:rPr>
              <w:t>200 basis points</w:t>
            </w:r>
          </w:p>
        </w:tc>
        <w:tc>
          <w:tcPr>
            <w:tcW w:w="326" w:type="dxa"/>
            <w:tcBorders/>
            <w:vAlign w:val="center"/>
          </w:tcPr>
          <w:p>
            <w:pPr>
              <w:pStyle w:val="TableContents"/>
              <w:bidi w:val="0"/>
              <w:spacing w:before="0" w:after="1"/>
              <w:ind w:left="0" w:right="0" w:hanging="0"/>
              <w:jc w:val="left"/>
              <w:rPr/>
            </w:pPr>
            <w:r>
              <w:rPr/>
              <w:t>​</w:t>
            </w:r>
          </w:p>
        </w:tc>
        <w:tc>
          <w:tcPr>
            <w:tcW w:w="517"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0.4</w:t>
            </w:r>
          </w:p>
        </w:tc>
        <w:tc>
          <w:tcPr>
            <w:tcW w:w="38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w:t>
            </w:r>
          </w:p>
        </w:tc>
        <w:tc>
          <w:tcPr>
            <w:tcW w:w="49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411" w:type="dxa"/>
            <w:tcBorders/>
            <w:shd w:fill="CCEEFF" w:val="clear"/>
            <w:vAlign w:val="center"/>
          </w:tcPr>
          <w:p>
            <w:pPr>
              <w:pStyle w:val="TableContents"/>
              <w:bidi w:val="0"/>
              <w:spacing w:before="0" w:after="1"/>
              <w:ind w:left="0" w:right="0" w:hanging="0"/>
              <w:jc w:val="left"/>
              <w:rPr/>
            </w:pPr>
            <w:r>
              <w:rPr/>
              <w:t>−</w:t>
            </w:r>
            <w:r>
              <w:rPr>
                <w:rFonts w:ascii="Times New Roman;Times;serif" w:hAnsi="Times New Roman;Times;serif"/>
                <w:sz w:val="18"/>
              </w:rPr>
              <w:t>300 basis points</w:t>
            </w:r>
          </w:p>
        </w:tc>
        <w:tc>
          <w:tcPr>
            <w:tcW w:w="326" w:type="dxa"/>
            <w:tcBorders/>
            <w:shd w:fill="CCEEFF" w:val="clear"/>
            <w:vAlign w:val="center"/>
          </w:tcPr>
          <w:p>
            <w:pPr>
              <w:pStyle w:val="TableContents"/>
              <w:bidi w:val="0"/>
              <w:spacing w:before="0" w:after="1"/>
              <w:ind w:left="0" w:right="0" w:hanging="0"/>
              <w:jc w:val="left"/>
              <w:rPr/>
            </w:pPr>
            <w:r>
              <w:rPr/>
              <w:t>​</w:t>
            </w:r>
          </w:p>
        </w:tc>
        <w:tc>
          <w:tcPr>
            <w:tcW w:w="517" w:type="dxa"/>
            <w:tcBorders/>
            <w:shd w:fill="CCEEFF" w:val="clear"/>
            <w:vAlign w:val="center"/>
          </w:tcPr>
          <w:p>
            <w:pPr>
              <w:pStyle w:val="TableContents"/>
              <w:bidi w:val="0"/>
              <w:spacing w:before="0" w:after="1"/>
              <w:ind w:left="0" w:right="0" w:hanging="0"/>
              <w:jc w:val="right"/>
              <w:rPr/>
            </w:pPr>
            <w:r>
              <w:rPr/>
              <w:t>−</w:t>
            </w:r>
            <w:r>
              <w:rPr>
                <w:rFonts w:ascii="Times New Roman;Times;serif" w:hAnsi="Times New Roman;Times;serif"/>
                <w:sz w:val="18"/>
              </w:rPr>
              <w:t>3.0</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r>
              <w:rPr>
                <w:rFonts w:ascii="Times New Roman;Times;serif" w:hAnsi="Times New Roman;Times;serif"/>
                <w:sz w:val="18"/>
              </w:rPr>
              <w:t>0.3</w:t>
            </w:r>
          </w:p>
        </w:tc>
        <w:tc>
          <w:tcPr>
            <w:tcW w:w="49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411" w:type="dxa"/>
            <w:tcBorders/>
            <w:vAlign w:val="center"/>
          </w:tcPr>
          <w:p>
            <w:pPr>
              <w:pStyle w:val="TableContents"/>
              <w:bidi w:val="0"/>
              <w:spacing w:before="0" w:after="1"/>
              <w:ind w:left="0" w:right="0" w:hanging="0"/>
              <w:jc w:val="left"/>
              <w:rPr/>
            </w:pPr>
            <w:r>
              <w:rPr/>
              <w:t>−</w:t>
            </w:r>
            <w:r>
              <w:rPr>
                <w:rFonts w:ascii="Times New Roman;Times;serif" w:hAnsi="Times New Roman;Times;serif"/>
                <w:sz w:val="18"/>
              </w:rPr>
              <w:t>400 basis points</w:t>
            </w:r>
          </w:p>
        </w:tc>
        <w:tc>
          <w:tcPr>
            <w:tcW w:w="326" w:type="dxa"/>
            <w:tcBorders/>
            <w:vAlign w:val="center"/>
          </w:tcPr>
          <w:p>
            <w:pPr>
              <w:pStyle w:val="TableContents"/>
              <w:bidi w:val="0"/>
              <w:spacing w:before="0" w:after="1"/>
              <w:ind w:left="0" w:right="0" w:hanging="0"/>
              <w:jc w:val="left"/>
              <w:rPr/>
            </w:pPr>
            <w:r>
              <w:rPr/>
              <w:t> </w:t>
            </w:r>
          </w:p>
        </w:tc>
        <w:tc>
          <w:tcPr>
            <w:tcW w:w="517"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7.2</w:t>
            </w:r>
          </w:p>
        </w:tc>
        <w:tc>
          <w:tcPr>
            <w:tcW w:w="38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r>
              <w:rPr>
                <w:rFonts w:ascii="Times New Roman;Times;serif" w:hAnsi="Times New Roman;Times;serif"/>
                <w:sz w:val="18"/>
              </w:rPr>
              <w:t>5.6</w:t>
            </w:r>
          </w:p>
        </w:tc>
        <w:tc>
          <w:tcPr>
            <w:tcW w:w="49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Operational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Operational risk is the risk of loss due to human behavior, inadequate or failed internal systems and controls, and external influences such as market conditions, fraudulent activities, disasters, and security risks. Management continuously strives to strengthen its system of internal controls, enterprise risk management, operating processes and employee awareness to assess the impact on earnings and capital and to improve the oversight of the Company’s operational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Compliance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Compliance risk represents the risk of regulatory sanctions, reputational impact or financial loss resulting from failure to comply with rules and regulations issued by the various banking agencies and standards of good banking practice. Activities which may expose the Company to compliance risk include, but are not limited to, those dealing with the prevention of money laundering, privacy and data protection, community reinvestment initiatives, fair lending challenges resulting from the expansion of the Company’s banking center network, employment and tax matters.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Strategic and/or Reputation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Strategic and/or reputation risk represents the risk of loss due to impairment of reputation, failure to fully develop and execute business plans, failure to assess current and new opportunities in business, markets and products, and any other event not identified in the defined risk types mentioned previously. Mitigation of the various risk elements that represent strategic and/or reputation risk is achieved through initiatives to help management better understand and report on various risks, including those related to the development of new products and business initiatives.</w:t>
      </w:r>
    </w:p>
    <w:p>
      <w:pPr>
        <w:pStyle w:val="TextBody"/>
        <w:bidi w:val="0"/>
        <w:spacing w:before="0" w:after="240"/>
        <w:ind w:left="0" w:right="0" w:hanging="0"/>
        <w:jc w:val="left"/>
        <w:rPr>
          <w:rFonts w:ascii="Times New Roman;Times;serif" w:hAnsi="Times New Roman;Times;serif"/>
          <w:b/>
          <w:sz w:val="20"/>
        </w:rPr>
      </w:pPr>
      <w:bookmarkStart w:id="3999" w:name="ITEM4CONTROLSANDPROCEDURES_218234"/>
      <w:bookmarkStart w:id="4000" w:name="_2367cfca_f2a6_4c2d_92fa_e228d0cbfb79"/>
      <w:bookmarkEnd w:id="3999"/>
      <w:bookmarkEnd w:id="4000"/>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management, including the President and Chief Executive Officer, the Chief Financial Officer, and the Chief Accounting Officer have evaluated the effectiveness of the Company’s “disclosure controls and procedures” (as defined in Rule 13a-15(e) under the Securities Exchange Act of 1934, or the Exchange Act), as of the end of the period covered by this report. Based on such evaluation, the President and Chief Executive Officer, the Chief Financial Officer and the Chief Accounting Officer have concluded that, as of the end of such period, the Company’s disclosure controls and procedures were effective as of that date to provide reasonable assurance that the information required to be disclosed by the Company in the reports it files or submits under the Exchange Act is recorded, processed, summarized and reported within the time periods specified in the rules and forms of the SEC and that information required to be disclosed by the Company in the reports it files or submits under the Exchange Act is accumulated and communicated to the Company’s management, including its President and Chief Executive Officer, its Chief Financial Officer and its Chief Accounting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not been any changes in the Company’s internal control over financial reporting (as such term is defined in Rule 13a-15(f) under the Exchange Act) during the fiscal quarter to which this report relates that have materially affected, or are reasonably likely to materially affect, the Company’s internal control over financial reporting.</w:t>
      </w:r>
    </w:p>
    <w:p>
      <w:pPr>
        <w:pStyle w:val="TextBody"/>
        <w:bidi w:val="0"/>
        <w:spacing w:before="0" w:after="240"/>
        <w:ind w:left="0" w:right="0" w:hanging="0"/>
        <w:jc w:val="center"/>
        <w:rPr>
          <w:rFonts w:ascii="Times New Roman;Times;serif" w:hAnsi="Times New Roman;Times;serif"/>
          <w:b/>
          <w:sz w:val="20"/>
        </w:rPr>
      </w:pPr>
      <w:bookmarkStart w:id="4001" w:name="PARTIIOTHERINFORMATION_296051"/>
      <w:bookmarkStart w:id="4002" w:name="_6346d31a_68ac_4f48_9d4e_bf1c5abf4c0d"/>
      <w:bookmarkEnd w:id="4001"/>
      <w:bookmarkEnd w:id="4002"/>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4003" w:name="Item1LegalProceedings_874551"/>
      <w:bookmarkEnd w:id="4003"/>
      <w:r>
        <w:rPr>
          <w:rFonts w:ascii="Times New Roman;Times;serif" w:hAnsi="Times New Roman;Times;serif"/>
          <w:b/>
          <w:sz w:val="20"/>
        </w:rPr>
        <w:t>Item 1 –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no material pending legal proceedings, other than ordinary routine litigation incidental to the business of the Company or its subsidiaries, to which the Company or any of its subsidiaries are a party or to which the Company's property is the subject. ​</w:t>
      </w:r>
    </w:p>
    <w:p>
      <w:pPr>
        <w:pStyle w:val="TextBody"/>
        <w:bidi w:val="0"/>
        <w:spacing w:before="0" w:after="240"/>
        <w:ind w:left="0" w:right="0" w:hanging="0"/>
        <w:jc w:val="left"/>
        <w:rPr>
          <w:rFonts w:ascii="Times New Roman;Times;serif" w:hAnsi="Times New Roman;Times;serif"/>
          <w:b/>
          <w:sz w:val="20"/>
        </w:rPr>
      </w:pPr>
      <w:bookmarkStart w:id="4004" w:name="Item1ARiskFactors_807447"/>
      <w:bookmarkStart w:id="4005" w:name="_660c7a22_9cfb_4689_86e5_67479d67904a"/>
      <w:bookmarkEnd w:id="4004"/>
      <w:bookmarkEnd w:id="4005"/>
      <w:r>
        <w:rPr>
          <w:rFonts w:ascii="Times New Roman;Times;serif" w:hAnsi="Times New Roman;Times;serif"/>
          <w:b/>
          <w:sz w:val="20"/>
        </w:rPr>
        <w:t>Item 1A – Risk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risk factors disclosed in the Company’s Annual Report on Form 10-K filed with the SEC on March 8, 2024.</w:t>
      </w:r>
    </w:p>
    <w:p>
      <w:pPr>
        <w:pStyle w:val="TextBody"/>
        <w:bidi w:val="0"/>
        <w:spacing w:before="0" w:after="240"/>
        <w:ind w:left="0" w:right="0" w:hanging="0"/>
        <w:jc w:val="left"/>
        <w:rPr>
          <w:rFonts w:ascii="Times New Roman;Times;serif" w:hAnsi="Times New Roman;Times;serif"/>
          <w:b/>
          <w:sz w:val="20"/>
        </w:rPr>
      </w:pPr>
      <w:bookmarkStart w:id="4006" w:name="Item2RecentSalesofUnregisteredSecurities"/>
      <w:bookmarkStart w:id="4007" w:name="_95fc9a30_96a5_4600_8a60_199ac8e77ec4"/>
      <w:bookmarkEnd w:id="4006"/>
      <w:bookmarkEnd w:id="4007"/>
      <w:r>
        <w:rPr>
          <w:rFonts w:ascii="Times New Roman;Times;serif" w:hAnsi="Times New Roman;Times;serif"/>
          <w:b/>
          <w:sz w:val="20"/>
        </w:rPr>
        <w:t>Item 2 – Unregistered Sales of Equity Securities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Repurchases of Equity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presents information related to repurchases of shares of the Company’s common stock for each calendar month in the first quarter of 2024: </w:t>
      </w:r>
    </w:p>
    <w:tbl>
      <w:tblPr>
        <w:tblW w:w="9798" w:type="dxa"/>
        <w:jc w:val="left"/>
        <w:tblInd w:w="0" w:type="dxa"/>
        <w:tblLayout w:type="fixed"/>
        <w:tblCellMar>
          <w:top w:w="0" w:type="dxa"/>
          <w:left w:w="0" w:type="dxa"/>
          <w:bottom w:w="0" w:type="dxa"/>
          <w:right w:w="0" w:type="dxa"/>
        </w:tblCellMar>
      </w:tblPr>
      <w:tblGrid>
        <w:gridCol w:w="3226"/>
        <w:gridCol w:w="326"/>
        <w:gridCol w:w="1126"/>
        <w:gridCol w:w="326"/>
        <w:gridCol w:w="236"/>
        <w:gridCol w:w="619"/>
        <w:gridCol w:w="326"/>
        <w:gridCol w:w="1576"/>
        <w:gridCol w:w="326"/>
        <w:gridCol w:w="1711"/>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2">
                      <wp:simplePos x="0" y="0"/>
                      <wp:positionH relativeFrom="character">
                        <wp:align>left</wp:align>
                      </wp:positionH>
                      <wp:positionV relativeFrom="line">
                        <wp:posOffset>635</wp:posOffset>
                      </wp:positionV>
                      <wp:extent cx="2048510" cy="175260"/>
                      <wp:effectExtent l="0" t="0" r="0" b="0"/>
                      <wp:wrapNone/>
                      <wp:docPr id="1071" name="Frame1071"/>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3">
                      <wp:simplePos x="0" y="0"/>
                      <wp:positionH relativeFrom="character">
                        <wp:align>left</wp:align>
                      </wp:positionH>
                      <wp:positionV relativeFrom="line">
                        <wp:posOffset>635</wp:posOffset>
                      </wp:positionV>
                      <wp:extent cx="207010" cy="175260"/>
                      <wp:effectExtent l="0" t="0" r="0" b="0"/>
                      <wp:wrapNone/>
                      <wp:docPr id="1072" name="Frame10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4">
                      <wp:simplePos x="0" y="0"/>
                      <wp:positionH relativeFrom="character">
                        <wp:align>left</wp:align>
                      </wp:positionH>
                      <wp:positionV relativeFrom="line">
                        <wp:posOffset>635</wp:posOffset>
                      </wp:positionV>
                      <wp:extent cx="715010" cy="175260"/>
                      <wp:effectExtent l="0" t="0" r="0" b="0"/>
                      <wp:wrapNone/>
                      <wp:docPr id="1073" name="Frame107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5">
                      <wp:simplePos x="0" y="0"/>
                      <wp:positionH relativeFrom="character">
                        <wp:align>left</wp:align>
                      </wp:positionH>
                      <wp:positionV relativeFrom="line">
                        <wp:posOffset>635</wp:posOffset>
                      </wp:positionV>
                      <wp:extent cx="207010" cy="175260"/>
                      <wp:effectExtent l="0" t="0" r="0" b="0"/>
                      <wp:wrapNone/>
                      <wp:docPr id="1074" name="Frame10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6">
                      <wp:simplePos x="0" y="0"/>
                      <wp:positionH relativeFrom="character">
                        <wp:align>left</wp:align>
                      </wp:positionH>
                      <wp:positionV relativeFrom="line">
                        <wp:posOffset>635</wp:posOffset>
                      </wp:positionV>
                      <wp:extent cx="149860" cy="175260"/>
                      <wp:effectExtent l="0" t="0" r="0" b="0"/>
                      <wp:wrapNone/>
                      <wp:docPr id="1075" name="Frame107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7">
                      <wp:simplePos x="0" y="0"/>
                      <wp:positionH relativeFrom="character">
                        <wp:align>left</wp:align>
                      </wp:positionH>
                      <wp:positionV relativeFrom="line">
                        <wp:posOffset>635</wp:posOffset>
                      </wp:positionV>
                      <wp:extent cx="393065" cy="175260"/>
                      <wp:effectExtent l="0" t="0" r="0" b="0"/>
                      <wp:wrapNone/>
                      <wp:docPr id="1076" name="Frame1076"/>
                      <a:graphic xmlns:a="http://schemas.openxmlformats.org/drawingml/2006/main">
                        <a:graphicData uri="http://schemas.microsoft.com/office/word/2010/wordprocessingShape">
                          <wps:wsp>
                            <wps:cNvSpPr txBox="1"/>
                            <wps:spPr>
                              <a:xfrm>
                                <a:off x="0" y="0"/>
                                <a:ext cx="393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8">
                      <wp:simplePos x="0" y="0"/>
                      <wp:positionH relativeFrom="character">
                        <wp:align>left</wp:align>
                      </wp:positionH>
                      <wp:positionV relativeFrom="line">
                        <wp:posOffset>635</wp:posOffset>
                      </wp:positionV>
                      <wp:extent cx="207010" cy="175260"/>
                      <wp:effectExtent l="0" t="0" r="0" b="0"/>
                      <wp:wrapNone/>
                      <wp:docPr id="1077" name="Frame10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9">
                      <wp:simplePos x="0" y="0"/>
                      <wp:positionH relativeFrom="character">
                        <wp:align>left</wp:align>
                      </wp:positionH>
                      <wp:positionV relativeFrom="line">
                        <wp:posOffset>635</wp:posOffset>
                      </wp:positionV>
                      <wp:extent cx="1000760" cy="175260"/>
                      <wp:effectExtent l="0" t="0" r="0" b="0"/>
                      <wp:wrapNone/>
                      <wp:docPr id="1078" name="Frame1078"/>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0">
                      <wp:simplePos x="0" y="0"/>
                      <wp:positionH relativeFrom="character">
                        <wp:align>left</wp:align>
                      </wp:positionH>
                      <wp:positionV relativeFrom="line">
                        <wp:posOffset>635</wp:posOffset>
                      </wp:positionV>
                      <wp:extent cx="207010" cy="175260"/>
                      <wp:effectExtent l="0" t="0" r="0" b="0"/>
                      <wp:wrapNone/>
                      <wp:docPr id="1079" name="Frame10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1">
                      <wp:simplePos x="0" y="0"/>
                      <wp:positionH relativeFrom="character">
                        <wp:align>left</wp:align>
                      </wp:positionH>
                      <wp:positionV relativeFrom="line">
                        <wp:posOffset>635</wp:posOffset>
                      </wp:positionV>
                      <wp:extent cx="1086485" cy="175260"/>
                      <wp:effectExtent l="0" t="0" r="0" b="0"/>
                      <wp:wrapNone/>
                      <wp:docPr id="1080" name="Frame1080"/>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 of</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that May</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2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Yet be Purchased</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(dollars in thousands, except per share data)</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Purchased </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left"/>
              <w:rPr/>
            </w:pPr>
            <w:r>
              <w:rPr/>
              <w:t>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w:t>
            </w:r>
          </w:p>
        </w:tc>
        <w:tc>
          <w:tcPr>
            <w:tcW w:w="326" w:type="dxa"/>
            <w:tcBorders/>
            <w:vAlign w:val="center"/>
          </w:tcPr>
          <w:p>
            <w:pPr>
              <w:pStyle w:val="TableContents"/>
              <w:bidi w:val="0"/>
              <w:spacing w:before="0" w:after="0"/>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Under the Plan </w:t>
            </w:r>
            <w:r>
              <w:rPr>
                <w:rFonts w:ascii="Times New Roman;Times;serif" w:hAnsi="Times New Roman;Times;serif"/>
                <w:sz w:val="14"/>
              </w:rPr>
              <w:t>(2)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January 1-31,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902</w:t>
            </w:r>
          </w:p>
        </w:tc>
        <w:tc>
          <w:tcPr>
            <w:tcW w:w="32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20.62</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7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1,000,000</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February 1-29, 2024</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1,856</w:t>
            </w:r>
          </w:p>
        </w:tc>
        <w:tc>
          <w:tcPr>
            <w:tcW w:w="32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22.39</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7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1,000,000</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1-31,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33,658</w:t>
            </w:r>
          </w:p>
        </w:tc>
        <w:tc>
          <w:tcPr>
            <w:tcW w:w="32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22.06</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1,000,000</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36,416</w:t>
            </w:r>
          </w:p>
        </w:tc>
        <w:tc>
          <w:tcPr>
            <w:tcW w:w="32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22.04</w:t>
            </w:r>
          </w:p>
        </w:tc>
        <w:tc>
          <w:tcPr>
            <w:tcW w:w="326" w:type="dxa"/>
            <w:tcBorders/>
            <w:vAlign w:val="center"/>
          </w:tcPr>
          <w:p>
            <w:pPr>
              <w:pStyle w:val="TableContents"/>
              <w:bidi w:val="0"/>
              <w:spacing w:before="0" w:after="0"/>
              <w:ind w:left="0" w:right="0" w:hanging="0"/>
              <w:jc w:val="left"/>
              <w:rPr/>
            </w:pPr>
            <w:r>
              <w:rPr/>
              <w:t> </w:t>
            </w:r>
          </w:p>
        </w:tc>
        <w:tc>
          <w:tcPr>
            <w:tcW w:w="15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71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1,000,000</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shares of the Company’s common stock purchased by the Company’s Employee Stock Ownership Plan in open market purchases and shares surrendered by employees to the Company to pay withholding taxes on the vesting of restricted stock awards.</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 February 18, 2021, the Board of Directors of the Company approved a stock repurchase program, or the Existing Program, which authorized the Company to repurchase up to 770,000 shares of its common stock, subject to certain limitations and conditions. The Existing Program was effective immediately and continued until February 18, 2024. On December 12, 2023, the Board approved a new stock repurchase program, or the New Program, which authorized the Company to repurchase up to 1,000,000 shares of its common stock, subject to certain limitations and conditions. The New Program became effective on February 18, 2024, and replaced the Existing Program. The New Program will expire on February 18, 2027. Neither the Existing Program nor the New Program obligates the Company to repurchase any shares of its common stock and there is no assurance that the Company will do so. For the three months ended March 31, 2024, the Company did not repurchase any shares of common stock under either the Existing Program or the New Program. Does not include shares that may be purchased by the Company’s Employee Stock Ownership Plan.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Proceeds from Registered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4008" w:name="Item3DefaultsUponSeniorSecurities_928521"/>
      <w:bookmarkStart w:id="4009" w:name="_203f1638_8c62_49c0_a140_0fe4cb9eb75c"/>
      <w:bookmarkEnd w:id="4008"/>
      <w:bookmarkEnd w:id="4009"/>
      <w:r>
        <w:rPr>
          <w:rFonts w:ascii="Times New Roman;Times;serif" w:hAnsi="Times New Roman;Times;serif"/>
          <w:b/>
          <w:sz w:val="20"/>
        </w:rPr>
        <w:t>Item 3 – Defaults Upon Senior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4010" w:name="Item4MineSafetyDisclosures_391221"/>
      <w:bookmarkStart w:id="4011" w:name="_8a30c745_f45a_411b_9e21_a3e4a3ac8273"/>
      <w:bookmarkEnd w:id="4010"/>
      <w:bookmarkEnd w:id="4011"/>
      <w:r>
        <w:rPr>
          <w:rFonts w:ascii="Times New Roman;Times;serif" w:hAnsi="Times New Roman;Times;serif"/>
          <w:b/>
          <w:sz w:val="20"/>
        </w:rPr>
        <w:t>Item 4 –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4012" w:name="Item5OtherInformation_201012"/>
      <w:bookmarkStart w:id="4013" w:name="_70833c20_5d08_4f09_99e0_977fe454ae0a"/>
      <w:bookmarkEnd w:id="4012"/>
      <w:bookmarkEnd w:id="4013"/>
      <w:r>
        <w:rPr>
          <w:rFonts w:ascii="Times New Roman;Times;serif" w:hAnsi="Times New Roman;Times;serif"/>
          <w:b/>
          <w:sz w:val="20"/>
        </w:rPr>
        <w:t>Item 5 – Other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fiscal quarter ended March 31, 2024, none of the Company’s directors or executive officers adopted or terminated any contract, instruction or written plan for the purchase or sale of Company securities that was intended to satisfy the affirmative defense conditions of Rule10b5-1(c) or any non-Rule 10b5-1 trading arrangement.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014" w:name="Item6Exhibits_20006"/>
      <w:bookmarkStart w:id="4015" w:name="_b784d81c_c50f_4340_930d_0adcaa44001e"/>
      <w:bookmarkEnd w:id="4014"/>
      <w:bookmarkEnd w:id="4015"/>
      <w:r>
        <w:rPr>
          <w:rFonts w:ascii="Times New Roman;Times;serif" w:hAnsi="Times New Roman;Times;serif"/>
          <w:b/>
          <w:sz w:val="20"/>
        </w:rPr>
        <w:t>Item 6 – Exhibits</w:t>
      </w:r>
    </w:p>
    <w:tbl>
      <w:tblPr>
        <w:tblW w:w="10205" w:type="dxa"/>
        <w:jc w:val="left"/>
        <w:tblInd w:w="0" w:type="dxa"/>
        <w:tblLayout w:type="fixed"/>
        <w:tblCellMar>
          <w:top w:w="0" w:type="dxa"/>
          <w:left w:w="0" w:type="dxa"/>
          <w:bottom w:w="0" w:type="dxa"/>
          <w:right w:w="0" w:type="dxa"/>
        </w:tblCellMar>
      </w:tblPr>
      <w:tblGrid>
        <w:gridCol w:w="946"/>
        <w:gridCol w:w="326"/>
        <w:gridCol w:w="8933"/>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2">
                      <wp:simplePos x="0" y="0"/>
                      <wp:positionH relativeFrom="character">
                        <wp:align>left</wp:align>
                      </wp:positionH>
                      <wp:positionV relativeFrom="line">
                        <wp:posOffset>635</wp:posOffset>
                      </wp:positionV>
                      <wp:extent cx="600710" cy="29210"/>
                      <wp:effectExtent l="0" t="0" r="0" b="0"/>
                      <wp:wrapNone/>
                      <wp:docPr id="1081" name="Frame1081"/>
                      <a:graphic xmlns:a="http://schemas.openxmlformats.org/drawingml/2006/main">
                        <a:graphicData uri="http://schemas.microsoft.com/office/word/2010/wordprocessingShape">
                          <wps:wsp>
                            <wps:cNvSpPr txBox="1"/>
                            <wps:spPr>
                              <a:xfrm>
                                <a:off x="0" y="0"/>
                                <a:ext cx="600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3">
                      <wp:simplePos x="0" y="0"/>
                      <wp:positionH relativeFrom="character">
                        <wp:align>left</wp:align>
                      </wp:positionH>
                      <wp:positionV relativeFrom="line">
                        <wp:posOffset>635</wp:posOffset>
                      </wp:positionV>
                      <wp:extent cx="207010" cy="29210"/>
                      <wp:effectExtent l="0" t="0" r="0" b="0"/>
                      <wp:wrapNone/>
                      <wp:docPr id="1082" name="Frame108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4">
                      <wp:simplePos x="0" y="0"/>
                      <wp:positionH relativeFrom="character">
                        <wp:align>left</wp:align>
                      </wp:positionH>
                      <wp:positionV relativeFrom="line">
                        <wp:posOffset>635</wp:posOffset>
                      </wp:positionV>
                      <wp:extent cx="5672455" cy="29210"/>
                      <wp:effectExtent l="0" t="0" r="0" b="0"/>
                      <wp:wrapNone/>
                      <wp:docPr id="1083" name="Frame1083"/>
                      <a:graphic xmlns:a="http://schemas.openxmlformats.org/drawingml/2006/main">
                        <a:graphicData uri="http://schemas.microsoft.com/office/word/2010/wordprocessingShape">
                          <wps:wsp>
                            <wps:cNvSpPr txBox="1"/>
                            <wps:spPr>
                              <a:xfrm>
                                <a:off x="0" y="0"/>
                                <a:ext cx="56724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Third Amended and Restated Certificate of Incorporation of Alerus Financial Corporation (incorporated herein by reference to Exhibit 3.1 on Form S-1 filed on August 16, 2019).</w:t>
              </w:r>
            </w:hyperlink>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Bylaws of Alerus Financial Corporation (incorporated herein by reference to Exhibit 3.2 on Form S-1 filed on August 16, 2019).</w:t>
              </w:r>
            </w:hyperlink>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Executive Severance Agreement by and between Alerus Financial Corporation and Forrest Wilson, dated February 26, 2024 (incorporated by reference to Exhibit 10.32 on Form 10-K filed on March 8, 2024)</w:t>
              </w:r>
            </w:hyperlink>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933" w:type="dxa"/>
            <w:tcBorders/>
            <w:vAlign w:val="center"/>
          </w:tcPr>
          <w:p>
            <w:pPr>
              <w:pStyle w:val="TableContents"/>
              <w:bidi w:val="0"/>
              <w:spacing w:before="0" w:after="0"/>
              <w:ind w:left="0" w:right="0" w:hanging="0"/>
              <w:jc w:val="left"/>
              <w:rPr/>
            </w:pPr>
            <w:hyperlink w:anchor="alrs-20240331xex31d1.htm">
              <w:r>
                <w:rPr>
                  <w:rStyle w:val="InternetLink"/>
                  <w:rFonts w:ascii="Times New Roman;Times;serif" w:hAnsi="Times New Roman;Times;serif"/>
                  <w:b w:val="false"/>
                  <w:i w:val="false"/>
                  <w:caps w:val="false"/>
                  <w:smallCaps w:val="false"/>
                  <w:sz w:val="20"/>
                </w:rPr>
                <w:t>Chief Executive Officer</w:t>
              </w:r>
            </w:hyperlink>
            <w:hyperlink w:anchor="alrs-20240331xex31d1.htm">
              <w:r>
                <w:rPr>
                  <w:rStyle w:val="InternetLink"/>
                  <w:rFonts w:ascii="Times New Roman;Times;serif" w:hAnsi="Times New Roman;Times;serif"/>
                  <w:caps w:val="false"/>
                  <w:smallCaps w:val="false"/>
                  <w:sz w:val="20"/>
                </w:rPr>
                <w:t>’</w:t>
              </w:r>
            </w:hyperlink>
            <w:hyperlink w:anchor="alrs-20240331xex31d1.htm">
              <w:r>
                <w:rPr>
                  <w:rStyle w:val="InternetLink"/>
                  <w:rFonts w:ascii="Times New Roman;Times;serif" w:hAnsi="Times New Roman;Times;serif"/>
                  <w:b w:val="false"/>
                  <w:i w:val="false"/>
                  <w:caps w:val="false"/>
                  <w:smallCaps w:val="false"/>
                  <w:sz w:val="20"/>
                </w:rPr>
                <w:t>s Certifications required by Rule</w:t>
              </w:r>
            </w:hyperlink>
            <w:hyperlink w:anchor="alrs-20240331xex31d1.htm">
              <w:r>
                <w:rPr>
                  <w:rStyle w:val="InternetLink"/>
                  <w:rFonts w:ascii="Times New Roman;Times;serif" w:hAnsi="Times New Roman;Times;serif"/>
                  <w:caps w:val="false"/>
                  <w:smallCaps w:val="false"/>
                  <w:sz w:val="20"/>
                </w:rPr>
                <w:t> </w:t>
              </w:r>
            </w:hyperlink>
            <w:hyperlink w:anchor="alrs-20240331xex31d1.htm">
              <w:r>
                <w:rPr>
                  <w:rStyle w:val="InternetLink"/>
                  <w:rFonts w:ascii="Times New Roman;Times;serif" w:hAnsi="Times New Roman;Times;serif"/>
                  <w:b w:val="false"/>
                  <w:i w:val="false"/>
                  <w:caps w:val="false"/>
                  <w:smallCaps w:val="false"/>
                  <w:sz w:val="20"/>
                </w:rPr>
                <w:t>13(a)-14(a)</w:t>
              </w:r>
            </w:hyperlink>
            <w:hyperlink w:anchor="alrs-20240331xex31d1.htm">
              <w:r>
                <w:rPr>
                  <w:rStyle w:val="InternetLink"/>
                  <w:rFonts w:ascii="Times New Roman;Times;serif" w:hAnsi="Times New Roman;Times;serif"/>
                  <w:caps w:val="false"/>
                  <w:smallCaps w:val="false"/>
                  <w:sz w:val="20"/>
                </w:rPr>
                <w:t xml:space="preserve"> – </w:t>
              </w:r>
            </w:hyperlink>
            <w:hyperlink w:anchor="alrs-20240331xex31d1.htm">
              <w:r>
                <w:rPr>
                  <w:rStyle w:val="InternetLink"/>
                  <w:rFonts w:ascii="Times New Roman;Times;serif" w:hAnsi="Times New Roman;Times;serif"/>
                  <w:b w:val="false"/>
                  <w:i w:val="false"/>
                  <w:caps w:val="false"/>
                  <w:smallCaps w:val="false"/>
                  <w:sz w:val="20"/>
                </w:rPr>
                <w:t>filed herewith.</w:t>
              </w:r>
            </w:hyperlink>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933"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933" w:type="dxa"/>
            <w:tcBorders/>
            <w:vAlign w:val="center"/>
          </w:tcPr>
          <w:p>
            <w:pPr>
              <w:pStyle w:val="TableContents"/>
              <w:bidi w:val="0"/>
              <w:spacing w:before="0" w:after="0"/>
              <w:ind w:left="0" w:right="0" w:hanging="0"/>
              <w:jc w:val="left"/>
              <w:rPr/>
            </w:pPr>
            <w:hyperlink w:anchor="alrs-20240331xex31d2.htm">
              <w:r>
                <w:rPr>
                  <w:rStyle w:val="InternetLink"/>
                  <w:rFonts w:ascii="Times New Roman;Times;serif" w:hAnsi="Times New Roman;Times;serif"/>
                  <w:b w:val="false"/>
                  <w:i w:val="false"/>
                  <w:caps w:val="false"/>
                  <w:smallCaps w:val="false"/>
                  <w:sz w:val="20"/>
                </w:rPr>
                <w:t>Chief Financial Officer</w:t>
              </w:r>
            </w:hyperlink>
            <w:hyperlink w:anchor="alrs-20240331xex31d2.htm">
              <w:r>
                <w:rPr>
                  <w:rStyle w:val="InternetLink"/>
                  <w:rFonts w:ascii="Times New Roman;Times;serif" w:hAnsi="Times New Roman;Times;serif"/>
                  <w:caps w:val="false"/>
                  <w:smallCaps w:val="false"/>
                  <w:sz w:val="20"/>
                </w:rPr>
                <w:t>’</w:t>
              </w:r>
            </w:hyperlink>
            <w:hyperlink w:anchor="alrs-20240331xex31d2.htm">
              <w:r>
                <w:rPr>
                  <w:rStyle w:val="InternetLink"/>
                  <w:rFonts w:ascii="Times New Roman;Times;serif" w:hAnsi="Times New Roman;Times;serif"/>
                  <w:b w:val="false"/>
                  <w:i w:val="false"/>
                  <w:caps w:val="false"/>
                  <w:smallCaps w:val="false"/>
                  <w:sz w:val="20"/>
                </w:rPr>
                <w:t>s Certifications required by Rule</w:t>
              </w:r>
            </w:hyperlink>
            <w:hyperlink w:anchor="alrs-20240331xex31d2.htm">
              <w:r>
                <w:rPr>
                  <w:rStyle w:val="InternetLink"/>
                  <w:rFonts w:ascii="Times New Roman;Times;serif" w:hAnsi="Times New Roman;Times;serif"/>
                  <w:caps w:val="false"/>
                  <w:smallCaps w:val="false"/>
                  <w:sz w:val="20"/>
                </w:rPr>
                <w:t> </w:t>
              </w:r>
            </w:hyperlink>
            <w:hyperlink w:anchor="alrs-20240331xex31d2.htm">
              <w:r>
                <w:rPr>
                  <w:rStyle w:val="InternetLink"/>
                  <w:rFonts w:ascii="Times New Roman;Times;serif" w:hAnsi="Times New Roman;Times;serif"/>
                  <w:b w:val="false"/>
                  <w:i w:val="false"/>
                  <w:caps w:val="false"/>
                  <w:smallCaps w:val="false"/>
                  <w:sz w:val="20"/>
                </w:rPr>
                <w:t>13(a)-14(a)</w:t>
              </w:r>
            </w:hyperlink>
            <w:hyperlink w:anchor="alrs-20240331xex31d2.htm">
              <w:r>
                <w:rPr>
                  <w:rStyle w:val="InternetLink"/>
                  <w:rFonts w:ascii="Times New Roman;Times;serif" w:hAnsi="Times New Roman;Times;serif"/>
                  <w:caps w:val="false"/>
                  <w:smallCaps w:val="false"/>
                  <w:sz w:val="20"/>
                </w:rPr>
                <w:t xml:space="preserve"> – </w:t>
              </w:r>
            </w:hyperlink>
            <w:hyperlink w:anchor="alrs-20240331xex31d2.htm">
              <w:r>
                <w:rPr>
                  <w:rStyle w:val="InternetLink"/>
                  <w:rFonts w:ascii="Times New Roman;Times;serif" w:hAnsi="Times New Roman;Times;serif"/>
                  <w:b w:val="false"/>
                  <w:i w:val="false"/>
                  <w:caps w:val="false"/>
                  <w:smallCaps w:val="false"/>
                  <w:sz w:val="20"/>
                </w:rPr>
                <w:t>filed herewith.</w:t>
              </w:r>
            </w:hyperlink>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933"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933" w:type="dxa"/>
            <w:tcBorders/>
            <w:vAlign w:val="center"/>
          </w:tcPr>
          <w:p>
            <w:pPr>
              <w:pStyle w:val="TableContents"/>
              <w:bidi w:val="0"/>
              <w:spacing w:before="0" w:after="0"/>
              <w:ind w:left="0" w:right="0" w:hanging="0"/>
              <w:jc w:val="left"/>
              <w:rPr/>
            </w:pPr>
            <w:hyperlink w:anchor="alrs-20240331xex32d1.htm">
              <w:r>
                <w:rPr>
                  <w:rStyle w:val="InternetLink"/>
                  <w:rFonts w:ascii="Times New Roman;Times;serif" w:hAnsi="Times New Roman;Times;serif"/>
                  <w:b w:val="false"/>
                  <w:i w:val="false"/>
                  <w:caps w:val="false"/>
                  <w:smallCaps w:val="false"/>
                  <w:sz w:val="20"/>
                </w:rPr>
                <w:t>Chief Executive Officer Certifications pursuant to 18 U.S.C. Section</w:t>
              </w:r>
            </w:hyperlink>
            <w:hyperlink w:anchor="alrs-20240331xex32d1.htm">
              <w:r>
                <w:rPr>
                  <w:rStyle w:val="InternetLink"/>
                  <w:rFonts w:ascii="Times New Roman;Times;serif" w:hAnsi="Times New Roman;Times;serif"/>
                  <w:caps w:val="false"/>
                  <w:smallCaps w:val="false"/>
                  <w:sz w:val="20"/>
                </w:rPr>
                <w:t> </w:t>
              </w:r>
            </w:hyperlink>
            <w:hyperlink w:anchor="alrs-20240331xex32d1.htm">
              <w:r>
                <w:rPr>
                  <w:rStyle w:val="InternetLink"/>
                  <w:rFonts w:ascii="Times New Roman;Times;serif" w:hAnsi="Times New Roman;Times;serif"/>
                  <w:b w:val="false"/>
                  <w:i w:val="false"/>
                  <w:caps w:val="false"/>
                  <w:smallCaps w:val="false"/>
                  <w:sz w:val="20"/>
                </w:rPr>
                <w:t>1350, as adopted pursuant to Section</w:t>
              </w:r>
            </w:hyperlink>
            <w:hyperlink w:anchor="alrs-20240331xex32d1.htm">
              <w:r>
                <w:rPr>
                  <w:rStyle w:val="InternetLink"/>
                  <w:rFonts w:ascii="Times New Roman;Times;serif" w:hAnsi="Times New Roman;Times;serif"/>
                  <w:caps w:val="false"/>
                  <w:smallCaps w:val="false"/>
                  <w:sz w:val="20"/>
                </w:rPr>
                <w:t> </w:t>
              </w:r>
            </w:hyperlink>
            <w:hyperlink w:anchor="alrs-20240331xex32d1.htm">
              <w:r>
                <w:rPr>
                  <w:rStyle w:val="InternetLink"/>
                  <w:rFonts w:ascii="Times New Roman;Times;serif" w:hAnsi="Times New Roman;Times;serif"/>
                  <w:b w:val="false"/>
                  <w:i w:val="false"/>
                  <w:caps w:val="false"/>
                  <w:smallCaps w:val="false"/>
                  <w:sz w:val="20"/>
                </w:rPr>
                <w:t>906 of the Sarbanes-Oxley Act of 2002</w:t>
              </w:r>
            </w:hyperlink>
            <w:hyperlink w:anchor="alrs-20240331xex32d1.htm">
              <w:r>
                <w:rPr>
                  <w:rStyle w:val="InternetLink"/>
                  <w:rFonts w:ascii="Times New Roman;Times;serif" w:hAnsi="Times New Roman;Times;serif"/>
                  <w:caps w:val="false"/>
                  <w:smallCaps w:val="false"/>
                  <w:sz w:val="20"/>
                </w:rPr>
                <w:t xml:space="preserve"> – </w:t>
              </w:r>
            </w:hyperlink>
            <w:hyperlink w:anchor="alrs-20240331xex32d1.htm">
              <w:r>
                <w:rPr>
                  <w:rStyle w:val="InternetLink"/>
                  <w:rFonts w:ascii="Times New Roman;Times;serif" w:hAnsi="Times New Roman;Times;serif"/>
                  <w:b w:val="false"/>
                  <w:i w:val="false"/>
                  <w:caps w:val="false"/>
                  <w:smallCaps w:val="false"/>
                  <w:sz w:val="20"/>
                </w:rPr>
                <w:t>filed herewith.</w:t>
              </w:r>
            </w:hyperlink>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933"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933" w:type="dxa"/>
            <w:tcBorders/>
            <w:vAlign w:val="center"/>
          </w:tcPr>
          <w:p>
            <w:pPr>
              <w:pStyle w:val="TableContents"/>
              <w:bidi w:val="0"/>
              <w:spacing w:before="0" w:after="0"/>
              <w:ind w:left="0" w:right="0" w:hanging="0"/>
              <w:jc w:val="left"/>
              <w:rPr/>
            </w:pPr>
            <w:hyperlink w:anchor="alrs-20240331xex32d2.htm">
              <w:r>
                <w:rPr>
                  <w:rStyle w:val="InternetLink"/>
                  <w:rFonts w:ascii="Times New Roman;Times;serif" w:hAnsi="Times New Roman;Times;serif"/>
                  <w:b w:val="false"/>
                  <w:i w:val="false"/>
                  <w:caps w:val="false"/>
                  <w:smallCaps w:val="false"/>
                  <w:sz w:val="20"/>
                </w:rPr>
                <w:t>Chief Financial Officer Certifications pursuant to 18 U.S.C. Section</w:t>
              </w:r>
            </w:hyperlink>
            <w:hyperlink w:anchor="alrs-20240331xex32d2.htm">
              <w:r>
                <w:rPr>
                  <w:rStyle w:val="InternetLink"/>
                  <w:rFonts w:ascii="Times New Roman;Times;serif" w:hAnsi="Times New Roman;Times;serif"/>
                  <w:caps w:val="false"/>
                  <w:smallCaps w:val="false"/>
                  <w:sz w:val="20"/>
                </w:rPr>
                <w:t> </w:t>
              </w:r>
            </w:hyperlink>
            <w:hyperlink w:anchor="alrs-20240331xex32d2.htm">
              <w:r>
                <w:rPr>
                  <w:rStyle w:val="InternetLink"/>
                  <w:rFonts w:ascii="Times New Roman;Times;serif" w:hAnsi="Times New Roman;Times;serif"/>
                  <w:b w:val="false"/>
                  <w:i w:val="false"/>
                  <w:caps w:val="false"/>
                  <w:smallCaps w:val="false"/>
                  <w:sz w:val="20"/>
                </w:rPr>
                <w:t>1350, as adopted pursuant to Section</w:t>
              </w:r>
            </w:hyperlink>
            <w:hyperlink w:anchor="alrs-20240331xex32d2.htm">
              <w:r>
                <w:rPr>
                  <w:rStyle w:val="InternetLink"/>
                  <w:rFonts w:ascii="Times New Roman;Times;serif" w:hAnsi="Times New Roman;Times;serif"/>
                  <w:caps w:val="false"/>
                  <w:smallCaps w:val="false"/>
                  <w:sz w:val="20"/>
                </w:rPr>
                <w:t> </w:t>
              </w:r>
            </w:hyperlink>
            <w:hyperlink w:anchor="alrs-20240331xex32d2.htm">
              <w:r>
                <w:rPr>
                  <w:rStyle w:val="InternetLink"/>
                  <w:rFonts w:ascii="Times New Roman;Times;serif" w:hAnsi="Times New Roman;Times;serif"/>
                  <w:b w:val="false"/>
                  <w:i w:val="false"/>
                  <w:caps w:val="false"/>
                  <w:smallCaps w:val="false"/>
                  <w:sz w:val="20"/>
                </w:rPr>
                <w:t>906 of the Sarbanes-Oxley Act of 2002</w:t>
              </w:r>
            </w:hyperlink>
            <w:hyperlink w:anchor="alrs-20240331xex32d2.htm">
              <w:r>
                <w:rPr>
                  <w:rStyle w:val="InternetLink"/>
                  <w:rFonts w:ascii="Times New Roman;Times;serif" w:hAnsi="Times New Roman;Times;serif"/>
                  <w:caps w:val="false"/>
                  <w:smallCaps w:val="false"/>
                  <w:sz w:val="20"/>
                </w:rPr>
                <w:t xml:space="preserve"> – </w:t>
              </w:r>
            </w:hyperlink>
            <w:hyperlink w:anchor="alrs-20240331xex32d2.htm">
              <w:r>
                <w:rPr>
                  <w:rStyle w:val="InternetLink"/>
                  <w:rFonts w:ascii="Times New Roman;Times;serif" w:hAnsi="Times New Roman;Times;serif"/>
                  <w:b w:val="false"/>
                  <w:i w:val="false"/>
                  <w:caps w:val="false"/>
                  <w:smallCaps w:val="false"/>
                  <w:sz w:val="20"/>
                </w:rPr>
                <w:t>filed herewith.</w:t>
              </w:r>
            </w:hyperlink>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iXBRL Instance Document</w:t>
            </w:r>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iXBRL Taxonomy Extension Schema</w:t>
            </w:r>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iXBRL Taxonomy Extension Calculation Linkbase</w:t>
            </w:r>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iXBRL Taxonomy Extension Definition Linkbase</w:t>
            </w:r>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iXBRL Taxonomy Extension Label Linkbase</w:t>
            </w:r>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iXBRL Taxonomy Extension Presentation Linkbase</w:t>
            </w:r>
          </w:p>
        </w:tc>
      </w:tr>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89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Inline XBRL and contained in Exhibits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016" w:name="SIGNATURES_407399"/>
      <w:bookmarkStart w:id="4017" w:name="_e1694710_617c_4d66_a5bb_a64db448994f"/>
      <w:bookmarkEnd w:id="4016"/>
      <w:bookmarkEnd w:id="4017"/>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9513" w:type="dxa"/>
        <w:jc w:val="left"/>
        <w:tblInd w:w="0" w:type="dxa"/>
        <w:tblLayout w:type="fixed"/>
        <w:tblCellMar>
          <w:top w:w="0" w:type="dxa"/>
          <w:left w:w="0" w:type="dxa"/>
          <w:bottom w:w="0" w:type="dxa"/>
          <w:right w:w="0" w:type="dxa"/>
        </w:tblCellMar>
      </w:tblPr>
      <w:tblGrid>
        <w:gridCol w:w="1636"/>
        <w:gridCol w:w="406"/>
        <w:gridCol w:w="7471"/>
      </w:tblGrid>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47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pBdr/>
              <w:bidi w:val="0"/>
              <w:spacing w:before="0" w:after="0"/>
              <w:ind w:left="0" w:right="0" w:hanging="0"/>
              <w:jc w:val="left"/>
              <w:rPr/>
            </w:pPr>
            <w:r>
              <w:rPr/>
              <w:t>​</w:t>
            </w:r>
          </w:p>
        </w:tc>
        <w:tc>
          <w:tcPr>
            <w:tcW w:w="78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ALERUS FINANCIAL CORPORATION</w:t>
            </w:r>
          </w:p>
        </w:tc>
      </w:tr>
      <w:tr>
        <w:trPr/>
        <w:tc>
          <w:tcPr>
            <w:tcW w:w="1636" w:type="dxa"/>
            <w:tcBorders/>
            <w:vAlign w:val="center"/>
          </w:tcPr>
          <w:p>
            <w:pPr>
              <w:pStyle w:val="TableContents"/>
              <w:pBdr/>
              <w:bidi w:val="0"/>
              <w:spacing w:before="0" w:after="0"/>
              <w:ind w:left="0" w:right="0" w:hanging="0"/>
              <w:jc w:val="left"/>
              <w:rPr/>
            </w:pPr>
            <w:r>
              <w:rPr/>
              <w:t>​</w:t>
            </w:r>
          </w:p>
        </w:tc>
        <w:tc>
          <w:tcPr>
            <w:tcW w:w="7877" w:type="dxa"/>
            <w:gridSpan w:val="2"/>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pBdr/>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Date: May 2, 2024</w:t>
            </w:r>
          </w:p>
        </w:tc>
        <w:tc>
          <w:tcPr>
            <w:tcW w:w="40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7471" w:type="dxa"/>
            <w:tcBorders>
              <w:bottom w:val="single" w:sz="8" w:space="0" w:color="000000"/>
            </w:tcBorders>
            <w:tcMar>
              <w:bottom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Katie A. Lorenson</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47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Katie A. Lorenson</w:t>
            </w:r>
          </w:p>
        </w:tc>
      </w:tr>
      <w:tr>
        <w:trPr/>
        <w:tc>
          <w:tcPr>
            <w:tcW w:w="163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Chief Executive Officer (Principal Executive Officer)</w:t>
            </w:r>
          </w:p>
        </w:tc>
      </w:tr>
      <w:tr>
        <w:trPr/>
        <w:tc>
          <w:tcPr>
            <w:tcW w:w="163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47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pBdr/>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Date: May 2, 2024</w:t>
            </w:r>
          </w:p>
        </w:tc>
        <w:tc>
          <w:tcPr>
            <w:tcW w:w="40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7471" w:type="dxa"/>
            <w:tcBorders>
              <w:bottom w:val="single" w:sz="2" w:space="0" w:color="000000"/>
            </w:tcBorders>
            <w:tcMar>
              <w:bottom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Alan A. Villalon</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4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Alan A. Villalon</w:t>
            </w:r>
          </w:p>
        </w:tc>
      </w:tr>
      <w:tr>
        <w:trPr/>
        <w:tc>
          <w:tcPr>
            <w:tcW w:w="1636"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Executive Vice President and Chief Financial Officer (Principal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200"/>
        <w:ind w:left="0" w:right="0" w:hanging="0"/>
        <w:jc w:val="right"/>
        <w:rPr>
          <w:rFonts w:ascii="Times New Roman;Times;serif" w:hAnsi="Times New Roman;Times;serif"/>
          <w:b/>
          <w:sz w:val="22"/>
        </w:rPr>
      </w:pPr>
      <w:bookmarkStart w:id="4018" w:name="alrs-20240331xex31d1.htm"/>
      <w:bookmarkStart w:id="4019" w:name="ksalrs20240331xex31d1"/>
      <w:bookmarkEnd w:id="4018"/>
      <w:bookmarkEnd w:id="4019"/>
      <w:r>
        <w:rPr>
          <w:rFonts w:ascii="Times New Roman;Times;serif" w:hAnsi="Times New Roman;Times;serif"/>
          <w:b/>
          <w:sz w:val="22"/>
        </w:rPr>
        <w:t>Exhibit 31.1</w:t>
      </w:r>
      <w:r>
        <w:br w:type="page"/>
      </w:r>
    </w:p>
    <w:p>
      <w:pPr>
        <w:pStyle w:val="TextBody"/>
        <w:bidi w:val="0"/>
        <w:spacing w:before="0" w:after="200"/>
        <w:ind w:left="0" w:right="0" w:hanging="0"/>
        <w:jc w:val="center"/>
        <w:rPr>
          <w:rFonts w:ascii="Times New Roman;Times;serif" w:hAnsi="Times New Roman;Times;serif"/>
          <w:b/>
          <w:sz w:val="22"/>
        </w:rPr>
      </w:pPr>
      <w:r>
        <w:rPr>
          <w:rFonts w:ascii="Times New Roman;Times;serif" w:hAnsi="Times New Roman;Times;serif"/>
          <w:b/>
          <w:sz w:val="22"/>
        </w:rPr>
        <w:t>Certification of Chief Executive Officer Pursuant to Exchange Act Rule 13a-14(a)/15d-14(a) as</w:t>
        <w:br/>
        <w:t>Adopted Pursuant to</w:t>
        <w:br/>
        <w:t>Section 302 of the Sarbanes-Oxley Act of 2002</w:t>
      </w:r>
    </w:p>
    <w:p>
      <w:pPr>
        <w:pStyle w:val="TextBody"/>
        <w:bidi w:val="0"/>
        <w:spacing w:before="0" w:after="200"/>
        <w:ind w:left="0" w:right="0" w:hanging="0"/>
        <w:jc w:val="both"/>
        <w:rPr>
          <w:rFonts w:ascii="Times New Roman;Times;serif" w:hAnsi="Times New Roman;Times;serif"/>
          <w:sz w:val="22"/>
        </w:rPr>
      </w:pPr>
      <w:r>
        <w:rPr>
          <w:rFonts w:ascii="Times New Roman;Times;serif" w:hAnsi="Times New Roman;Times;serif"/>
          <w:sz w:val="22"/>
        </w:rPr>
        <w:t>I, Katie A. Lorenson, certify that:</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 have reviewed this Quarterly Report on Form 10-Q (the “Report”) of Alerus Financial Corporation (the “Registrant”);</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10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w:t>
            </w:r>
          </w:p>
        </w:tc>
        <w:tc>
          <w:tcPr>
            <w:tcW w:w="100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4.</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100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60"/>
        <w:gridCol w:w="10022"/>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100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10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w:t>
            </w:r>
          </w:p>
        </w:tc>
        <w:tc>
          <w:tcPr>
            <w:tcW w:w="10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5.</w:t>
            </w:r>
          </w:p>
        </w:tc>
        <w:tc>
          <w:tcPr>
            <w:tcW w:w="100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3"/>
        <w:gridCol w:w="10029"/>
      </w:tblGrid>
      <w:tr>
        <w:trP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100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Any fraud, whether or not material, that involves management or other employees who have a significant role in the Registrant’s internal control over financial reporting.</w:t>
            </w:r>
          </w:p>
        </w:tc>
      </w:tr>
    </w:tbl>
    <w:tbl>
      <w:tblPr>
        <w:tblW w:w="5012" w:type="dxa"/>
        <w:jc w:val="center"/>
        <w:tblInd w:w="0" w:type="dxa"/>
        <w:tblLayout w:type="fixed"/>
        <w:tblCellMar>
          <w:top w:w="0" w:type="dxa"/>
          <w:left w:w="0" w:type="dxa"/>
          <w:bottom w:w="0" w:type="dxa"/>
          <w:right w:w="0" w:type="dxa"/>
        </w:tblCellMar>
      </w:tblPr>
      <w:tblGrid>
        <w:gridCol w:w="1321"/>
        <w:gridCol w:w="3691"/>
      </w:tblGrid>
      <w:tr>
        <w:trPr/>
        <w:tc>
          <w:tcPr>
            <w:tcW w:w="1321" w:type="dxa"/>
            <w:tcBorders/>
            <w:vAlign w:val="center"/>
          </w:tcPr>
          <w:p>
            <w:pPr>
              <w:pStyle w:val="TableContents"/>
              <w:bidi w:val="0"/>
              <w:spacing w:before="0" w:after="0"/>
              <w:ind w:left="0" w:right="0" w:hanging="0"/>
              <w:jc w:val="left"/>
              <w:rPr/>
            </w:pPr>
            <w:r>
              <w:rPr/>
              <w:t>​</w:t>
            </w:r>
          </w:p>
        </w:tc>
        <w:tc>
          <w:tcPr>
            <w:tcW w:w="3691" w:type="dxa"/>
            <w:tcBorders/>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69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Alerus Financial Corporation</w:t>
            </w:r>
          </w:p>
        </w:tc>
      </w:tr>
      <w:tr>
        <w:trPr/>
        <w:tc>
          <w:tcPr>
            <w:tcW w:w="1321" w:type="dxa"/>
            <w:tcBorders/>
            <w:vAlign w:val="center"/>
          </w:tcPr>
          <w:p>
            <w:pPr>
              <w:pStyle w:val="TableContents"/>
              <w:bidi w:val="0"/>
              <w:spacing w:before="0" w:after="0"/>
              <w:ind w:left="0" w:right="0" w:hanging="0"/>
              <w:jc w:val="left"/>
              <w:rPr/>
            </w:pPr>
            <w:r>
              <w:rPr/>
              <w:t>​</w:t>
            </w:r>
          </w:p>
        </w:tc>
        <w:tc>
          <w:tcPr>
            <w:tcW w:w="3691" w:type="dxa"/>
            <w:tcBorders/>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May 2, 2024</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Katie A. Lorenson</w:t>
            </w:r>
          </w:p>
        </w:tc>
      </w:tr>
      <w:tr>
        <w:trPr/>
        <w:tc>
          <w:tcPr>
            <w:tcW w:w="1321" w:type="dxa"/>
            <w:tcBorders/>
            <w:vAlign w:val="center"/>
          </w:tcPr>
          <w:p>
            <w:pPr>
              <w:pStyle w:val="TableContents"/>
              <w:bidi w:val="0"/>
              <w:spacing w:before="0" w:after="200"/>
              <w:ind w:left="0" w:right="0" w:hanging="0"/>
              <w:jc w:val="left"/>
              <w:rPr/>
            </w:pPr>
            <w:r>
              <w:rPr/>
              <w:t>​</w:t>
            </w:r>
          </w:p>
        </w:tc>
        <w:tc>
          <w:tcPr>
            <w:tcW w:w="36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Katie A. Lorenson</w:t>
              <w:br/>
              <w:t>President and Chief Executive Officer</w:t>
              <w:b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2"/>
        </w:rPr>
      </w:pPr>
      <w:bookmarkStart w:id="4020" w:name="alrs-20240331xex31d2.htm"/>
      <w:bookmarkStart w:id="4021" w:name="ksalrs20240331xex31d2"/>
      <w:bookmarkEnd w:id="4020"/>
      <w:bookmarkEnd w:id="4021"/>
      <w:r>
        <w:rPr>
          <w:rFonts w:ascii="Times New Roman;Times;serif" w:hAnsi="Times New Roman;Times;serif"/>
          <w:b/>
          <w:sz w:val="22"/>
        </w:rPr>
        <w:t>Exhibit 31.2</w:t>
      </w:r>
      <w:r>
        <w:br w:type="page"/>
      </w:r>
    </w:p>
    <w:p>
      <w:pPr>
        <w:pStyle w:val="TextBody"/>
        <w:bidi w:val="0"/>
        <w:spacing w:before="0" w:after="200"/>
        <w:ind w:left="0" w:right="0" w:hanging="0"/>
        <w:jc w:val="center"/>
        <w:rPr>
          <w:rFonts w:ascii="Times New Roman;Times;serif" w:hAnsi="Times New Roman;Times;serif"/>
          <w:b/>
          <w:sz w:val="22"/>
        </w:rPr>
      </w:pPr>
      <w:r>
        <w:rPr>
          <w:rFonts w:ascii="Times New Roman;Times;serif" w:hAnsi="Times New Roman;Times;serif"/>
          <w:b/>
          <w:sz w:val="22"/>
        </w:rPr>
        <w:t>Certification of Chief Financial Officer Pursuant to Exchange Act Rule 13a-14(a)/15d-14(a) as</w:t>
        <w:br/>
        <w:t>Adopted Pursuant to</w:t>
        <w:br/>
        <w:t>Section 302 of the Sarbanes-Oxley Act of 2002</w:t>
      </w:r>
    </w:p>
    <w:p>
      <w:pPr>
        <w:pStyle w:val="TextBody"/>
        <w:bidi w:val="0"/>
        <w:spacing w:before="0" w:after="200"/>
        <w:ind w:left="0" w:right="0" w:hanging="0"/>
        <w:jc w:val="both"/>
        <w:rPr>
          <w:rFonts w:ascii="Times New Roman;Times;serif" w:hAnsi="Times New Roman;Times;serif"/>
          <w:sz w:val="22"/>
        </w:rPr>
      </w:pPr>
      <w:r>
        <w:rPr>
          <w:rFonts w:ascii="Times New Roman;Times;serif" w:hAnsi="Times New Roman;Times;serif"/>
          <w:sz w:val="22"/>
        </w:rPr>
        <w:t>I, Alan A. Villalon, certify that:</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 have reviewed this Quarterly Report on Form 10-Q (the “Report”) of Alerus Financial Corporation (the “Registrant”);</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10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w:t>
            </w:r>
          </w:p>
        </w:tc>
        <w:tc>
          <w:tcPr>
            <w:tcW w:w="100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4.</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100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60"/>
        <w:gridCol w:w="10022"/>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100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10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w:t>
            </w:r>
          </w:p>
        </w:tc>
        <w:tc>
          <w:tcPr>
            <w:tcW w:w="10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5.</w:t>
            </w:r>
          </w:p>
        </w:tc>
        <w:tc>
          <w:tcPr>
            <w:tcW w:w="100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3"/>
        <w:gridCol w:w="10029"/>
      </w:tblGrid>
      <w:tr>
        <w:trP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100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Any fraud, whether or not material, that involves management or other employees who have a significant role in the Registrant’s internal control over financial reporting.</w:t>
            </w:r>
          </w:p>
        </w:tc>
      </w:tr>
    </w:tbl>
    <w:tbl>
      <w:tblPr>
        <w:tblW w:w="6422" w:type="dxa"/>
        <w:jc w:val="center"/>
        <w:tblInd w:w="0" w:type="dxa"/>
        <w:tblLayout w:type="fixed"/>
        <w:tblCellMar>
          <w:top w:w="0" w:type="dxa"/>
          <w:left w:w="0" w:type="dxa"/>
          <w:bottom w:w="0" w:type="dxa"/>
          <w:right w:w="0" w:type="dxa"/>
        </w:tblCellMar>
      </w:tblPr>
      <w:tblGrid>
        <w:gridCol w:w="1321"/>
        <w:gridCol w:w="5101"/>
      </w:tblGrid>
      <w:tr>
        <w:trPr/>
        <w:tc>
          <w:tcPr>
            <w:tcW w:w="1321"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Alerus Financial Corporation</w:t>
            </w:r>
          </w:p>
        </w:tc>
      </w:tr>
      <w:tr>
        <w:trPr/>
        <w:tc>
          <w:tcPr>
            <w:tcW w:w="1321"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May 2, 2024</w:t>
            </w:r>
          </w:p>
        </w:tc>
        <w:tc>
          <w:tcPr>
            <w:tcW w:w="51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Alan A. Villalon</w:t>
            </w:r>
          </w:p>
        </w:tc>
      </w:tr>
      <w:tr>
        <w:trPr/>
        <w:tc>
          <w:tcPr>
            <w:tcW w:w="1321" w:type="dxa"/>
            <w:tcBorders/>
            <w:vAlign w:val="center"/>
          </w:tcPr>
          <w:p>
            <w:pPr>
              <w:pStyle w:val="TableContents"/>
              <w:bidi w:val="0"/>
              <w:spacing w:before="0" w:after="200"/>
              <w:ind w:left="0" w:right="0" w:hanging="0"/>
              <w:jc w:val="left"/>
              <w:rPr/>
            </w:pPr>
            <w:r>
              <w:rPr/>
              <w:t>​</w:t>
            </w:r>
          </w:p>
        </w:tc>
        <w:tc>
          <w:tcPr>
            <w:tcW w:w="51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Alan A. Villalon</w:t>
              <w:br/>
              <w:t>Executive Vice President and Chief Financial Officer</w:t>
              <w:b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2"/>
        </w:rPr>
      </w:pPr>
      <w:bookmarkStart w:id="4022" w:name="alrs-20240331xex32d1.htm"/>
      <w:bookmarkStart w:id="4023" w:name="ksalrs20240331xex32d1"/>
      <w:bookmarkEnd w:id="4022"/>
      <w:bookmarkEnd w:id="4023"/>
      <w:r>
        <w:rPr>
          <w:rFonts w:ascii="Times New Roman;Times;serif" w:hAnsi="Times New Roman;Times;serif"/>
          <w:b/>
          <w:sz w:val="22"/>
        </w:rPr>
        <w:t>Exhibit 32.1</w:t>
      </w:r>
      <w:r>
        <w:br w:type="page"/>
      </w:r>
    </w:p>
    <w:p>
      <w:pPr>
        <w:pStyle w:val="TextBody"/>
        <w:bidi w:val="0"/>
        <w:spacing w:before="0" w:after="200"/>
        <w:ind w:left="0" w:right="0" w:hanging="0"/>
        <w:jc w:val="center"/>
        <w:rPr>
          <w:rFonts w:ascii="Times New Roman;Times;serif" w:hAnsi="Times New Roman;Times;serif"/>
          <w:b/>
          <w:sz w:val="22"/>
        </w:rPr>
      </w:pPr>
      <w:r>
        <w:rPr>
          <w:rFonts w:ascii="Times New Roman;Times;serif" w:hAnsi="Times New Roman;Times;serif"/>
          <w:b/>
          <w:sz w:val="22"/>
        </w:rPr>
        <w:t>Certification of Chief Executive Officer</w:t>
        <w:br/>
        <w:t>Pursuant to 18 U.S.C. Section 1350 as Adopted</w:t>
        <w:br/>
        <w:t>Pursuant to Section 906 of the Sarbanes-Oxley Act of 2002</w:t>
      </w:r>
    </w:p>
    <w:p>
      <w:pPr>
        <w:pStyle w:val="TextBody"/>
        <w:bidi w:val="0"/>
        <w:spacing w:before="0" w:after="200"/>
        <w:ind w:left="0" w:right="0" w:hanging="0"/>
        <w:jc w:val="both"/>
        <w:rPr>
          <w:rFonts w:ascii="Times New Roman;Times;serif" w:hAnsi="Times New Roman;Times;serif"/>
          <w:sz w:val="22"/>
        </w:rPr>
      </w:pPr>
      <w:r>
        <w:rPr>
          <w:rFonts w:ascii="Times New Roman;Times;serif" w:hAnsi="Times New Roman;Times;serif"/>
          <w:sz w:val="22"/>
        </w:rPr>
        <w:t>I, Katie A. Lorenson, President and Chief Executive Officer of Alerus Financial Corporation (the “Company”) hereby certify, pursuant to 18 U.S.C. Section 1350, as adopted pursuant to Section 906 of the Sarbanes-Oxley Act of 2002, that to my knowledge:</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99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Quarterly Report on Form 10-Q of the Company for the quarterly period ended March 31, 2024 (the “Report”) fully complies with the requirements of Sections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information contained in the Report fairly presents, in all material respects, the financial condition and results of operations of the Company.</w:t>
            </w:r>
          </w:p>
        </w:tc>
      </w:tr>
    </w:tbl>
    <w:tbl>
      <w:tblPr>
        <w:tblW w:w="5072" w:type="dxa"/>
        <w:jc w:val="center"/>
        <w:tblInd w:w="0" w:type="dxa"/>
        <w:tblLayout w:type="fixed"/>
        <w:tblCellMar>
          <w:top w:w="0" w:type="dxa"/>
          <w:left w:w="0" w:type="dxa"/>
          <w:bottom w:w="0" w:type="dxa"/>
          <w:right w:w="0" w:type="dxa"/>
        </w:tblCellMar>
      </w:tblPr>
      <w:tblGrid>
        <w:gridCol w:w="1321"/>
        <w:gridCol w:w="3751"/>
      </w:tblGrid>
      <w:tr>
        <w:trPr/>
        <w:tc>
          <w:tcPr>
            <w:tcW w:w="1321"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Alerus Financial Corporation</w:t>
            </w:r>
          </w:p>
        </w:tc>
      </w:tr>
      <w:tr>
        <w:trPr/>
        <w:tc>
          <w:tcPr>
            <w:tcW w:w="1321"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May 2, 2024</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Katie A. Lorenson</w:t>
            </w:r>
          </w:p>
        </w:tc>
      </w:tr>
      <w:tr>
        <w:trPr/>
        <w:tc>
          <w:tcPr>
            <w:tcW w:w="1321" w:type="dxa"/>
            <w:tcBorders/>
            <w:vAlign w:val="center"/>
          </w:tcPr>
          <w:p>
            <w:pPr>
              <w:pStyle w:val="TableContents"/>
              <w:bidi w:val="0"/>
              <w:spacing w:before="0" w:after="200"/>
              <w:ind w:left="0" w:right="0" w:hanging="0"/>
              <w:jc w:val="left"/>
              <w:rPr/>
            </w:pPr>
            <w:r>
              <w:rPr/>
              <w:t>​</w:t>
            </w:r>
          </w:p>
        </w:tc>
        <w:tc>
          <w:tcPr>
            <w:tcW w:w="37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Katie A. Lorenson</w:t>
              <w:br/>
              <w:t xml:space="preserve">President and Chief Executive Officer </w:t>
              <w:b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2"/>
        </w:rPr>
      </w:pPr>
      <w:bookmarkStart w:id="4024" w:name="alrs-20240331xex32d2.htm"/>
      <w:bookmarkStart w:id="4025" w:name="ksalrs20240331xex32d2"/>
      <w:bookmarkEnd w:id="4024"/>
      <w:bookmarkEnd w:id="4025"/>
      <w:r>
        <w:rPr>
          <w:rFonts w:ascii="Times New Roman;Times;serif" w:hAnsi="Times New Roman;Times;serif"/>
          <w:b/>
          <w:sz w:val="22"/>
        </w:rPr>
        <w:t>Exhibit 32.2</w:t>
      </w:r>
      <w:r>
        <w:br w:type="page"/>
      </w:r>
    </w:p>
    <w:p>
      <w:pPr>
        <w:pStyle w:val="TextBody"/>
        <w:bidi w:val="0"/>
        <w:spacing w:before="0" w:after="200"/>
        <w:ind w:left="0" w:right="0" w:hanging="0"/>
        <w:jc w:val="center"/>
        <w:rPr>
          <w:rFonts w:ascii="Times New Roman;Times;serif" w:hAnsi="Times New Roman;Times;serif"/>
          <w:b/>
          <w:sz w:val="22"/>
        </w:rPr>
      </w:pPr>
      <w:r>
        <w:rPr>
          <w:rFonts w:ascii="Times New Roman;Times;serif" w:hAnsi="Times New Roman;Times;serif"/>
          <w:b/>
          <w:sz w:val="22"/>
        </w:rPr>
        <w:t>Certification of Chief Financial Officer</w:t>
        <w:br/>
        <w:t>Pursuant to 18 U.S.C. Section 1350 as Adopted</w:t>
        <w:br/>
        <w:t>Pursuant to Section 906 of the Sarbanes-Oxley Act of 2002</w:t>
      </w:r>
    </w:p>
    <w:p>
      <w:pPr>
        <w:pStyle w:val="TextBody"/>
        <w:bidi w:val="0"/>
        <w:spacing w:before="0" w:after="200"/>
        <w:ind w:left="0" w:right="0" w:hanging="0"/>
        <w:jc w:val="both"/>
        <w:rPr>
          <w:rFonts w:ascii="Times New Roman;Times;serif" w:hAnsi="Times New Roman;Times;serif"/>
          <w:sz w:val="22"/>
        </w:rPr>
      </w:pPr>
      <w:r>
        <w:rPr>
          <w:rFonts w:ascii="Times New Roman;Times;serif" w:hAnsi="Times New Roman;Times;serif"/>
          <w:sz w:val="22"/>
        </w:rPr>
        <w:t>I, Alan A. Villalon, Executive Vice President and Chief Financial Officer of Alerus Financial Corporation (the “Company”) hereby certify, pursuant to 18 U.S.C. Section 1350, as adopted pursuant to Section 906 of the Sarbanes-Oxley Act of 2002, that to my knowledge:</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99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Quarterly Report on Form 10-Q of the Company for the quarterly period ended March 31, 2024 (the “Report”) fully complies with the requirements of Sections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information contained in the Report fairly presents, in all material respects, the financial condition and results of operations of the Company.</w:t>
            </w:r>
          </w:p>
        </w:tc>
      </w:tr>
    </w:tbl>
    <w:tbl>
      <w:tblPr>
        <w:tblW w:w="6422" w:type="dxa"/>
        <w:jc w:val="center"/>
        <w:tblInd w:w="0" w:type="dxa"/>
        <w:tblLayout w:type="fixed"/>
        <w:tblCellMar>
          <w:top w:w="0" w:type="dxa"/>
          <w:left w:w="0" w:type="dxa"/>
          <w:bottom w:w="0" w:type="dxa"/>
          <w:right w:w="0" w:type="dxa"/>
        </w:tblCellMar>
      </w:tblPr>
      <w:tblGrid>
        <w:gridCol w:w="1321"/>
        <w:gridCol w:w="5101"/>
      </w:tblGrid>
      <w:tr>
        <w:trPr/>
        <w:tc>
          <w:tcPr>
            <w:tcW w:w="1321"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Alerus Financial Corporation</w:t>
            </w:r>
          </w:p>
        </w:tc>
      </w:tr>
      <w:tr>
        <w:trPr/>
        <w:tc>
          <w:tcPr>
            <w:tcW w:w="1321"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pPr>
            <w:r>
              <w:rPr/>
              <w:t>​</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May 2, 2024</w:t>
            </w:r>
          </w:p>
        </w:tc>
        <w:tc>
          <w:tcPr>
            <w:tcW w:w="51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Alan A. Villalon</w:t>
            </w:r>
          </w:p>
        </w:tc>
      </w:tr>
      <w:tr>
        <w:trPr/>
        <w:tc>
          <w:tcPr>
            <w:tcW w:w="1321" w:type="dxa"/>
            <w:tcBorders/>
            <w:vAlign w:val="center"/>
          </w:tcPr>
          <w:p>
            <w:pPr>
              <w:pStyle w:val="TableContents"/>
              <w:bidi w:val="0"/>
              <w:spacing w:before="0" w:after="200"/>
              <w:ind w:left="0" w:right="0" w:hanging="0"/>
              <w:jc w:val="left"/>
              <w:rPr/>
            </w:pPr>
            <w:r>
              <w:rPr/>
              <w:t>​</w:t>
            </w:r>
          </w:p>
        </w:tc>
        <w:tc>
          <w:tcPr>
            <w:tcW w:w="51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Alan A. Villalon</w:t>
              <w:br/>
              <w:t>Executive Vice President and Chief Financial Officer</w:t>
              <w:b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903419/000104746919004787/a2239413zex-3_1.htm" TargetMode="External"/><Relationship Id="rId3" Type="http://schemas.openxmlformats.org/officeDocument/2006/relationships/hyperlink" Target="https://www.sec.gov/Archives/edgar/data/0000903419/000104746919004787/a2239413zex-3_2.htm" TargetMode="External"/><Relationship Id="rId4" Type="http://schemas.openxmlformats.org/officeDocument/2006/relationships/hyperlink" Target="https://www.sec.gov/Archives/edgar/data/903419/000155837024002829/alrs-20231231xex10d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32031</Words>
  <Characters>177389</Characters>
  <CharactersWithSpaces>215978</CharactersWithSpaces>
  <Paragraphs>19723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