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rs20260331_10q.htm"/>
      <w:bookmarkStart w:id="1" w:name="ksalrs20260331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w:t>
      </w:r>
      <w:r>
        <w:rPr>
          <w:rFonts w:ascii="Times New Roman" w:hAnsi="Times New Roman"/>
          <w:caps w:val="false"/>
          <w:smallCaps w:val="false"/>
          <w:sz w:val="32"/>
        </w:rPr>
        <w:t> </w:t>
      </w:r>
      <w:r>
        <w:rPr>
          <w:rFonts w:ascii="Times New Roman" w:hAnsi="Times New Roman"/>
          <w:b/>
          <w:caps w:val="false"/>
          <w:smallCaps w:val="false"/>
          <w:sz w:val="32"/>
        </w:rPr>
        <w:t>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left"/>
        <w:rPr>
          <w:caps w:val="false"/>
          <w:smallCaps w:val="false"/>
        </w:rPr>
      </w:pPr>
      <w:r>
        <w:rPr>
          <w:caps w:val="false"/>
          <w:smallCaps w:val="false"/>
        </w:rPr>
        <w:t xml:space="preserve">☒ </w:t>
      </w:r>
      <w:r>
        <w:rPr>
          <w:rFonts w:ascii="Times New Roman" w:hAnsi="Times New Roman"/>
          <w:b/>
          <w:caps w:val="false"/>
          <w:smallCaps w:val="false"/>
          <w:sz w:val="22"/>
        </w:rPr>
        <w:t>QUARTERLY REPORT PURSUANT TO SECTION</w:t>
      </w:r>
      <w:r>
        <w:rPr>
          <w:rFonts w:ascii="Times New Roman" w:hAnsi="Times New Roman"/>
          <w:caps w:val="false"/>
          <w:smallCaps w:val="false"/>
          <w:sz w:val="22"/>
        </w:rPr>
        <w:t> </w:t>
      </w:r>
      <w:r>
        <w:rPr>
          <w:rFonts w:ascii="Times New Roman" w:hAnsi="Times New Roman"/>
          <w:b/>
          <w:caps w:val="false"/>
          <w:smallCaps w:val="false"/>
          <w:sz w:val="22"/>
        </w:rPr>
        <w:t>13 OR 15(d)</w:t>
      </w:r>
      <w:r>
        <w:rPr>
          <w:rFonts w:ascii="Times New Roman" w:hAnsi="Times New Roman"/>
          <w:caps w:val="false"/>
          <w:smallCaps w:val="false"/>
          <w:sz w:val="22"/>
        </w:rPr>
        <w:t> </w:t>
      </w:r>
      <w:r>
        <w:rPr>
          <w:rFonts w:ascii="Times New Roman" w:hAnsi="Times New Roman"/>
          <w:b/>
          <w:caps w:val="false"/>
          <w:smallCaps w:val="false"/>
          <w:sz w:val="22"/>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For th</w:t>
      </w:r>
      <w:r>
        <w:rPr>
          <w:rFonts w:ascii="Times New Roman" w:hAnsi="Times New Roman"/>
          <w:caps w:val="false"/>
          <w:smallCaps w:val="false"/>
          <w:sz w:val="18"/>
        </w:rPr>
        <w:t xml:space="preserve">e </w:t>
      </w:r>
      <w:r>
        <w:rPr>
          <w:rFonts w:ascii="Times New Roman" w:hAnsi="Times New Roman"/>
          <w:b/>
          <w:caps w:val="false"/>
          <w:smallCaps w:val="false"/>
          <w:sz w:val="18"/>
        </w:rPr>
        <w:t>quarterly period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left"/>
        <w:rPr>
          <w:caps w:val="false"/>
          <w:smallCaps w:val="false"/>
        </w:rPr>
      </w:pPr>
      <w:r>
        <w:rPr>
          <w:caps w:val="false"/>
          <w:smallCaps w:val="false"/>
        </w:rPr>
        <w:t xml:space="preserve">☐ </w:t>
      </w:r>
      <w:r>
        <w:rPr>
          <w:rFonts w:ascii="Times New Roman" w:hAnsi="Times New Roman"/>
          <w:b/>
          <w:caps w:val="false"/>
          <w:smallCaps w:val="false"/>
          <w:sz w:val="22"/>
        </w:rPr>
        <w:t>TRANSITION REPORT PURSUANT TO SECTION</w:t>
      </w:r>
      <w:r>
        <w:rPr>
          <w:rFonts w:ascii="Times New Roman" w:hAnsi="Times New Roman"/>
          <w:caps w:val="false"/>
          <w:smallCaps w:val="false"/>
          <w:sz w:val="22"/>
        </w:rPr>
        <w:t> </w:t>
      </w:r>
      <w:r>
        <w:rPr>
          <w:rFonts w:ascii="Times New Roman" w:hAnsi="Times New Roman"/>
          <w:b/>
          <w:caps w:val="false"/>
          <w:smallCaps w:val="false"/>
          <w:sz w:val="22"/>
        </w:rPr>
        <w:t>13 OR 15(d)</w:t>
      </w:r>
      <w:r>
        <w:rPr>
          <w:rFonts w:ascii="Times New Roman" w:hAnsi="Times New Roman"/>
          <w:caps w:val="false"/>
          <w:smallCaps w:val="false"/>
          <w:sz w:val="22"/>
        </w:rPr>
        <w:t> </w:t>
      </w:r>
      <w:r>
        <w:rPr>
          <w:rFonts w:ascii="Times New Roman" w:hAnsi="Times New Roman"/>
          <w:b/>
          <w:caps w:val="false"/>
          <w:smallCaps w:val="false"/>
          <w:sz w:val="22"/>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Commission File Number: 001-39036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ALERUS FINANCIAL CORPORATION</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3260"/>
        <w:gridCol w:w="2600"/>
      </w:tblGrid>
      <w:tr>
        <w:trPr/>
        <w:tc>
          <w:tcPr>
            <w:tcW w:w="326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Delaware</w:t>
            </w:r>
          </w:p>
        </w:tc>
        <w:tc>
          <w:tcPr>
            <w:tcW w:w="260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45-0375407</w:t>
            </w:r>
          </w:p>
        </w:tc>
      </w:tr>
      <w:tr>
        <w:trPr/>
        <w:tc>
          <w:tcPr>
            <w:tcW w:w="326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(State or other jurisdiction of incorporation or</w:t>
            </w:r>
          </w:p>
        </w:tc>
        <w:tc>
          <w:tcPr>
            <w:tcW w:w="26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(I.R.S. Employer Identification No.)</w:t>
            </w:r>
          </w:p>
        </w:tc>
      </w:tr>
      <w:tr>
        <w:trPr/>
        <w:tc>
          <w:tcPr>
            <w:tcW w:w="326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organization)</w:t>
            </w:r>
          </w:p>
        </w:tc>
        <w:tc>
          <w:tcPr>
            <w:tcW w:w="260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401 Demers Avenue</w:t>
            </w:r>
          </w:p>
        </w:tc>
        <w:tc>
          <w:tcPr>
            <w:tcW w:w="260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Grand Forks, ND</w:t>
            </w:r>
          </w:p>
        </w:tc>
        <w:tc>
          <w:tcPr>
            <w:tcW w:w="260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58201</w:t>
            </w:r>
          </w:p>
        </w:tc>
      </w:tr>
      <w:tr>
        <w:trPr/>
        <w:tc>
          <w:tcPr>
            <w:tcW w:w="326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(Address of principal executive offices)</w:t>
            </w:r>
          </w:p>
        </w:tc>
        <w:tc>
          <w:tcPr>
            <w:tcW w:w="26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(701) 795</w:t>
      </w:r>
      <w:r>
        <w:rPr>
          <w:rFonts w:ascii="Times New Roman" w:hAnsi="Times New Roman"/>
          <w:caps w:val="false"/>
          <w:smallCaps w:val="false"/>
          <w:sz w:val="18"/>
        </w:rPr>
        <w:noBreakHyphen/>
      </w:r>
      <w:r>
        <w:rPr>
          <w:rFonts w:ascii="Times New Roman" w:hAnsi="Times New Roman"/>
          <w:b/>
          <w:caps w:val="false"/>
          <w:smallCaps w:val="false"/>
          <w:sz w:val="18"/>
        </w:rPr>
        <w:t>3200</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0" w:type="dxa"/>
        <w:tblLayout w:type="fixed"/>
        <w:tblCellMar>
          <w:top w:w="0" w:type="dxa"/>
          <w:left w:w="0" w:type="dxa"/>
          <w:bottom w:w="28" w:type="dxa"/>
          <w:right w:w="0" w:type="dxa"/>
        </w:tblCellMar>
      </w:tblPr>
      <w:tblGrid>
        <w:gridCol w:w="3005"/>
        <w:gridCol w:w="60"/>
        <w:gridCol w:w="1160"/>
        <w:gridCol w:w="60"/>
        <w:gridCol w:w="3185"/>
      </w:tblGrid>
      <w:tr>
        <w:trPr/>
        <w:tc>
          <w:tcPr>
            <w:tcW w:w="30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Title of each class</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Trading symbol</w:t>
            </w:r>
          </w:p>
        </w:tc>
        <w:tc>
          <w:tcPr>
            <w:tcW w:w="60" w:type="dxa"/>
            <w:tcBorders/>
            <w:tcMar>
              <w:bottom w:w="0" w:type="dxa"/>
            </w:tcMar>
            <w:vAlign w:val="center"/>
          </w:tcPr>
          <w:p>
            <w:pPr>
              <w:pStyle w:val="TableContents"/>
              <w:bidi w:val="0"/>
              <w:spacing w:before="0" w:after="283"/>
              <w:jc w:val="left"/>
              <w:rPr/>
            </w:pPr>
            <w:r>
              <w:rPr/>
              <w:t> </w:t>
            </w:r>
          </w:p>
        </w:tc>
        <w:tc>
          <w:tcPr>
            <w:tcW w:w="31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Name of each exchange on which registered</w:t>
            </w:r>
          </w:p>
        </w:tc>
      </w:tr>
      <w:tr>
        <w:trPr/>
        <w:tc>
          <w:tcPr>
            <w:tcW w:w="30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par value $1.00 per share</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ALRS</w:t>
            </w:r>
          </w:p>
        </w:tc>
        <w:tc>
          <w:tcPr>
            <w:tcW w:w="60" w:type="dxa"/>
            <w:tcBorders/>
            <w:tcMar>
              <w:bottom w:w="0" w:type="dxa"/>
            </w:tcMar>
            <w:vAlign w:val="center"/>
          </w:tcPr>
          <w:p>
            <w:pPr>
              <w:pStyle w:val="TableContents"/>
              <w:bidi w:val="0"/>
              <w:spacing w:before="0" w:after="283"/>
              <w:jc w:val="left"/>
              <w:rPr/>
            </w:pPr>
            <w:r>
              <w:rPr/>
              <w:t> </w:t>
            </w:r>
          </w:p>
        </w:tc>
        <w:tc>
          <w:tcPr>
            <w:tcW w:w="31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noBreakHyphen/>
        <w:t>2 of the Exchange Act.</w:t>
      </w:r>
    </w:p>
    <w:p>
      <w:pPr>
        <w:pStyle w:val="TextBody"/>
        <w:bidi w:val="0"/>
        <w:spacing w:before="0" w:after="0"/>
        <w:ind w:left="0" w:right="0" w:hanging="0"/>
        <w:jc w:val="left"/>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1775"/>
        <w:gridCol w:w="1385"/>
        <w:gridCol w:w="1700"/>
        <w:gridCol w:w="2165"/>
      </w:tblGrid>
      <w:tr>
        <w:trPr/>
        <w:tc>
          <w:tcPr>
            <w:tcW w:w="177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 ☐</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Accelerated filer ☒</w:t>
            </w:r>
          </w:p>
        </w:tc>
        <w:tc>
          <w:tcPr>
            <w:tcW w:w="1700"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Non-accelerated filer ☐</w:t>
            </w:r>
          </w:p>
        </w:tc>
        <w:tc>
          <w:tcPr>
            <w:tcW w:w="2165" w:type="dxa"/>
            <w:tcBorders/>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Smaller reporting company ☐</w:t>
            </w:r>
          </w:p>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w:t>
        <w:noBreakHyphen/>
        <w:t>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The number of shares of the registrant’s common stock outstanding at April 28, 2026 was 25,128,646.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640" w:type="dxa"/>
        <w:jc w:val="left"/>
        <w:tblInd w:w="0" w:type="dxa"/>
        <w:tblLayout w:type="fixed"/>
        <w:tblCellMar>
          <w:top w:w="0" w:type="dxa"/>
          <w:left w:w="0" w:type="dxa"/>
          <w:bottom w:w="0" w:type="dxa"/>
          <w:right w:w="0" w:type="dxa"/>
        </w:tblCellMar>
      </w:tblPr>
      <w:tblGrid>
        <w:gridCol w:w="920"/>
        <w:gridCol w:w="7280"/>
        <w:gridCol w:w="440"/>
      </w:tblGrid>
      <w:tr>
        <w:trPr/>
        <w:tc>
          <w:tcPr>
            <w:tcW w:w="9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20" w:type="dxa"/>
            <w:tcBorders/>
            <w:vAlign w:val="center"/>
          </w:tcPr>
          <w:p>
            <w:pPr>
              <w:pStyle w:val="TableContents"/>
              <w:bidi w:val="0"/>
              <w:spacing w:before="0" w:after="0"/>
              <w:ind w:left="0" w:right="0" w:hanging="0"/>
              <w:jc w:val="left"/>
              <w:rPr/>
            </w:pPr>
            <w:hyperlink w:anchor="parti">
              <w:r>
                <w:rPr>
                  <w:rStyle w:val="InternetLink"/>
                  <w:rFonts w:ascii="Times New Roman" w:hAnsi="Times New Roman"/>
                  <w:b/>
                  <w:caps w:val="false"/>
                  <w:smallCaps w:val="false"/>
                  <w:sz w:val="20"/>
                </w:rPr>
                <w:t>Part</w:t>
              </w:r>
            </w:hyperlink>
            <w:hyperlink w:anchor="parti">
              <w:r>
                <w:rPr>
                  <w:rStyle w:val="InternetLink"/>
                  <w:rFonts w:ascii="Times New Roman" w:hAnsi="Times New Roman"/>
                  <w:caps w:val="false"/>
                  <w:smallCaps w:val="false"/>
                  <w:sz w:val="20"/>
                </w:rPr>
                <w:t> </w:t>
              </w:r>
            </w:hyperlink>
            <w:hyperlink w:anchor="parti">
              <w:r>
                <w:rPr>
                  <w:rStyle w:val="InternetLink"/>
                  <w:rFonts w:ascii="Times New Roman" w:hAnsi="Times New Roman"/>
                  <w:b/>
                  <w:caps w:val="false"/>
                  <w:smallCaps w:val="false"/>
                  <w:sz w:val="20"/>
                </w:rPr>
                <w:t>I</w:t>
              </w:r>
            </w:hyperlink>
            <w:hyperlink w:anchor="parti">
              <w:r>
                <w:rPr>
                  <w:rStyle w:val="InternetLink"/>
                  <w:rFonts w:ascii="Times New Roman" w:hAnsi="Times New Roman"/>
                  <w:caps w:val="false"/>
                  <w:smallCaps w:val="false"/>
                  <w:sz w:val="20"/>
                </w:rPr>
                <w:t>:</w:t>
              </w:r>
            </w:hyperlink>
          </w:p>
        </w:tc>
        <w:tc>
          <w:tcPr>
            <w:tcW w:w="7280" w:type="dxa"/>
            <w:tcBorders/>
            <w:vAlign w:val="center"/>
          </w:tcPr>
          <w:p>
            <w:pPr>
              <w:pStyle w:val="TableContents"/>
              <w:bidi w:val="0"/>
              <w:spacing w:before="0" w:after="0"/>
              <w:ind w:left="0" w:right="0" w:hanging="0"/>
              <w:jc w:val="left"/>
              <w:rPr/>
            </w:pPr>
            <w:hyperlink w:anchor="parti">
              <w:r>
                <w:rPr>
                  <w:rStyle w:val="InternetLink"/>
                  <w:rFonts w:ascii="Times New Roman" w:hAnsi="Times New Roman"/>
                  <w:b/>
                  <w:caps w:val="false"/>
                  <w:smallCaps w:val="false"/>
                  <w:sz w:val="20"/>
                </w:rPr>
                <w:t>FINANCIAL INFORMATION</w:t>
              </w:r>
            </w:hyperlink>
          </w:p>
        </w:tc>
        <w:tc>
          <w:tcPr>
            <w:tcW w:w="44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ind w:left="0" w:right="0" w:hanging="0"/>
              <w:jc w:val="left"/>
              <w:rPr/>
            </w:pPr>
            <w:hyperlink w:anchor="parti">
              <w:r>
                <w:rPr>
                  <w:rStyle w:val="InternetLink"/>
                  <w:rFonts w:ascii="Times New Roman" w:hAnsi="Times New Roman"/>
                  <w:caps w:val="false"/>
                  <w:smallCaps w:val="false"/>
                  <w:sz w:val="20"/>
                </w:rPr>
                <w:t>Item 1.</w:t>
              </w:r>
            </w:hyperlink>
          </w:p>
        </w:tc>
        <w:tc>
          <w:tcPr>
            <w:tcW w:w="7280" w:type="dxa"/>
            <w:tcBorders/>
            <w:vAlign w:val="center"/>
          </w:tcPr>
          <w:p>
            <w:pPr>
              <w:pStyle w:val="TableContents"/>
              <w:bidi w:val="0"/>
              <w:spacing w:before="0" w:after="0"/>
              <w:ind w:left="0" w:right="0" w:hanging="0"/>
              <w:jc w:val="left"/>
              <w:rPr/>
            </w:pPr>
            <w:hyperlink w:anchor="parti">
              <w:r>
                <w:rPr>
                  <w:rStyle w:val="InternetLink"/>
                  <w:rFonts w:ascii="Times New Roman" w:hAnsi="Times New Roman"/>
                  <w:caps w:val="false"/>
                  <w:smallCaps w:val="false"/>
                  <w:sz w:val="20"/>
                </w:rPr>
                <w:t>Consolidated Financial Statements</w:t>
              </w:r>
            </w:hyperlink>
          </w:p>
        </w:tc>
        <w:tc>
          <w:tcPr>
            <w:tcW w:w="440" w:type="dxa"/>
            <w:tcBorders/>
            <w:vAlign w:val="center"/>
          </w:tcPr>
          <w:p>
            <w:pPr>
              <w:pStyle w:val="TableContents"/>
              <w:bidi w:val="0"/>
              <w:spacing w:before="0" w:after="0"/>
              <w:ind w:left="0" w:right="0" w:hanging="0"/>
              <w:jc w:val="right"/>
              <w:rPr/>
            </w:pPr>
            <w:hyperlink w:anchor="parti">
              <w:r>
                <w:rPr>
                  <w:rStyle w:val="InternetLink"/>
                  <w:rFonts w:ascii="Times New Roman" w:hAnsi="Times New Roman"/>
                  <w:caps w:val="false"/>
                  <w:smallCaps w:val="false"/>
                  <w:sz w:val="20"/>
                </w:rPr>
                <w:t>1</w:t>
              </w:r>
            </w:hyperlink>
          </w:p>
        </w:tc>
      </w:tr>
      <w:tr>
        <w:trPr/>
        <w:tc>
          <w:tcPr>
            <w:tcW w:w="9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parti">
              <w:r>
                <w:rPr>
                  <w:rStyle w:val="InternetLink"/>
                  <w:rFonts w:ascii="Times New Roman" w:hAnsi="Times New Roman"/>
                  <w:caps w:val="false"/>
                  <w:smallCaps w:val="false"/>
                  <w:sz w:val="20"/>
                </w:rPr>
                <w:t>Consolidated Balance Sheets</w:t>
              </w:r>
            </w:hyperlink>
          </w:p>
        </w:tc>
        <w:tc>
          <w:tcPr>
            <w:tcW w:w="440" w:type="dxa"/>
            <w:tcBorders/>
            <w:vAlign w:val="center"/>
          </w:tcPr>
          <w:p>
            <w:pPr>
              <w:pStyle w:val="TableContents"/>
              <w:bidi w:val="0"/>
              <w:spacing w:before="0" w:after="0"/>
              <w:ind w:left="0" w:right="0" w:hanging="0"/>
              <w:jc w:val="right"/>
              <w:rPr/>
            </w:pPr>
            <w:hyperlink w:anchor="parti">
              <w:r>
                <w:rPr>
                  <w:rStyle w:val="InternetLink"/>
                  <w:rFonts w:ascii="Times New Roman" w:hAnsi="Times New Roman"/>
                  <w:caps w:val="false"/>
                  <w:smallCaps w:val="false"/>
                  <w:sz w:val="20"/>
                </w:rPr>
                <w:t>1</w:t>
              </w:r>
            </w:hyperlink>
          </w:p>
        </w:tc>
      </w:tr>
      <w:tr>
        <w:trPr/>
        <w:tc>
          <w:tcPr>
            <w:tcW w:w="9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inc">
              <w:r>
                <w:rPr>
                  <w:rStyle w:val="InternetLink"/>
                  <w:rFonts w:ascii="Times New Roman" w:hAnsi="Times New Roman"/>
                  <w:caps w:val="false"/>
                  <w:smallCaps w:val="false"/>
                  <w:sz w:val="20"/>
                </w:rPr>
                <w:t>Consolidated Statements of Income</w:t>
              </w:r>
            </w:hyperlink>
          </w:p>
        </w:tc>
        <w:tc>
          <w:tcPr>
            <w:tcW w:w="440" w:type="dxa"/>
            <w:tcBorders/>
            <w:vAlign w:val="center"/>
          </w:tcPr>
          <w:p>
            <w:pPr>
              <w:pStyle w:val="TableContents"/>
              <w:bidi w:val="0"/>
              <w:spacing w:before="0" w:after="0"/>
              <w:ind w:left="0" w:right="0" w:hanging="0"/>
              <w:jc w:val="right"/>
              <w:rPr/>
            </w:pPr>
            <w:hyperlink w:anchor="inc">
              <w:r>
                <w:rPr>
                  <w:rStyle w:val="InternetLink"/>
                  <w:rFonts w:ascii="Times New Roman" w:hAnsi="Times New Roman"/>
                  <w:caps w:val="false"/>
                  <w:smallCaps w:val="false"/>
                  <w:sz w:val="20"/>
                </w:rPr>
                <w:t>2</w:t>
              </w:r>
            </w:hyperlink>
          </w:p>
        </w:tc>
      </w:tr>
      <w:tr>
        <w:trPr/>
        <w:tc>
          <w:tcPr>
            <w:tcW w:w="9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ompinc">
              <w:r>
                <w:rPr>
                  <w:rStyle w:val="InternetLink"/>
                  <w:rFonts w:ascii="Times New Roman" w:hAnsi="Times New Roman"/>
                  <w:caps w:val="false"/>
                  <w:smallCaps w:val="false"/>
                  <w:sz w:val="20"/>
                </w:rPr>
                <w:t>Consolidated Statements of Comprehensive Income</w:t>
              </w:r>
            </w:hyperlink>
          </w:p>
        </w:tc>
        <w:tc>
          <w:tcPr>
            <w:tcW w:w="440" w:type="dxa"/>
            <w:tcBorders/>
            <w:vAlign w:val="center"/>
          </w:tcPr>
          <w:p>
            <w:pPr>
              <w:pStyle w:val="TableContents"/>
              <w:bidi w:val="0"/>
              <w:spacing w:before="0" w:after="0"/>
              <w:ind w:left="0" w:right="0" w:hanging="0"/>
              <w:jc w:val="right"/>
              <w:rPr/>
            </w:pPr>
            <w:hyperlink w:anchor="compinc">
              <w:r>
                <w:rPr>
                  <w:rStyle w:val="InternetLink"/>
                  <w:rFonts w:ascii="Times New Roman" w:hAnsi="Times New Roman"/>
                  <w:caps w:val="false"/>
                  <w:smallCaps w:val="false"/>
                  <w:sz w:val="20"/>
                </w:rPr>
                <w:t>3</w:t>
              </w:r>
            </w:hyperlink>
          </w:p>
        </w:tc>
      </w:tr>
      <w:tr>
        <w:trPr/>
        <w:tc>
          <w:tcPr>
            <w:tcW w:w="9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she">
              <w:r>
                <w:rPr>
                  <w:rStyle w:val="InternetLink"/>
                  <w:rFonts w:ascii="Times New Roman" w:hAnsi="Times New Roman"/>
                  <w:caps w:val="false"/>
                  <w:smallCaps w:val="false"/>
                  <w:sz w:val="20"/>
                </w:rPr>
                <w:t>Consolidated Statements of Changes in Stockholders’ Equity</w:t>
              </w:r>
            </w:hyperlink>
          </w:p>
        </w:tc>
        <w:tc>
          <w:tcPr>
            <w:tcW w:w="440" w:type="dxa"/>
            <w:tcBorders/>
            <w:vAlign w:val="center"/>
          </w:tcPr>
          <w:p>
            <w:pPr>
              <w:pStyle w:val="TableContents"/>
              <w:bidi w:val="0"/>
              <w:spacing w:before="0" w:after="0"/>
              <w:ind w:left="0" w:right="0" w:hanging="0"/>
              <w:jc w:val="right"/>
              <w:rPr/>
            </w:pPr>
            <w:hyperlink w:anchor="she">
              <w:r>
                <w:rPr>
                  <w:rStyle w:val="InternetLink"/>
                  <w:rFonts w:ascii="Times New Roman" w:hAnsi="Times New Roman"/>
                  <w:caps w:val="false"/>
                  <w:smallCaps w:val="false"/>
                  <w:sz w:val="20"/>
                </w:rPr>
                <w:t>4</w:t>
              </w:r>
            </w:hyperlink>
          </w:p>
        </w:tc>
      </w:tr>
      <w:tr>
        <w:trPr/>
        <w:tc>
          <w:tcPr>
            <w:tcW w:w="9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fs">
              <w:r>
                <w:rPr>
                  <w:rStyle w:val="InternetLink"/>
                  <w:rFonts w:ascii="Times New Roman" w:hAnsi="Times New Roman"/>
                  <w:caps w:val="false"/>
                  <w:smallCaps w:val="false"/>
                  <w:sz w:val="20"/>
                </w:rPr>
                <w:t>Consolidated Statements of Cash Flows</w:t>
              </w:r>
            </w:hyperlink>
          </w:p>
        </w:tc>
        <w:tc>
          <w:tcPr>
            <w:tcW w:w="440" w:type="dxa"/>
            <w:tcBorders/>
            <w:vAlign w:val="center"/>
          </w:tcPr>
          <w:p>
            <w:pPr>
              <w:pStyle w:val="TableContents"/>
              <w:bidi w:val="0"/>
              <w:spacing w:before="0" w:after="0"/>
              <w:ind w:left="0" w:right="0" w:hanging="0"/>
              <w:jc w:val="right"/>
              <w:rPr/>
            </w:pPr>
            <w:hyperlink w:anchor="cfs">
              <w:r>
                <w:rPr>
                  <w:rStyle w:val="InternetLink"/>
                  <w:rFonts w:ascii="Times New Roman" w:hAnsi="Times New Roman"/>
                  <w:caps w:val="false"/>
                  <w:smallCaps w:val="false"/>
                  <w:sz w:val="20"/>
                </w:rPr>
                <w:t>5</w:t>
              </w:r>
            </w:hyperlink>
          </w:p>
        </w:tc>
      </w:tr>
      <w:tr>
        <w:trPr/>
        <w:tc>
          <w:tcPr>
            <w:tcW w:w="9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92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Item 2.</w:t>
              </w:r>
            </w:hyperlink>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39</w:t>
              </w:r>
            </w:hyperlink>
          </w:p>
        </w:tc>
      </w:tr>
      <w:tr>
        <w:trPr/>
        <w:tc>
          <w:tcPr>
            <w:tcW w:w="920" w:type="dxa"/>
            <w:tcBorders/>
            <w:vAlign w:val="center"/>
          </w:tcPr>
          <w:p>
            <w:pPr>
              <w:pStyle w:val="TableContents"/>
              <w:bidi w:val="0"/>
              <w:spacing w:before="0" w:after="0"/>
              <w:ind w:left="0" w:right="0" w:hanging="0"/>
              <w:jc w:val="left"/>
              <w:rPr/>
            </w:pPr>
            <w:hyperlink w:anchor="qqdmr">
              <w:r>
                <w:rPr>
                  <w:rStyle w:val="InternetLink"/>
                  <w:rFonts w:ascii="Times New Roman" w:hAnsi="Times New Roman"/>
                  <w:caps w:val="false"/>
                  <w:smallCaps w:val="false"/>
                  <w:sz w:val="20"/>
                </w:rPr>
                <w:t>Item 3.</w:t>
              </w:r>
            </w:hyperlink>
          </w:p>
        </w:tc>
        <w:tc>
          <w:tcPr>
            <w:tcW w:w="7280" w:type="dxa"/>
            <w:tcBorders/>
            <w:vAlign w:val="center"/>
          </w:tcPr>
          <w:p>
            <w:pPr>
              <w:pStyle w:val="TableContents"/>
              <w:bidi w:val="0"/>
              <w:spacing w:before="0" w:after="0"/>
              <w:ind w:left="0" w:right="0" w:hanging="0"/>
              <w:jc w:val="left"/>
              <w:rPr/>
            </w:pPr>
            <w:hyperlink w:anchor="qqdmr">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qdmr">
              <w:r>
                <w:rPr>
                  <w:rStyle w:val="InternetLink"/>
                  <w:rFonts w:ascii="Times New Roman" w:hAnsi="Times New Roman"/>
                  <w:caps w:val="false"/>
                  <w:smallCaps w:val="false"/>
                  <w:sz w:val="20"/>
                </w:rPr>
                <w:t>60</w:t>
              </w:r>
            </w:hyperlink>
          </w:p>
        </w:tc>
      </w:tr>
      <w:tr>
        <w:trPr/>
        <w:tc>
          <w:tcPr>
            <w:tcW w:w="920" w:type="dxa"/>
            <w:tcBorders/>
            <w:vAlign w:val="center"/>
          </w:tcPr>
          <w:p>
            <w:pPr>
              <w:pStyle w:val="TableContents"/>
              <w:bidi w:val="0"/>
              <w:spacing w:before="0" w:after="0"/>
              <w:ind w:left="0" w:right="0" w:hanging="0"/>
              <w:jc w:val="left"/>
              <w:rPr/>
            </w:pPr>
            <w:hyperlink w:anchor="cps">
              <w:r>
                <w:rPr>
                  <w:rStyle w:val="InternetLink"/>
                  <w:rFonts w:ascii="Times New Roman" w:hAnsi="Times New Roman"/>
                  <w:caps w:val="false"/>
                  <w:smallCaps w:val="false"/>
                  <w:sz w:val="20"/>
                </w:rPr>
                <w:t>Item 4.</w:t>
              </w:r>
            </w:hyperlink>
          </w:p>
        </w:tc>
        <w:tc>
          <w:tcPr>
            <w:tcW w:w="7280" w:type="dxa"/>
            <w:tcBorders/>
            <w:vAlign w:val="center"/>
          </w:tcPr>
          <w:p>
            <w:pPr>
              <w:pStyle w:val="TableContents"/>
              <w:bidi w:val="0"/>
              <w:spacing w:before="0" w:after="0"/>
              <w:ind w:left="0" w:right="0" w:hanging="0"/>
              <w:jc w:val="left"/>
              <w:rPr/>
            </w:pPr>
            <w:hyperlink w:anchor="cps">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right"/>
              <w:rPr/>
            </w:pPr>
            <w:hyperlink w:anchor="cps">
              <w:r>
                <w:rPr>
                  <w:rStyle w:val="InternetLink"/>
                  <w:rFonts w:ascii="Times New Roman" w:hAnsi="Times New Roman"/>
                  <w:caps w:val="false"/>
                  <w:smallCaps w:val="false"/>
                  <w:sz w:val="20"/>
                </w:rPr>
                <w:t>61</w:t>
              </w:r>
            </w:hyperlink>
          </w:p>
        </w:tc>
      </w:tr>
      <w:tr>
        <w:trPr/>
        <w:tc>
          <w:tcPr>
            <w:tcW w:w="9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ind w:left="0" w:right="0" w:hanging="0"/>
              <w:jc w:val="left"/>
              <w:rPr/>
            </w:pPr>
            <w:hyperlink w:anchor="partii">
              <w:r>
                <w:rPr>
                  <w:rStyle w:val="InternetLink"/>
                  <w:rFonts w:ascii="Times New Roman" w:hAnsi="Times New Roman"/>
                  <w:b/>
                  <w:caps w:val="false"/>
                  <w:smallCaps w:val="false"/>
                  <w:sz w:val="20"/>
                </w:rPr>
                <w:t>Part</w:t>
              </w:r>
            </w:hyperlink>
            <w:hyperlink w:anchor="partii">
              <w:r>
                <w:rPr>
                  <w:rStyle w:val="InternetLink"/>
                  <w:rFonts w:ascii="Times New Roman" w:hAnsi="Times New Roman"/>
                  <w:caps w:val="false"/>
                  <w:smallCaps w:val="false"/>
                  <w:sz w:val="20"/>
                </w:rPr>
                <w:t> </w:t>
              </w:r>
            </w:hyperlink>
            <w:hyperlink w:anchor="partii">
              <w:r>
                <w:rPr>
                  <w:rStyle w:val="InternetLink"/>
                  <w:rFonts w:ascii="Times New Roman" w:hAnsi="Times New Roman"/>
                  <w:b/>
                  <w:caps w:val="false"/>
                  <w:smallCaps w:val="false"/>
                  <w:sz w:val="20"/>
                </w:rPr>
                <w:t>II</w:t>
              </w:r>
            </w:hyperlink>
            <w:hyperlink w:anchor="partii">
              <w:r>
                <w:rPr>
                  <w:rStyle w:val="InternetLink"/>
                  <w:rFonts w:ascii="Times New Roman" w:hAnsi="Times New Roman"/>
                  <w:caps w:val="false"/>
                  <w:smallCaps w:val="false"/>
                  <w:sz w:val="20"/>
                </w:rPr>
                <w:t>:</w:t>
              </w:r>
            </w:hyperlink>
          </w:p>
        </w:tc>
        <w:tc>
          <w:tcPr>
            <w:tcW w:w="7280" w:type="dxa"/>
            <w:tcBorders/>
            <w:vAlign w:val="center"/>
          </w:tcPr>
          <w:p>
            <w:pPr>
              <w:pStyle w:val="TableContents"/>
              <w:bidi w:val="0"/>
              <w:spacing w:before="0" w:after="0"/>
              <w:ind w:left="0" w:right="0" w:hanging="0"/>
              <w:jc w:val="left"/>
              <w:rPr/>
            </w:pPr>
            <w:hyperlink w:anchor="partii">
              <w:r>
                <w:rPr>
                  <w:rStyle w:val="InternetLink"/>
                  <w:rFonts w:ascii="Times New Roman" w:hAnsi="Times New Roman"/>
                  <w:b/>
                  <w:caps w:val="false"/>
                  <w:smallCaps w:val="false"/>
                  <w:sz w:val="20"/>
                </w:rPr>
                <w:t>OTHER INFORMATION</w:t>
              </w:r>
            </w:hyperlink>
          </w:p>
        </w:tc>
        <w:tc>
          <w:tcPr>
            <w:tcW w:w="44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Item 1.</w:t>
              </w:r>
            </w:hyperlink>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62</w:t>
              </w:r>
            </w:hyperlink>
          </w:p>
        </w:tc>
      </w:tr>
      <w:tr>
        <w:trPr/>
        <w:tc>
          <w:tcPr>
            <w:tcW w:w="920" w:type="dxa"/>
            <w:tcBorders/>
            <w:vAlign w:val="center"/>
          </w:tcPr>
          <w:p>
            <w:pPr>
              <w:pStyle w:val="TableContents"/>
              <w:bidi w:val="0"/>
              <w:spacing w:before="0" w:after="0"/>
              <w:ind w:left="0" w:right="0" w:hanging="0"/>
              <w:jc w:val="left"/>
              <w:rPr/>
            </w:pPr>
            <w:hyperlink w:anchor="risks">
              <w:r>
                <w:rPr>
                  <w:rStyle w:val="InternetLink"/>
                  <w:rFonts w:ascii="Times New Roman" w:hAnsi="Times New Roman"/>
                  <w:caps w:val="false"/>
                  <w:smallCaps w:val="false"/>
                  <w:sz w:val="20"/>
                </w:rPr>
                <w:t>Item 1A.</w:t>
              </w:r>
            </w:hyperlink>
          </w:p>
        </w:tc>
        <w:tc>
          <w:tcPr>
            <w:tcW w:w="7280" w:type="dxa"/>
            <w:tcBorders/>
            <w:vAlign w:val="center"/>
          </w:tcPr>
          <w:p>
            <w:pPr>
              <w:pStyle w:val="TableContents"/>
              <w:bidi w:val="0"/>
              <w:spacing w:before="0" w:after="0"/>
              <w:ind w:left="0" w:right="0" w:hanging="0"/>
              <w:jc w:val="left"/>
              <w:rPr/>
            </w:pPr>
            <w:hyperlink w:anchor="risks">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right"/>
              <w:rPr/>
            </w:pPr>
            <w:hyperlink w:anchor="risks">
              <w:r>
                <w:rPr>
                  <w:rStyle w:val="InternetLink"/>
                  <w:rFonts w:ascii="Times New Roman" w:hAnsi="Times New Roman"/>
                  <w:caps w:val="false"/>
                  <w:smallCaps w:val="false"/>
                  <w:sz w:val="20"/>
                </w:rPr>
                <w:t>62</w:t>
              </w:r>
            </w:hyperlink>
          </w:p>
        </w:tc>
      </w:tr>
      <w:tr>
        <w:trPr/>
        <w:tc>
          <w:tcPr>
            <w:tcW w:w="920" w:type="dxa"/>
            <w:tcBorders/>
            <w:vAlign w:val="center"/>
          </w:tcPr>
          <w:p>
            <w:pPr>
              <w:pStyle w:val="TableContents"/>
              <w:bidi w:val="0"/>
              <w:spacing w:before="0" w:after="0"/>
              <w:ind w:left="0" w:right="0" w:hanging="0"/>
              <w:jc w:val="left"/>
              <w:rPr/>
            </w:pPr>
            <w:hyperlink w:anchor="uses">
              <w:r>
                <w:rPr>
                  <w:rStyle w:val="InternetLink"/>
                  <w:rFonts w:ascii="Times New Roman" w:hAnsi="Times New Roman"/>
                  <w:caps w:val="false"/>
                  <w:smallCaps w:val="false"/>
                  <w:sz w:val="20"/>
                </w:rPr>
                <w:t>Item 2.</w:t>
              </w:r>
            </w:hyperlink>
          </w:p>
        </w:tc>
        <w:tc>
          <w:tcPr>
            <w:tcW w:w="7280" w:type="dxa"/>
            <w:tcBorders/>
            <w:vAlign w:val="center"/>
          </w:tcPr>
          <w:p>
            <w:pPr>
              <w:pStyle w:val="TableContents"/>
              <w:bidi w:val="0"/>
              <w:spacing w:before="0" w:after="0"/>
              <w:ind w:left="0" w:right="0" w:hanging="0"/>
              <w:jc w:val="left"/>
              <w:rPr/>
            </w:pPr>
            <w:hyperlink w:anchor="uses">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ses">
              <w:r>
                <w:rPr>
                  <w:rStyle w:val="InternetLink"/>
                  <w:rFonts w:ascii="Times New Roman" w:hAnsi="Times New Roman"/>
                  <w:caps w:val="false"/>
                  <w:smallCaps w:val="false"/>
                  <w:sz w:val="20"/>
                </w:rPr>
                <w:t>62</w:t>
              </w:r>
            </w:hyperlink>
          </w:p>
        </w:tc>
      </w:tr>
      <w:tr>
        <w:trPr/>
        <w:tc>
          <w:tcPr>
            <w:tcW w:w="920" w:type="dxa"/>
            <w:tcBorders/>
            <w:vAlign w:val="center"/>
          </w:tcPr>
          <w:p>
            <w:pPr>
              <w:pStyle w:val="TableContents"/>
              <w:bidi w:val="0"/>
              <w:spacing w:before="0" w:after="0"/>
              <w:ind w:left="0" w:right="0" w:hanging="0"/>
              <w:jc w:val="left"/>
              <w:rPr/>
            </w:pPr>
            <w:hyperlink w:anchor="duss">
              <w:r>
                <w:rPr>
                  <w:rStyle w:val="InternetLink"/>
                  <w:rFonts w:ascii="Times New Roman" w:hAnsi="Times New Roman"/>
                  <w:caps w:val="false"/>
                  <w:smallCaps w:val="false"/>
                  <w:sz w:val="20"/>
                </w:rPr>
                <w:t>Item 3.</w:t>
              </w:r>
            </w:hyperlink>
          </w:p>
        </w:tc>
        <w:tc>
          <w:tcPr>
            <w:tcW w:w="7280" w:type="dxa"/>
            <w:tcBorders/>
            <w:vAlign w:val="center"/>
          </w:tcPr>
          <w:p>
            <w:pPr>
              <w:pStyle w:val="TableContents"/>
              <w:bidi w:val="0"/>
              <w:spacing w:before="0" w:after="0"/>
              <w:ind w:left="0" w:right="0" w:hanging="0"/>
              <w:jc w:val="left"/>
              <w:rPr/>
            </w:pPr>
            <w:hyperlink w:anchor="duss">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right"/>
              <w:rPr/>
            </w:pPr>
            <w:hyperlink w:anchor="duss">
              <w:r>
                <w:rPr>
                  <w:rStyle w:val="InternetLink"/>
                  <w:rFonts w:ascii="Times New Roman" w:hAnsi="Times New Roman"/>
                  <w:caps w:val="false"/>
                  <w:smallCaps w:val="false"/>
                  <w:sz w:val="20"/>
                </w:rPr>
                <w:t>62</w:t>
              </w:r>
            </w:hyperlink>
          </w:p>
        </w:tc>
      </w:tr>
      <w:tr>
        <w:trPr/>
        <w:tc>
          <w:tcPr>
            <w:tcW w:w="920" w:type="dxa"/>
            <w:tcBorders/>
            <w:vAlign w:val="center"/>
          </w:tcPr>
          <w:p>
            <w:pPr>
              <w:pStyle w:val="TableContents"/>
              <w:bidi w:val="0"/>
              <w:spacing w:before="0" w:after="0"/>
              <w:ind w:left="0" w:right="0" w:hanging="0"/>
              <w:jc w:val="left"/>
              <w:rPr/>
            </w:pPr>
            <w:hyperlink w:anchor="msd">
              <w:r>
                <w:rPr>
                  <w:rStyle w:val="InternetLink"/>
                  <w:rFonts w:ascii="Times New Roman" w:hAnsi="Times New Roman"/>
                  <w:caps w:val="false"/>
                  <w:smallCaps w:val="false"/>
                  <w:sz w:val="20"/>
                </w:rPr>
                <w:t>Item 4.</w:t>
              </w:r>
            </w:hyperlink>
          </w:p>
        </w:tc>
        <w:tc>
          <w:tcPr>
            <w:tcW w:w="7280" w:type="dxa"/>
            <w:tcBorders/>
            <w:vAlign w:val="center"/>
          </w:tcPr>
          <w:p>
            <w:pPr>
              <w:pStyle w:val="TableContents"/>
              <w:bidi w:val="0"/>
              <w:spacing w:before="0" w:after="0"/>
              <w:ind w:left="0" w:right="0" w:hanging="0"/>
              <w:jc w:val="left"/>
              <w:rPr/>
            </w:pPr>
            <w:hyperlink w:anchor="msd">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0"/>
              <w:ind w:left="0" w:right="0" w:hanging="0"/>
              <w:jc w:val="right"/>
              <w:rPr/>
            </w:pPr>
            <w:hyperlink w:anchor="msd">
              <w:r>
                <w:rPr>
                  <w:rStyle w:val="InternetLink"/>
                  <w:rFonts w:ascii="Times New Roman" w:hAnsi="Times New Roman"/>
                  <w:caps w:val="false"/>
                  <w:smallCaps w:val="false"/>
                  <w:sz w:val="20"/>
                </w:rPr>
                <w:t>62</w:t>
              </w:r>
            </w:hyperlink>
          </w:p>
        </w:tc>
      </w:tr>
      <w:tr>
        <w:trPr/>
        <w:tc>
          <w:tcPr>
            <w:tcW w:w="92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Item 5.</w:t>
              </w:r>
            </w:hyperlink>
          </w:p>
        </w:tc>
        <w:tc>
          <w:tcPr>
            <w:tcW w:w="728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62</w:t>
              </w:r>
            </w:hyperlink>
          </w:p>
        </w:tc>
      </w:tr>
      <w:tr>
        <w:trPr/>
        <w:tc>
          <w:tcPr>
            <w:tcW w:w="92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Item 6.</w:t>
              </w:r>
            </w:hyperlink>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63</w:t>
              </w:r>
            </w:hyperlink>
          </w:p>
        </w:tc>
      </w:tr>
      <w:tr>
        <w:trPr/>
        <w:tc>
          <w:tcPr>
            <w:tcW w:w="9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ind w:left="0" w:right="0" w:hanging="0"/>
              <w:jc w:val="left"/>
              <w:rPr/>
            </w:pPr>
            <w:hyperlink w:anchor="sigs">
              <w:r>
                <w:rPr>
                  <w:rStyle w:val="InternetLink"/>
                  <w:rFonts w:ascii="Times New Roman" w:hAnsi="Times New Roman"/>
                  <w:b/>
                  <w:caps w:val="false"/>
                  <w:smallCaps w:val="false"/>
                  <w:sz w:val="20"/>
                </w:rPr>
                <w:t>Signatures</w:t>
              </w:r>
            </w:hyperlink>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64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3" w:name="parti"/>
      <w:bookmarkEnd w:id="3"/>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97"/>
        <w:gridCol w:w="60"/>
        <w:gridCol w:w="125"/>
        <w:gridCol w:w="845"/>
        <w:gridCol w:w="80"/>
        <w:gridCol w:w="60"/>
        <w:gridCol w:w="136"/>
        <w:gridCol w:w="921"/>
        <w:gridCol w:w="81"/>
      </w:tblGrid>
      <w:tr>
        <w:trPr/>
        <w:tc>
          <w:tcPr>
            <w:tcW w:w="7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 except share and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67,192</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Available-for-sale, at fair value (amortized cost of $528,357 and $516,737,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514,095</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Held-to-maturity, at amortized cost (fair value of $220,425 and $228,009, respectively, with an allowance for credit losses on investments of $118 and $123,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247,437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254,448</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21,934</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4,048,022</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 on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(61,915</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7"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3,984,239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3,986,107</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premises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43,253</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28,761</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21,742</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Bank-owned life insurance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39,307</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33,371</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Servicing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6,383</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23,080</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103,019</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5,287,971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5,230,084</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807,896</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3,490,257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3,384,107</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4,347,882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4,192,003</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308,800</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59,182</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36,282</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68,883</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4,713,278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4,665,150</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2,000,000 shares authorized: 0 issued and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 par value, 60,000,000 and 60,000,000 shares authorized: 25,214,146 and 25,406,278 issued and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25,406</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271,609</w:t>
            </w:r>
          </w:p>
        </w:tc>
        <w:tc>
          <w:tcPr>
            <w:tcW w:w="81"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270,075</w:t>
            </w:r>
          </w:p>
        </w:tc>
        <w:tc>
          <w:tcPr>
            <w:tcW w:w="81"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(2,156</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7"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564,934</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5,287,971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5,230,084</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4" w:name="inc"/>
      <w:bookmarkEnd w:id="4"/>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Income (Unaudited)</w:t>
      </w:r>
    </w:p>
    <w:p>
      <w:pPr>
        <w:pStyle w:val="TextBody"/>
        <w:bidi w:val="0"/>
        <w:spacing w:before="0" w:after="0"/>
        <w:ind w:left="0" w:right="0" w:hanging="0"/>
        <w:jc w:val="left"/>
        <w:rPr>
          <w:caps w:val="false"/>
          <w:smallCaps w:val="false"/>
        </w:rPr>
      </w:pPr>
      <w:r>
        <w:rPr>
          <w:caps w:val="false"/>
          <w:smallCaps w:val="false"/>
        </w:rPr>
        <w:t> </w:t>
      </w:r>
    </w:p>
    <w:tbl>
      <w:tblPr>
        <w:tblW w:w="7013" w:type="dxa"/>
        <w:jc w:val="left"/>
        <w:tblInd w:w="0" w:type="dxa"/>
        <w:tblLayout w:type="fixed"/>
        <w:tblCellMar>
          <w:top w:w="0" w:type="dxa"/>
          <w:left w:w="0" w:type="dxa"/>
          <w:bottom w:w="0" w:type="dxa"/>
          <w:right w:w="0" w:type="dxa"/>
        </w:tblCellMar>
      </w:tblPr>
      <w:tblGrid>
        <w:gridCol w:w="5210"/>
        <w:gridCol w:w="60"/>
        <w:gridCol w:w="134"/>
        <w:gridCol w:w="633"/>
        <w:gridCol w:w="85"/>
        <w:gridCol w:w="64"/>
        <w:gridCol w:w="134"/>
        <w:gridCol w:w="633"/>
        <w:gridCol w:w="60"/>
      </w:tblGrid>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and shares in thousands,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including fees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58,621</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61,495</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Taxable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7,104</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Exempt from federal income taxes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income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66,977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68,181</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19,074</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23,535</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2,839</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22,065</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41,157</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(recovery of) credit losses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after provision for (recovery of) credit losses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49,795</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40,294</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Income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Retirement and benefit services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17,406</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16,106</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Wealth advisory services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6,905</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banking</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3,535</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charges on deposit accounts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27,632</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Expense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24,087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22,961</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taxes and benefits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7,762</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 and equipment expense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services, software and technology expense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5,839</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5,752</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amortization expense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 and assessments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2,996</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business development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Supplies and postage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and lending expenses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50,392</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30,250</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17,561</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7,279</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Common Share Data</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0.90</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0.89</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common shares outstanding</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25,380</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25,359</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25,679</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 (unaudited)</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5" w:name="compinc"/>
      <w:bookmarkEnd w:id="5"/>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Income (Unaudited)</w:t>
      </w:r>
    </w:p>
    <w:p>
      <w:pPr>
        <w:pStyle w:val="TextBody"/>
        <w:bidi w:val="0"/>
        <w:spacing w:before="0" w:after="0"/>
        <w:ind w:left="0" w:right="0" w:hanging="0"/>
        <w:jc w:val="left"/>
        <w:rPr>
          <w:caps w:val="false"/>
          <w:smallCaps w:val="false"/>
        </w:rPr>
      </w:pPr>
      <w:r>
        <w:rPr>
          <w:caps w:val="false"/>
          <w:smallCaps w:val="false"/>
        </w:rPr>
        <w:t> </w:t>
      </w:r>
    </w:p>
    <w:tbl>
      <w:tblPr>
        <w:tblW w:w="8548" w:type="dxa"/>
        <w:jc w:val="left"/>
        <w:tblInd w:w="0" w:type="dxa"/>
        <w:tblLayout w:type="fixed"/>
        <w:tblCellMar>
          <w:top w:w="0" w:type="dxa"/>
          <w:left w:w="0" w:type="dxa"/>
          <w:bottom w:w="0" w:type="dxa"/>
          <w:right w:w="0" w:type="dxa"/>
        </w:tblCellMar>
      </w:tblPr>
      <w:tblGrid>
        <w:gridCol w:w="6725"/>
        <w:gridCol w:w="60"/>
        <w:gridCol w:w="134"/>
        <w:gridCol w:w="633"/>
        <w:gridCol w:w="85"/>
        <w:gridCol w:w="64"/>
        <w:gridCol w:w="134"/>
        <w:gridCol w:w="633"/>
        <w:gridCol w:w="80"/>
      </w:tblGrid>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13,315</w:t>
            </w:r>
          </w:p>
        </w:tc>
        <w:tc>
          <w:tcPr>
            <w:tcW w:w="8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unrealized gains (losses) on debt securities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(3,634</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14,174</w:t>
            </w:r>
          </w:p>
        </w:tc>
        <w:tc>
          <w:tcPr>
            <w:tcW w:w="8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unrealized gain (losses) on cash flow hedging derivatives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unrealized gain (losses) on other derivatives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income (loss), before tax</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(2,847</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 related to items of other comprehensive income (loss)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20,890</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 (unaudited)</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she"/>
      <w:bookmarkEnd w:id="6"/>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(Unaudited)</w:t>
      </w:r>
    </w:p>
    <w:p>
      <w:pPr>
        <w:pStyle w:val="TextBody"/>
        <w:bidi w:val="0"/>
        <w:spacing w:before="0" w:after="0"/>
        <w:ind w:left="0" w:right="0" w:hanging="0"/>
        <w:jc w:val="left"/>
        <w:rPr>
          <w:caps w:val="false"/>
          <w:smallCaps w:val="false"/>
        </w:rPr>
      </w:pPr>
      <w:r>
        <w:rPr>
          <w:caps w:val="false"/>
          <w:smallCaps w:val="false"/>
        </w:rPr>
        <w:t> </w:t>
      </w:r>
    </w:p>
    <w:tbl>
      <w:tblPr>
        <w:tblW w:w="8210" w:type="dxa"/>
        <w:jc w:val="left"/>
        <w:tblInd w:w="0" w:type="dxa"/>
        <w:tblLayout w:type="fixed"/>
        <w:tblCellMar>
          <w:top w:w="0" w:type="dxa"/>
          <w:left w:w="0" w:type="dxa"/>
          <w:bottom w:w="0" w:type="dxa"/>
          <w:right w:w="0" w:type="dxa"/>
        </w:tblCellMar>
      </w:tblPr>
      <w:tblGrid>
        <w:gridCol w:w="2885"/>
        <w:gridCol w:w="60"/>
        <w:gridCol w:w="71"/>
        <w:gridCol w:w="699"/>
        <w:gridCol w:w="80"/>
        <w:gridCol w:w="60"/>
        <w:gridCol w:w="140"/>
        <w:gridCol w:w="780"/>
        <w:gridCol w:w="80"/>
        <w:gridCol w:w="60"/>
        <w:gridCol w:w="125"/>
        <w:gridCol w:w="695"/>
        <w:gridCol w:w="80"/>
        <w:gridCol w:w="60"/>
        <w:gridCol w:w="207"/>
        <w:gridCol w:w="1088"/>
        <w:gridCol w:w="80"/>
        <w:gridCol w:w="60"/>
        <w:gridCol w:w="125"/>
        <w:gridCol w:w="695"/>
        <w:gridCol w:w="8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8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and shares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495,410</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13,315</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10,112</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dividends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w:t>
              <w:noBreakHyphen/>
              <w:t>based compensation expense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 March 31, 2025</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270,159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281,961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514,232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564,934</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dividends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w:t>
              <w:noBreakHyphen/>
              <w:t>based compensation expense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 March 31, 2026</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266,016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287,700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 (unaudited)</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cfs"/>
      <w:bookmarkEnd w:id="7"/>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 (Unaudited)</w:t>
      </w:r>
    </w:p>
    <w:p>
      <w:pPr>
        <w:pStyle w:val="TextBody"/>
        <w:bidi w:val="0"/>
        <w:spacing w:before="0" w:after="0"/>
        <w:ind w:left="0" w:right="0" w:hanging="0"/>
        <w:jc w:val="center"/>
        <w:rPr>
          <w:caps w:val="false"/>
          <w:smallCaps w:val="false"/>
        </w:rPr>
      </w:pPr>
      <w:r>
        <w:rPr>
          <w:caps w:val="false"/>
          <w:smallCaps w:val="false"/>
        </w:rPr>
        <w:t> </w:t>
      </w:r>
    </w:p>
    <w:tbl>
      <w:tblPr>
        <w:tblW w:w="9080" w:type="dxa"/>
        <w:jc w:val="left"/>
        <w:tblInd w:w="0" w:type="dxa"/>
        <w:tblLayout w:type="fixed"/>
        <w:tblCellMar>
          <w:top w:w="0" w:type="dxa"/>
          <w:left w:w="0" w:type="dxa"/>
          <w:bottom w:w="0" w:type="dxa"/>
          <w:right w:w="0" w:type="dxa"/>
        </w:tblCellMar>
      </w:tblPr>
      <w:tblGrid>
        <w:gridCol w:w="7100"/>
        <w:gridCol w:w="60"/>
        <w:gridCol w:w="125"/>
        <w:gridCol w:w="755"/>
        <w:gridCol w:w="80"/>
        <w:gridCol w:w="60"/>
        <w:gridCol w:w="125"/>
        <w:gridCol w:w="695"/>
        <w:gridCol w:w="80"/>
      </w:tblGrid>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13,315</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(used)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4,334</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(recovery of) credit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3,839</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and accretion of premiums/discounts on investment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w:t>
              <w:noBreakHyphen/>
              <w:t>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accounting accretion,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Originations of loans held for 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on loans held for sale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70,108</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loss (gain) on mortgage loans sold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Servicing rights capitalized upon sale of mortgage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value of bank-owned life insurance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Realized loss (gain) on sale of premises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loss (gain) on derivative instruments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loss (gain) on sale of foreclosed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mortgage servicing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(used)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7,715</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trading investment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3,377</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trading investment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or calls of investment securities available-for-sale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maturities of investment securities available-for-sale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24,563</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 securities available-for-sale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calls of investment securities held-to-maturity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maturities and paydowns of investment securities held-to-maturity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6,562</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FHLB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of FHLB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141,837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73,548</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BOLI</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premises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foreclosed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(used) by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106,881</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short-term borrowings with maturities of three months or less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paid on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(used)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21,740</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67,192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 (unaudited)</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8263" w:type="dxa"/>
        <w:jc w:val="left"/>
        <w:tblInd w:w="0" w:type="dxa"/>
        <w:tblLayout w:type="fixed"/>
        <w:tblCellMar>
          <w:top w:w="0" w:type="dxa"/>
          <w:left w:w="0" w:type="dxa"/>
          <w:bottom w:w="0" w:type="dxa"/>
          <w:right w:w="0" w:type="dxa"/>
        </w:tblCellMar>
      </w:tblPr>
      <w:tblGrid>
        <w:gridCol w:w="6440"/>
        <w:gridCol w:w="60"/>
        <w:gridCol w:w="134"/>
        <w:gridCol w:w="633"/>
        <w:gridCol w:w="85"/>
        <w:gridCol w:w="64"/>
        <w:gridCol w:w="134"/>
        <w:gridCol w:w="633"/>
        <w:gridCol w:w="80"/>
      </w:tblGrid>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Cash Flow Disclosures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paid</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23,704</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29,227</w:t>
            </w:r>
          </w:p>
        </w:tc>
        <w:tc>
          <w:tcPr>
            <w:tcW w:w="80" w:type="dxa"/>
            <w:tcBorders/>
            <w:shd w:fill="FFFFFF" w:val="clear"/>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declared, not paid</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5,346</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5,078</w:t>
            </w:r>
          </w:p>
        </w:tc>
        <w:tc>
          <w:tcPr>
            <w:tcW w:w="80" w:type="dxa"/>
            <w:tcBorders/>
            <w:shd w:fill="FFFFFF" w:val="clear"/>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Disclosures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collateral transferred to foreclosed assets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operating lease liabilities, net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4,739</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Alerus Financial Corporation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8" w:name="notes"/>
      <w:bookmarkEnd w:id="8"/>
      <w:r>
        <w:rPr>
          <w:rFonts w:ascii="Times New Roman" w:hAnsi="Times New Roman"/>
          <w:b/>
          <w:caps w:val="false"/>
          <w:smallCaps w:val="false"/>
          <w:sz w:val="20"/>
        </w:rPr>
        <w:t>Notes</w:t>
      </w:r>
      <w:r>
        <w:rPr>
          <w:rFonts w:ascii="Times New Roman" w:hAnsi="Times New Roman"/>
          <w:caps w:val="false"/>
          <w:smallCaps w:val="false"/>
          <w:sz w:val="20"/>
        </w:rPr>
        <w:t> </w:t>
      </w:r>
      <w:r>
        <w:rPr>
          <w:rFonts w:ascii="Times New Roman" w:hAnsi="Times New Roman"/>
          <w:b/>
          <w:caps w:val="false"/>
          <w:smallCaps w:val="false"/>
          <w:sz w:val="20"/>
        </w:rPr>
        <w:t>to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accompanying unaudited consolidated interim financial statements and notes thereto of the Company have been prepared in accordance with instructions for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therefore,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disclosures required by accounting principles generally accepted in the United States of America (“GAAP”) for complete presentation of financial statements. In the opinion of management, the consolidated financial statements contain all adjustments (consisting only of normal recurring accruals) necessary to present fairly the consolidated balance sheets of Alerus Financial Corporation (“the Company”)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consolidated statements of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consolidated statements of comprehensive income (loss)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consolidated statements of changes in stockholders’ equity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the consolidated statements of cash flows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accompanying unaudited consolidated financial statements include the accounts of the Company and its wholly owned subsidiaries. The Company’s principal operating subsidiary is Alerus Financial, National Association (the “Bank”). Certain items previously reported have been reclassified to conform to the current period’s reporting format. Such reclassifications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affect net income or stockholders’ equity. The results of operations for the interim periods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for the full year or any other period. The Company has also evaluated all subsequent events for potential recognition and disclosure through the date of the filing of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These interim unaudited financial statements should be read in conjunction with the audited consolidated financial statements and the notes thereto as of and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with the SEC on </w:t>
      </w:r>
      <w:r>
        <w:rPr>
          <w:rStyle w:val="Emphasis"/>
          <w:rFonts w:ascii="Times New Roman" w:hAnsi="Times New Roman"/>
          <w:caps w:val="false"/>
          <w:smallCaps w:val="false"/>
          <w:sz w:val="20"/>
        </w:rPr>
        <w:t>March 4, 2026.</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Financial Accounting Standards Board (“FASB”) Accounting Standards Updates (“ASUs”) are divided into pronouncements which have been adopted by the Company since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those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effective and have been evaluated or are currently being evaluated by management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Adopted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Derivatives and Hedging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Hedge Accounting Improvements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amends existing hedge accounting guidance to improve the alignment of financial reporting with the economics of an entity's risk management activities. ASU </w:t>
      </w:r>
      <w:r>
        <w:rPr>
          <w:rStyle w:val="Emphasis"/>
          <w:rFonts w:ascii="Times New Roman" w:hAnsi="Times New Roman"/>
          <w:caps w:val="false"/>
          <w:smallCaps w:val="false"/>
          <w:sz w:val="20"/>
        </w:rPr>
        <w:t>202</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including interim periods within those annual reporting periods. Early adoption is permitted. The amendments in this update apply to any entity that elects to apply hedge accounting in accordance with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and generally are to be adopted on a prospective basis, with an election available to apply the guidance to existing hedging relationships as of the adoption date. The Company adopted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on a prospective basis. The adoption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consolidated financial statements.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Pronouncements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ASUs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effective to the Company since </w:t>
      </w:r>
      <w:r>
        <w:rPr>
          <w:rStyle w:val="Emphasis"/>
          <w:rFonts w:ascii="Times New Roman" w:hAnsi="Times New Roman"/>
          <w:caps w:val="false"/>
          <w:smallCaps w:val="false"/>
          <w:sz w:val="20"/>
        </w:rPr>
        <w:t>January 1, 2026.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Investment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Trading securities are reported on the Company’s consolidated balance sheet at fair value. The fair value of the Company’s trading securities was $1.8 million as of both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Changes in the fair value of trading securities are recorded in other noninterest income on the Company’s consolidated statements of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present amortized cost, gross unrealized gains and losses, allowance for credit losses (“ACL”) and fair value of available-for-sale (“AFS”) investment securities and the amortized cost, gross unrealized gains and losses and fair value of held-to-maturity (“HTM”) securities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09" w:type="dxa"/>
        <w:jc w:val="left"/>
        <w:tblInd w:w="0" w:type="dxa"/>
        <w:tblLayout w:type="fixed"/>
        <w:tblCellMar>
          <w:top w:w="0" w:type="dxa"/>
          <w:left w:w="0" w:type="dxa"/>
          <w:bottom w:w="0" w:type="dxa"/>
          <w:right w:w="0" w:type="dxa"/>
        </w:tblCellMar>
      </w:tblPr>
      <w:tblGrid>
        <w:gridCol w:w="3665"/>
        <w:gridCol w:w="60"/>
        <w:gridCol w:w="133"/>
        <w:gridCol w:w="742"/>
        <w:gridCol w:w="60"/>
        <w:gridCol w:w="60"/>
        <w:gridCol w:w="250"/>
        <w:gridCol w:w="670"/>
        <w:gridCol w:w="60"/>
        <w:gridCol w:w="60"/>
        <w:gridCol w:w="148"/>
        <w:gridCol w:w="772"/>
        <w:gridCol w:w="80"/>
        <w:gridCol w:w="60"/>
        <w:gridCol w:w="322"/>
        <w:gridCol w:w="867"/>
        <w:gridCol w:w="60"/>
        <w:gridCol w:w="60"/>
        <w:gridCol w:w="125"/>
        <w:gridCol w:w="695"/>
        <w:gridCol w:w="60"/>
      </w:tblGrid>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4"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Credit 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Available-for-sale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and agencies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480,627</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backed securities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available-for-sale investment securities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522,101</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Held-to-maturity</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of state and political agencies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100,994</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119,431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held-to-maturity investment securities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247,555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775,912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742,526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9009" w:type="dxa"/>
        <w:jc w:val="left"/>
        <w:tblInd w:w="0" w:type="dxa"/>
        <w:tblLayout w:type="fixed"/>
        <w:tblCellMar>
          <w:top w:w="0" w:type="dxa"/>
          <w:left w:w="0" w:type="dxa"/>
          <w:bottom w:w="0" w:type="dxa"/>
          <w:right w:w="0" w:type="dxa"/>
        </w:tblCellMar>
      </w:tblPr>
      <w:tblGrid>
        <w:gridCol w:w="3665"/>
        <w:gridCol w:w="60"/>
        <w:gridCol w:w="133"/>
        <w:gridCol w:w="742"/>
        <w:gridCol w:w="60"/>
        <w:gridCol w:w="60"/>
        <w:gridCol w:w="250"/>
        <w:gridCol w:w="670"/>
        <w:gridCol w:w="60"/>
        <w:gridCol w:w="60"/>
        <w:gridCol w:w="148"/>
        <w:gridCol w:w="772"/>
        <w:gridCol w:w="80"/>
        <w:gridCol w:w="60"/>
        <w:gridCol w:w="322"/>
        <w:gridCol w:w="867"/>
        <w:gridCol w:w="60"/>
        <w:gridCol w:w="60"/>
        <w:gridCol w:w="125"/>
        <w:gridCol w:w="695"/>
        <w:gridCol w:w="60"/>
      </w:tblGrid>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4"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Credit 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Available-for-sale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and agencies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476,746</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backed securities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available-for-sale investment securities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514,095</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Held-to-maturity</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of state and political agencies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105,405</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held-to-maturity investment securities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228,009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771,308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742,104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adequacy of the ACL on investment securities is assessed at the end of each quarter.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the AFS debt securities that were in an unrealized loss position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represented a credit loss impairment. As of both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gross unrealized loss positions were primarily related to mortgage-backed securities issued by U.S. government agencies or U.S. government-sponsored enterprises. These securities carry the explicit and/or implicit guarantee of the U.S. government, are widely recognized as “risk free,” and have a long history of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credit loss. Additionally, there were corporate bonds in gross unrealized loss positions as of both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however, all such bonds had an investment grade rating as of both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Total gross unrealized losses were attributable to changes in interest rates, relative to when the investment securities were purchased,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due to the credit quality of the investment securities.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that the Company will be required to sell the investment securities before recovery of their amortized cost basis,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at maturity.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ACL on HTM debt securities is estimated using relevant information, from internal and external sources, relating to past events, current conditions, and reasonable and supportable forecasts. Using a probability of default and loss given default analysis, the ACL on HTM debt securities was $118 thousand and $123 thousand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respectively. The change in the ACL on HTM debt securities was due to a change in the provision for credit losses, with no charge-offs or recoveries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Accrued interest receivable on AFS investment securities and HTM investment securities is recorded in accrued interest receivable and is excluded from the estimate of credit losses.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the accrued interest receivable on AFS investment securities and HTM investment securities totaled $2.1 million and $0.8 million, respectively.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accrued interest receivable on AFS investment securities and HTM investment securities totaled $1.9 million and $1.2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had no sales of AFS investment securities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had no calls of AFS investment securities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and had calls of AFS investment securities with proceeds of $10.0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had no sales of HTM investment securities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present investment securities with gross unrealized losses, for which an ACL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aggregated by investment category and length of time that individual investment securities have been in a continuous loss position: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3"/>
        <w:gridCol w:w="60"/>
        <w:gridCol w:w="183"/>
        <w:gridCol w:w="687"/>
        <w:gridCol w:w="60"/>
        <w:gridCol w:w="60"/>
        <w:gridCol w:w="171"/>
        <w:gridCol w:w="749"/>
        <w:gridCol w:w="83"/>
        <w:gridCol w:w="62"/>
        <w:gridCol w:w="130"/>
        <w:gridCol w:w="729"/>
        <w:gridCol w:w="60"/>
        <w:gridCol w:w="60"/>
        <w:gridCol w:w="171"/>
        <w:gridCol w:w="749"/>
        <w:gridCol w:w="80"/>
        <w:gridCol w:w="60"/>
        <w:gridCol w:w="125"/>
        <w:gridCol w:w="590"/>
        <w:gridCol w:w="60"/>
        <w:gridCol w:w="60"/>
        <w:gridCol w:w="171"/>
        <w:gridCol w:w="749"/>
        <w:gridCol w:w="80"/>
        <w:gridCol w:w="60"/>
        <w:gridCol w:w="125"/>
        <w:gridCol w:w="695"/>
        <w:gridCol w:w="63"/>
      </w:tblGrid>
      <w:tr>
        <w:trPr/>
        <w:tc>
          <w:tcPr>
            <w:tcW w:w="3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19"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Less than 12 Months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Over 12 Months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3" w:type="dxa"/>
            <w:tcBorders/>
            <w:shd w:fill="FFFF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Available-for-sale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and agencies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63" w:type="dxa"/>
            <w:tcBorders/>
            <w:shd w:fill="FFFFFF" w:val="cle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446,666</w:t>
            </w:r>
          </w:p>
        </w:tc>
        <w:tc>
          <w:tcPr>
            <w:tcW w:w="63" w:type="dxa"/>
            <w:tcBorders/>
            <w:shd w:fill="FFFFFF" w:val="cle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backed securities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3"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36,836</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available-for-sale investment securities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444,994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483,862</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192"/>
        <w:gridCol w:w="60"/>
        <w:gridCol w:w="183"/>
        <w:gridCol w:w="685"/>
        <w:gridCol w:w="60"/>
        <w:gridCol w:w="60"/>
        <w:gridCol w:w="221"/>
        <w:gridCol w:w="699"/>
        <w:gridCol w:w="90"/>
        <w:gridCol w:w="68"/>
        <w:gridCol w:w="141"/>
        <w:gridCol w:w="788"/>
        <w:gridCol w:w="60"/>
        <w:gridCol w:w="60"/>
        <w:gridCol w:w="171"/>
        <w:gridCol w:w="749"/>
        <w:gridCol w:w="80"/>
        <w:gridCol w:w="60"/>
        <w:gridCol w:w="125"/>
        <w:gridCol w:w="590"/>
        <w:gridCol w:w="60"/>
        <w:gridCol w:w="60"/>
        <w:gridCol w:w="171"/>
        <w:gridCol w:w="749"/>
        <w:gridCol w:w="80"/>
        <w:gridCol w:w="60"/>
        <w:gridCol w:w="125"/>
        <w:gridCol w:w="695"/>
        <w:gridCol w:w="63"/>
      </w:tblGrid>
      <w:tr>
        <w:trPr/>
        <w:tc>
          <w:tcPr>
            <w:tcW w:w="3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2"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Less than 12 Months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Over 12 Months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3" w:type="dxa"/>
            <w:tcBorders/>
            <w:shd w:fill="FFFFFF" w:val="clear"/>
            <w:vAlign w:val="center"/>
          </w:tcPr>
          <w:p>
            <w:pPr>
              <w:pStyle w:val="TableContents"/>
              <w:bidi w:val="0"/>
              <w:spacing w:before="0" w:after="283"/>
              <w:jc w:val="left"/>
              <w:rPr/>
            </w:pPr>
            <w:r>
              <w:rPr/>
              <w:t> </w:t>
            </w:r>
          </w:p>
        </w:tc>
      </w:tr>
      <w:tr>
        <w:trPr/>
        <w:tc>
          <w:tcPr>
            <w:tcW w:w="3192"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Available-for-sale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19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and agencies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3" w:type="dxa"/>
            <w:tcBorders/>
            <w:shd w:fill="FFFFFF" w:val="clear"/>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192"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321,992</w:t>
            </w:r>
          </w:p>
        </w:tc>
        <w:tc>
          <w:tcPr>
            <w:tcW w:w="63" w:type="dxa"/>
            <w:tcBorders/>
            <w:shd w:fill="FFFFFF" w:val="clear"/>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backed securities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pPr>
            <w:r>
              <w:rPr/>
              <w:t>—</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3" w:type="dxa"/>
            <w:tcBorders/>
            <w:shd w:fill="CCEEFF" w:val="clear"/>
            <w:vAlign w:val="center"/>
          </w:tcPr>
          <w:p>
            <w:pPr>
              <w:pStyle w:val="TableContents"/>
              <w:bidi w:val="0"/>
              <w:spacing w:before="0" w:after="283"/>
              <w:jc w:val="left"/>
              <w:rPr/>
            </w:pPr>
            <w:r>
              <w:rPr/>
              <w:t> </w:t>
            </w:r>
          </w:p>
        </w:tc>
      </w:tr>
      <w:tr>
        <w:trPr/>
        <w:tc>
          <w:tcPr>
            <w:tcW w:w="319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36,930</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available-for-sale investment securities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317,760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41,560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359,320</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none of the Company’s HTM debt securities were past due or on nonaccrual status. The Company did not recognize any interest income on nonaccrual HTM debt securities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presents the carrying value and fair value of HTM investment securities and the amortized cost and fair value of AFS investment securities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by contractual maturity:</w:t>
      </w:r>
    </w:p>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035"/>
        <w:gridCol w:w="60"/>
        <w:gridCol w:w="125"/>
        <w:gridCol w:w="695"/>
        <w:gridCol w:w="60"/>
        <w:gridCol w:w="60"/>
        <w:gridCol w:w="125"/>
        <w:gridCol w:w="695"/>
        <w:gridCol w:w="60"/>
        <w:gridCol w:w="60"/>
        <w:gridCol w:w="140"/>
        <w:gridCol w:w="780"/>
        <w:gridCol w:w="60"/>
        <w:gridCol w:w="60"/>
        <w:gridCol w:w="125"/>
        <w:gridCol w:w="695"/>
        <w:gridCol w:w="60"/>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Held-to-maturity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Available-for-sale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within one year or less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39,068</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10 years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2,239</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41,474</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119,431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484,220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480,627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247,555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220,425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528,357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522,101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Expected maturities will differ from contractual maturities because issuers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the right to call or prepay obligations with or without call or prepayment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Investment securities with a total carrying value of $306.1 million and $115.1 million were pledged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 to secure public deposits and for other purposes required or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carrying value of the Company’s Federal Reserve stock and Federal Home Loan Bank of Des Moines (“FHLB”) stock was as follows:</w:t>
      </w:r>
    </w:p>
    <w:p>
      <w:pPr>
        <w:pStyle w:val="TextBody"/>
        <w:bidi w:val="0"/>
        <w:spacing w:before="0" w:after="0"/>
        <w:ind w:left="0" w:right="0" w:hanging="0"/>
        <w:jc w:val="left"/>
        <w:rPr>
          <w:caps w:val="false"/>
          <w:smallCaps w:val="false"/>
        </w:rPr>
      </w:pPr>
      <w:r>
        <w:rPr>
          <w:caps w:val="false"/>
          <w:smallCaps w:val="false"/>
        </w:rPr>
        <w:t> </w:t>
      </w:r>
    </w:p>
    <w:tbl>
      <w:tblPr>
        <w:tblW w:w="4078" w:type="dxa"/>
        <w:jc w:val="left"/>
        <w:tblInd w:w="0" w:type="dxa"/>
        <w:tblLayout w:type="fixed"/>
        <w:tblCellMar>
          <w:top w:w="0" w:type="dxa"/>
          <w:left w:w="0" w:type="dxa"/>
          <w:bottom w:w="0" w:type="dxa"/>
          <w:right w:w="0" w:type="dxa"/>
        </w:tblCellMar>
      </w:tblPr>
      <w:tblGrid>
        <w:gridCol w:w="1820"/>
        <w:gridCol w:w="60"/>
        <w:gridCol w:w="152"/>
        <w:gridCol w:w="722"/>
        <w:gridCol w:w="60"/>
        <w:gridCol w:w="60"/>
        <w:gridCol w:w="199"/>
        <w:gridCol w:w="945"/>
        <w:gridCol w:w="60"/>
      </w:tblGrid>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Reserve</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8,631</w:t>
            </w:r>
          </w:p>
        </w:tc>
        <w:tc>
          <w:tcPr>
            <w:tcW w:w="6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securities can only be redeemed or sold at their par value and only to the respective issuing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Visa Class B Restricted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2008,</w:t>
      </w:r>
      <w:r>
        <w:rPr>
          <w:rFonts w:ascii="Times New Roman" w:hAnsi="Times New Roman"/>
          <w:caps w:val="false"/>
          <w:smallCaps w:val="false"/>
          <w:sz w:val="20"/>
        </w:rPr>
        <w:t xml:space="preserve"> the Company received Visa Class B restricted shares as part of Visa’s initial public offering. These shares are transferable only under limited circumstances until they can be converted into the publicly traded Class A common shares. This conversion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the conversion ratio was 1.5475. Based on the existing transfer restriction and the uncertainty of the outcome of the Visa litigation mentioned above, the 6,924 Class B shares (10,715 Class A equivalents) that the Company owned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carried at a zero cost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Loans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presents total loans outstanding, by portfolio segment,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094" w:type="dxa"/>
        <w:jc w:val="left"/>
        <w:tblInd w:w="0" w:type="dxa"/>
        <w:tblLayout w:type="fixed"/>
        <w:tblCellMar>
          <w:top w:w="0" w:type="dxa"/>
          <w:left w:w="0" w:type="dxa"/>
          <w:bottom w:w="0" w:type="dxa"/>
          <w:right w:w="0" w:type="dxa"/>
        </w:tblCellMar>
      </w:tblPr>
      <w:tblGrid>
        <w:gridCol w:w="3740"/>
        <w:gridCol w:w="60"/>
        <w:gridCol w:w="125"/>
        <w:gridCol w:w="845"/>
        <w:gridCol w:w="60"/>
        <w:gridCol w:w="60"/>
        <w:gridCol w:w="147"/>
        <w:gridCol w:w="997"/>
        <w:gridCol w:w="60"/>
      </w:tblGrid>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736,833</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427,260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1,191,723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1,164,093</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246,238</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383,505</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976,339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1,505,605</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64,799</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2,812,067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2,796,997</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874,737</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33,703</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260,883</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1,206,167</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1,222,677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4,034,744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4,048,022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Total loans included net deferred loan fees and costs of $3.4 million and $0.1 million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respectively. Unearned discounts associated with bank acquisitions totaled $40.7 million and $43.7 million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Accrued interest receivable on loans is recorded within accrued interest receivable, and totaled $16.8 million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$18.1 million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manages its loan portfolio proactively to effectively identify problem credits and assess trends early, implement effective work-out strategies, and take charge-offs as promptly as practical. In addition, the Company continuously reassesses its underwriting standards in response to credit risk posed by changes in economic conditions. The Company monitors and manages credit risk through the following governance structure: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Risk team, Collection and Special Assets team and the Credit Governance Committee, which is an internal management committee comprised of various executives and senior managers across business lines, including Accounting and Finance, Credit Underwriting, Collections and Special Assets, Risk, and Commercial and Retail Banking, oversee the Company’s systems and procedures to monitor the credit quality of its loan portfolio, conduct a loan review program, and maintain the integrity of the loan rating system.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Loan Committee is responsible for reviewing and approving all credit requests that exceed individual limits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countersigned by an individual with sufficient assigned authority. This committee has full authority to commit the Bank to any request that fits within its assigned approval authority.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adequacy of the ACL is overseen by the ACL Governance Committee, which is an internal management committee comprised of various Company executives and senior managers across business lines, including Accounting and Finance, Credit Underwriting, Collections and Special Assets, Risk, and Commercial and Retail Banking. The ACL Governance Committee supports the oversight efforts of the Bank’s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Bank’s Board of Directors has approval authority and responsibility for all matters regarding loan policy, reviews all loans approved or declined by the Loan Committee, approves lending authority and monitors asset quality and concentration levels.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ACL Governance Committee and Bank Board of Directors has approval authority and oversight responsibility for the ACL adequacy and methodology.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Loans with a carrying value of $2.4 billion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$2.6 billion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pledged to secure public deposits, and for other purposes required or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ACL 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present, by loan portfolio segment, a summary of the changes in the ACL on loans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9"/>
        <w:gridCol w:w="60"/>
        <w:gridCol w:w="322"/>
        <w:gridCol w:w="1535"/>
        <w:gridCol w:w="60"/>
        <w:gridCol w:w="60"/>
        <w:gridCol w:w="289"/>
        <w:gridCol w:w="1267"/>
        <w:gridCol w:w="80"/>
        <w:gridCol w:w="60"/>
        <w:gridCol w:w="185"/>
        <w:gridCol w:w="810"/>
        <w:gridCol w:w="80"/>
        <w:gridCol w:w="60"/>
        <w:gridCol w:w="249"/>
        <w:gridCol w:w="671"/>
        <w:gridCol w:w="60"/>
        <w:gridCol w:w="60"/>
        <w:gridCol w:w="125"/>
        <w:gridCol w:w="590"/>
        <w:gridCol w:w="63"/>
      </w:tblGrid>
      <w:tr>
        <w:trPr/>
        <w:tc>
          <w:tcPr>
            <w:tcW w:w="35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6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 2026</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w:t>
            </w:r>
          </w:p>
        </w:tc>
        <w:tc>
          <w:tcPr>
            <w:tcW w:w="60" w:type="dxa"/>
            <w:tcBorders/>
            <w:shd w:fill="FFFFFF" w:val="clear"/>
            <w:vAlign w:val="center"/>
          </w:tcPr>
          <w:p>
            <w:pPr>
              <w:pStyle w:val="TableContents"/>
              <w:bidi w:val="0"/>
              <w:spacing w:before="0" w:after="283"/>
              <w:ind w:left="0" w:right="0" w:hanging="0"/>
              <w:jc w:val="left"/>
              <w:rPr/>
            </w:pPr>
            <w:r>
              <w:rPr/>
              <w:t> </w:t>
            </w:r>
          </w:p>
        </w:tc>
        <w:tc>
          <w:tcPr>
            <w:tcW w:w="185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Provision for (Recovery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8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6"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Credit Losses(1)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Charge-offs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Recoveries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11,628</w:t>
            </w:r>
          </w:p>
        </w:tc>
        <w:tc>
          <w:tcPr>
            <w:tcW w:w="63" w:type="dxa"/>
            <w:tcBorders/>
            <w:shd w:fill="CCEEFF" w:val="cle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15,232</w:t>
            </w:r>
          </w:p>
        </w:tc>
        <w:tc>
          <w:tcPr>
            <w:tcW w:w="63" w:type="dxa"/>
            <w:tcBorders/>
            <w:shd w:fill="CCEEFF" w:val="cle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15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12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6,741</w:t>
            </w:r>
          </w:p>
        </w:tc>
        <w:tc>
          <w:tcPr>
            <w:tcW w:w="63" w:type="dxa"/>
            <w:tcBorders/>
            <w:shd w:fill="CCEEFF" w:val="cle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15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2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3,699</w:t>
            </w:r>
          </w:p>
        </w:tc>
        <w:tc>
          <w:tcPr>
            <w:tcW w:w="63" w:type="dxa"/>
            <w:tcBorders/>
            <w:shd w:fill="FFFFFF" w:val="cle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10,929</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15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2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21,369</w:t>
            </w:r>
          </w:p>
        </w:tc>
        <w:tc>
          <w:tcPr>
            <w:tcW w:w="63" w:type="dxa"/>
            <w:tcBorders/>
            <w:shd w:fill="FFFFFF" w:val="cle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15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2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63" w:type="dxa"/>
            <w:tcBorders/>
            <w:shd w:fill="FFFFFF" w:val="cle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36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15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12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37,971</w:t>
            </w:r>
          </w:p>
        </w:tc>
        <w:tc>
          <w:tcPr>
            <w:tcW w:w="63" w:type="dxa"/>
            <w:tcBorders/>
            <w:shd w:fill="CCEEFF" w:val="cle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15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2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9,122</w:t>
            </w:r>
          </w:p>
        </w:tc>
        <w:tc>
          <w:tcPr>
            <w:tcW w:w="63" w:type="dxa"/>
            <w:tcBorders/>
            <w:shd w:fill="FFFFFF" w:val="cle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15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12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63" w:type="dxa"/>
            <w:tcBorders/>
            <w:shd w:fill="CCEEFF" w:val="cle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15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2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w:t>
            </w:r>
          </w:p>
        </w:tc>
        <w:tc>
          <w:tcPr>
            <w:tcW w:w="63" w:type="dxa"/>
            <w:tcBorders/>
            <w:shd w:fill="FFFFFF" w:val="cle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15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2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11,956</w:t>
            </w:r>
          </w:p>
        </w:tc>
        <w:tc>
          <w:tcPr>
            <w:tcW w:w="63" w:type="dxa"/>
            <w:tcBorders/>
            <w:shd w:fill="FFFFFF" w:val="cle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1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12,534</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1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50,505</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100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The difference in the credit loss expense reported herein compared to the consolidated statements of income is associated with the credit loss expense of $0.5 million related to off-balance sheet credit exposure and $5.0 thousand related to HTM investment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9869" w:type="dxa"/>
        <w:jc w:val="left"/>
        <w:tblInd w:w="0" w:type="dxa"/>
        <w:tblLayout w:type="fixed"/>
        <w:tblCellMar>
          <w:top w:w="0" w:type="dxa"/>
          <w:left w:w="0" w:type="dxa"/>
          <w:bottom w:w="0" w:type="dxa"/>
          <w:right w:w="0" w:type="dxa"/>
        </w:tblCellMar>
      </w:tblPr>
      <w:tblGrid>
        <w:gridCol w:w="3740"/>
        <w:gridCol w:w="60"/>
        <w:gridCol w:w="155"/>
        <w:gridCol w:w="735"/>
        <w:gridCol w:w="60"/>
        <w:gridCol w:w="60"/>
        <w:gridCol w:w="403"/>
        <w:gridCol w:w="1566"/>
        <w:gridCol w:w="80"/>
        <w:gridCol w:w="60"/>
        <w:gridCol w:w="239"/>
        <w:gridCol w:w="756"/>
        <w:gridCol w:w="80"/>
        <w:gridCol w:w="60"/>
        <w:gridCol w:w="250"/>
        <w:gridCol w:w="670"/>
        <w:gridCol w:w="60"/>
        <w:gridCol w:w="60"/>
        <w:gridCol w:w="125"/>
        <w:gridCol w:w="590"/>
        <w:gridCol w:w="60"/>
      </w:tblGrid>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09"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Beginning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Provision for (Recovery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Ending</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Credit Losses(1)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Charge-offs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Recoveries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7,960</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11,472</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ind w:left="0" w:right="0" w:hanging="0"/>
              <w:jc w:val="left"/>
              <w:rPr/>
            </w:pPr>
            <w:r>
              <w:rPr/>
              <w:t> </w:t>
            </w:r>
          </w:p>
        </w:tc>
        <w:tc>
          <w:tcPr>
            <w:tcW w:w="1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18,369</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hanging="0"/>
              <w:jc w:val="left"/>
              <w:rPr/>
            </w:pPr>
            <w:r>
              <w:rPr/>
              <w:t> </w:t>
            </w:r>
          </w:p>
        </w:tc>
        <w:tc>
          <w:tcPr>
            <w:tcW w:w="1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4,749</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hanging="0"/>
              <w:jc w:val="left"/>
              <w:rPr/>
            </w:pPr>
            <w:r>
              <w:rPr/>
              <w:t> </w:t>
            </w:r>
          </w:p>
        </w:tc>
        <w:tc>
          <w:tcPr>
            <w:tcW w:w="1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39,460</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hanging="0"/>
              <w:jc w:val="left"/>
              <w:rPr/>
            </w:pPr>
            <w:r>
              <w:rPr/>
              <w:t> </w:t>
            </w:r>
          </w:p>
        </w:tc>
        <w:tc>
          <w:tcPr>
            <w:tcW w:w="1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ind w:left="0" w:right="0" w:hanging="0"/>
              <w:jc w:val="left"/>
              <w:rPr/>
            </w:pPr>
            <w:r>
              <w:rPr/>
              <w:t> </w:t>
            </w:r>
          </w:p>
        </w:tc>
        <w:tc>
          <w:tcPr>
            <w:tcW w:w="1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52,448</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hanging="0"/>
              <w:jc w:val="left"/>
              <w:rPr/>
            </w:pPr>
            <w:r>
              <w:rPr/>
              <w:t> </w:t>
            </w:r>
          </w:p>
        </w:tc>
        <w:tc>
          <w:tcPr>
            <w:tcW w:w="1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7,042</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ind w:left="0" w:right="0" w:hanging="0"/>
              <w:jc w:val="left"/>
              <w:rPr/>
            </w:pPr>
            <w:r>
              <w:rPr/>
              <w:t> </w:t>
            </w:r>
          </w:p>
        </w:tc>
        <w:tc>
          <w:tcPr>
            <w:tcW w:w="1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hanging="0"/>
              <w:jc w:val="left"/>
              <w:rPr/>
            </w:pPr>
            <w:r>
              <w:rPr/>
              <w:t> </w:t>
            </w:r>
          </w:p>
        </w:tc>
        <w:tc>
          <w:tcPr>
            <w:tcW w:w="1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hanging="0"/>
              <w:jc w:val="left"/>
              <w:rPr/>
            </w:pPr>
            <w:r>
              <w:rPr/>
              <w:t> </w:t>
            </w:r>
          </w:p>
        </w:tc>
        <w:tc>
          <w:tcPr>
            <w:tcW w:w="1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9,128</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10035" w:type="dxa"/>
            <w:tcBorders/>
            <w:vAlign w:val="center"/>
          </w:tcPr>
          <w:p>
            <w:pPr>
              <w:pStyle w:val="TableContents"/>
              <w:bidi w:val="0"/>
              <w:spacing w:before="0" w:after="283"/>
              <w:jc w:val="left"/>
              <w:rPr>
                <w:sz w:val="16"/>
              </w:rPr>
            </w:pPr>
            <w:r>
              <w:rPr>
                <w:sz w:val="16"/>
              </w:rPr>
              <w:t>The difference in the credit loss expense reported herein compared to the consolidated statements of income is associated with the credit loss expense of ($1.5) million related to off-balance sheet credit exposure and ($2.0) thousand related to HTM investment securities. </w:t>
            </w:r>
          </w:p>
        </w:tc>
      </w:tr>
    </w:tbl>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ACL on loans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was $50.5 million, a decrease of $11.4 million, or 18.4%, from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decrease was primarily due to a decrease in nonperforming loans.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Credit Concentrations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focuses on maintaining a well-balanced and diversified loan portfolio. Despite such efforts, it is recognized that credit concentrations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occasionally emerge as a result of economic conditions, changes in local demand, natural loan growth and runoff. To identify credit concentrations effectively, all commercial and industrial and owner occupied real estate loans are assigned Standard Industrial Classification codes, North American Industry Classification System codes and state and county codes. Property type coding is used for investment real estate.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industry concentrations exceeding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Company’s total loan portfolio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Credit Quality Indicators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consumer loan portfolio is primarily comprised of secured loans that are evaluated at origination on a centralized basis against standardized underwriting criteria.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risk rate consumer loans unless a default event such as bankruptcy or extended nonperformance takes place. Credit quality for the consumer loan portfolio is measured by delinquency rates, nonaccrual amounts and actual losses incurred. These loans are rated as either performing or nonperforming.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assigns a risk rating to all commercial loans, except pools of homogeneous loans, and performs detailed internal and external reviews of risk rated loans over a certain threshold to identify credit risks and to assess the overall collectability of the portfolio. These risk ratings are also subject to examination by the Company’s regulators. During the internal reviews, management monitors and analyzes the financial condition of borrowers and guarantors, trends in the industries in which the borrowers operate and the estimated fair values of collateral securing the loans. These credit quality indicators are used to assign a risk rating to each individual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ratings are aligned to pass and criticized categories. The criticized category includes special mention, substandard, and doubtful risk ratings. The risk ratings are defined as follows:</w:t>
      </w:r>
    </w:p>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60"/>
        <w:gridCol w:w="170"/>
        <w:gridCol w:w="9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40"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Pass:</w:t>
            </w:r>
            <w:r>
              <w:rPr>
                <w:rFonts w:ascii="Times New Roman" w:hAnsi="Times New Roman"/>
                <w:caps w:val="false"/>
                <w:smallCaps w:val="false"/>
                <w:sz w:val="20"/>
              </w:rPr>
              <w:t xml:space="preserve"> A pass loan is a credit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existing or known potential weaknesses deserving of management’s close attention.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Special Mention:</w:t>
            </w:r>
            <w:r>
              <w:rPr>
                <w:rFonts w:ascii="Times New Roman" w:hAnsi="Times New Roman"/>
                <w:caps w:val="false"/>
                <w:smallCaps w:val="false"/>
                <w:sz w:val="20"/>
              </w:rPr>
              <w:t xml:space="preserve"> Loans classified as special mention have a potential weakness that deserves management’s close attention. If left uncorrected, these potential weaknesses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the deterioration of the repayment prospects for the loan or in the Company’s credit position at some future date. Special mention loans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adversely classified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expose the Company to sufficient risk to warrant adverse classification.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Substandard:</w:t>
            </w:r>
            <w:r>
              <w:rPr>
                <w:rFonts w:ascii="Times New Roman" w:hAnsi="Times New Roman"/>
                <w:caps w:val="false"/>
                <w:smallCaps w:val="false"/>
                <w:sz w:val="20"/>
              </w:rPr>
              <w:t xml:space="preserve"> Loans classified as substandard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adequately protected by the current net worth and paying capacity of the borrower or of the collateral pledged, if any. Loans so classified have a well</w:t>
              <w:noBreakHyphen/>
              <w:t xml:space="preserve">defined weakness, or weaknesses that jeopardize the repayment of the debt. Well-defined weaknesses include a borrower’s lack of marketability, inadequate cash flow or collateral support, failure to complete construction on time, or the failure to fulfill expectations. They are characterized by the distinct possibility that the Company will sustain some loss if the deficiencies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corrected.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Doubtful:</w:t>
            </w:r>
            <w:r>
              <w:rPr>
                <w:rFonts w:ascii="Times New Roman" w:hAnsi="Times New Roman"/>
                <w:caps w:val="false"/>
                <w:smallCaps w:val="false"/>
                <w:sz w:val="20"/>
              </w:rPr>
              <w:t> Loans classified as doubtful have all the weaknesses inherent in those classified as substandard, with the added characteristic that the weaknesses make collection or repayment in full, on the basis of currently existing facts, conditions, and values, highly questionable and improbable.</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Loss:</w:t>
            </w:r>
            <w:r>
              <w:rPr>
                <w:rFonts w:ascii="Times New Roman" w:hAnsi="Times New Roman"/>
                <w:caps w:val="false"/>
                <w:smallCaps w:val="false"/>
                <w:sz w:val="20"/>
              </w:rPr>
              <w:t> Loans classified as loss are considered uncollectible and charged off immediately.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The following tables set forth the amortized cost basis of loans by credit quality indicator and vintage based on the most recent analysis performed,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9"/>
        <w:gridCol w:w="60"/>
        <w:gridCol w:w="115"/>
        <w:gridCol w:w="638"/>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740"/>
        <w:gridCol w:w="60"/>
        <w:gridCol w:w="60"/>
        <w:gridCol w:w="172"/>
        <w:gridCol w:w="964"/>
        <w:gridCol w:w="60"/>
        <w:gridCol w:w="60"/>
        <w:gridCol w:w="110"/>
        <w:gridCol w:w="740"/>
        <w:gridCol w:w="77"/>
      </w:tblGrid>
      <w:tr>
        <w:trPr/>
        <w:tc>
          <w:tcPr>
            <w:tcW w:w="2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5063"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Term Loans Amortized Cost Basis by Origination Year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Loans 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 of March 31, 2026</w:t>
            </w:r>
          </w:p>
        </w:tc>
        <w:tc>
          <w:tcPr>
            <w:tcW w:w="60" w:type="dxa"/>
            <w:tcBorders/>
            <w:shd w:fill="FFFFFF" w:val="clear"/>
            <w:vAlign w:val="center"/>
          </w:tcPr>
          <w:p>
            <w:pPr>
              <w:pStyle w:val="TableContents"/>
              <w:bidi w:val="0"/>
              <w:spacing w:before="0" w:after="283"/>
              <w:ind w:left="0" w:right="0" w:hanging="0"/>
              <w:jc w:val="left"/>
              <w:rPr/>
            </w:pPr>
            <w:r>
              <w:rPr/>
              <w:t> </w:t>
            </w:r>
          </w:p>
        </w:tc>
        <w:tc>
          <w:tcPr>
            <w:tcW w:w="7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 YTD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Cost Basis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Commercial and industrial</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715,333</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1,274</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26,363</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4,477</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59,104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236,008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121,191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65,281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39,222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73,001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153,640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747,447</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6,565</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CRE − Owner occupied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161,837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430,539</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2,637</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11,100</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40,688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91,868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53,307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63,572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170,345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444,276</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CRE − Construction, land and development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113,345</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33,552</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63,073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146,897</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CRE − Multifamily</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369,127</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835</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12,434</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9,701</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6,197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54,710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120,594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106,559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97,728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392,097</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556</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CRE − Non-owner occupied</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248,255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966,775</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1,027</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8,537</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34,324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104,950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269,489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136,428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176,285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253,025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976,339</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Agricultural − Land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49,007</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2,985</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2,036</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15,749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54,028</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Agricultural − Production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44,807</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2,908</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3,268</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3,433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5,554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30,798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50,983</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Residential real estate − First lien</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Performing</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205,336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436,444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849,562</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Nonperforming</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1,989</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5,622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51,214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35,183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115,617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205,336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438,433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851,551</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Residential real estate − Construction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Performing</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28,192</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Nonperforming</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4,680</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7,916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32,872</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Residential real estate − HELOC</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Performing</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243,260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261,973</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Nonperforming</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158</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243,260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262,131</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Residential real estate − Junior lien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Performing</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33,600</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Nonperforming</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2,183</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6,304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35,783</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 for the year ended</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Other consumer</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Performing</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40,025</w:t>
            </w:r>
          </w:p>
        </w:tc>
        <w:tc>
          <w:tcPr>
            <w:tcW w:w="77" w:type="dxa"/>
            <w:tcBorders/>
            <w:shd w:fill="CCEEFF" w:val="cle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Nonperforming</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315</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2,194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40,340</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w:t>
            </w:r>
          </w:p>
        </w:tc>
        <w:tc>
          <w:tcPr>
            <w:tcW w:w="77" w:type="dxa"/>
            <w:tcBorders/>
            <w:shd w:fill="FFFFFF" w:val="clear"/>
            <w:vAlign w:val="center"/>
          </w:tcPr>
          <w:p>
            <w:pPr>
              <w:pStyle w:val="TableContents"/>
              <w:bidi w:val="0"/>
              <w:spacing w:before="0" w:after="283"/>
              <w:jc w:val="left"/>
              <w:rPr/>
            </w:pPr>
            <w:r>
              <w:rPr/>
              <w:t> </w:t>
            </w:r>
          </w:p>
        </w:tc>
      </w:tr>
      <w:tr>
        <w:trPr/>
        <w:tc>
          <w:tcPr>
            <w:tcW w:w="2779"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135,073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510,940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667,416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536,531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651,548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1,071,700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461,536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4,034,744</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77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4,348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7,446</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922"/>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77"/>
        <w:gridCol w:w="990"/>
        <w:gridCol w:w="60"/>
        <w:gridCol w:w="60"/>
        <w:gridCol w:w="110"/>
        <w:gridCol w:w="740"/>
        <w:gridCol w:w="76"/>
      </w:tblGrid>
      <w:tr>
        <w:trPr/>
        <w:tc>
          <w:tcPr>
            <w:tcW w:w="29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48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Term Loans Amortized Cost Basis by Origination Year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Loans 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 of 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Cost Basis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Commercial and industrial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703,510</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914</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20,378</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12,031</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244,462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139,982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72,958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46,781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22,329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58,073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152,248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736,833</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916</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CRE − Owner occupied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413,202</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2,683</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11,375</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42,468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86,479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56,471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64,657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41,996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133,180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427,260</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CRE − Construction, land and development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212,037</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34,023</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159,439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18,056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246,238</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CRE − Multifamily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354,964</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831</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27,710</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119,955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115,403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31,022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78,800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383,505</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CRE − Non-owner occupied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858,271</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1,040</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16,551</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102,426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196,932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139,787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176,589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89,002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170,111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875,862</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3,401</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Agricultural − Land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57,146</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3,548</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4,105</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64,799</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Agricultural − Production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58,838</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3,289</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40,265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62,500</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384</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Residential real estate − First lien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Performing</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210,228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872,135</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Nonperforming</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2,602</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53,688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37,893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123,150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210,228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235,103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214,675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874,737</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Residential real estate − Construction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Performing</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29,023</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Nonperforming</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4,680</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33,703</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Residential real estate − HELOC</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Performing</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260,755</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Nonperforming</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242,285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260,883</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548</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Residential real estate − Junior lien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Performing</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34,469</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Nonperforming</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2,375</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4,753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7,090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36,844</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Other consumer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Performing</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44,510</w:t>
            </w:r>
          </w:p>
        </w:tc>
        <w:tc>
          <w:tcPr>
            <w:tcW w:w="76"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Nonperforming</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348</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5,330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44,858</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138</w:t>
            </w:r>
          </w:p>
        </w:tc>
        <w:tc>
          <w:tcPr>
            <w:tcW w:w="76" w:type="dxa"/>
            <w:tcBorders/>
            <w:shd w:fill="FFFFFF" w:val="clear"/>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517,639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689,272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559,773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690,039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431,279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684,473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475,547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4,048,022</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2,453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5,748</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Past Due and Nonaccrual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closely monitors the performance of its loan portfolio. A loan is placed on nonaccrual status when the financial condition of the borrower is deteriorating, payment in full of both principal and interest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as scheduled or principal or interest has been in default for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more. Exceptions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made if the asset is secured by collateral sufficient to satisfy both the principal and accrued interest in full and collection is reasonably assured. When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loan to a borrower is placed on nonaccrual status, all other loans to the borrower are re-evaluated to determine if they should also be placed on nonaccrual status. All previously accrued and unpaid interest is reversed at that time. A loan will return to accrual when collection of principal and interest is assured and the borrower has demonstrated timely payments of principal and interest for a reasonable period, generally at least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present a past due aging analysis of total loans outstanding, by portfolio segment,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26"/>
        <w:gridCol w:w="60"/>
        <w:gridCol w:w="125"/>
        <w:gridCol w:w="845"/>
        <w:gridCol w:w="60"/>
        <w:gridCol w:w="60"/>
        <w:gridCol w:w="212"/>
        <w:gridCol w:w="823"/>
        <w:gridCol w:w="60"/>
        <w:gridCol w:w="60"/>
        <w:gridCol w:w="281"/>
        <w:gridCol w:w="754"/>
        <w:gridCol w:w="60"/>
        <w:gridCol w:w="60"/>
        <w:gridCol w:w="242"/>
        <w:gridCol w:w="509"/>
        <w:gridCol w:w="60"/>
        <w:gridCol w:w="60"/>
        <w:gridCol w:w="173"/>
        <w:gridCol w:w="822"/>
        <w:gridCol w:w="60"/>
        <w:gridCol w:w="60"/>
        <w:gridCol w:w="125"/>
        <w:gridCol w:w="845"/>
        <w:gridCol w:w="63"/>
      </w:tblGrid>
      <w:tr>
        <w:trPr/>
        <w:tc>
          <w:tcPr>
            <w:tcW w:w="37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6"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90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Accruing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30 - 59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60 - 89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or More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3" w:type="dxa"/>
            <w:tcBorders/>
            <w:shd w:fill="FFFFFF" w:val="cle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Current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Past 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Past 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Past 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Nonaccrual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Loans</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747,447</w:t>
            </w:r>
          </w:p>
        </w:tc>
        <w:tc>
          <w:tcPr>
            <w:tcW w:w="63" w:type="dxa"/>
            <w:tcBorders/>
            <w:shd w:fill="CCEEFF" w:val="cle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442,877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444,276</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1,180,639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1,191,723</w:t>
            </w:r>
          </w:p>
        </w:tc>
        <w:tc>
          <w:tcPr>
            <w:tcW w:w="63" w:type="dxa"/>
            <w:tcBorders/>
            <w:shd w:fill="CCEEFF" w:val="cle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146,897</w:t>
            </w:r>
          </w:p>
        </w:tc>
        <w:tc>
          <w:tcPr>
            <w:tcW w:w="63" w:type="dxa"/>
            <w:tcBorders/>
            <w:shd w:fill="CCEEFF" w:val="cle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392,097</w:t>
            </w:r>
          </w:p>
        </w:tc>
        <w:tc>
          <w:tcPr>
            <w:tcW w:w="63" w:type="dxa"/>
            <w:tcBorders/>
            <w:shd w:fill="FFFFFF" w:val="cle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975,494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976,339</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1,515,333</w:t>
            </w:r>
          </w:p>
        </w:tc>
        <w:tc>
          <w:tcPr>
            <w:tcW w:w="63" w:type="dxa"/>
            <w:tcBorders/>
            <w:shd w:fill="FFFFFF" w:val="cle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54,028</w:t>
            </w:r>
          </w:p>
        </w:tc>
        <w:tc>
          <w:tcPr>
            <w:tcW w:w="63" w:type="dxa"/>
            <w:tcBorders/>
            <w:shd w:fill="FFFFFF" w:val="cle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50,493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50,983</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104,143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105,011</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2,761,006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2,812,067</w:t>
            </w:r>
          </w:p>
        </w:tc>
        <w:tc>
          <w:tcPr>
            <w:tcW w:w="63" w:type="dxa"/>
            <w:tcBorders/>
            <w:shd w:fill="CCEEFF" w:val="cle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851,551</w:t>
            </w:r>
          </w:p>
        </w:tc>
        <w:tc>
          <w:tcPr>
            <w:tcW w:w="63" w:type="dxa"/>
            <w:tcBorders/>
            <w:shd w:fill="FFFFFF" w:val="cle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32,872</w:t>
            </w:r>
          </w:p>
        </w:tc>
        <w:tc>
          <w:tcPr>
            <w:tcW w:w="63" w:type="dxa"/>
            <w:tcBorders/>
            <w:shd w:fill="CCEEFF" w:val="cle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262,131</w:t>
            </w:r>
          </w:p>
        </w:tc>
        <w:tc>
          <w:tcPr>
            <w:tcW w:w="63" w:type="dxa"/>
            <w:tcBorders/>
            <w:shd w:fill="FFFFFF" w:val="cle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33,594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35,783</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1,182,337</w:t>
            </w:r>
          </w:p>
        </w:tc>
        <w:tc>
          <w:tcPr>
            <w:tcW w:w="63" w:type="dxa"/>
            <w:tcBorders/>
            <w:shd w:fill="FFFFFF" w:val="cle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39,949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40,340</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26"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1,211,285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1,222,677</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6"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3,972,291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53,881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4,034,744</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25"/>
        <w:gridCol w:w="60"/>
        <w:gridCol w:w="125"/>
        <w:gridCol w:w="845"/>
        <w:gridCol w:w="60"/>
        <w:gridCol w:w="60"/>
        <w:gridCol w:w="212"/>
        <w:gridCol w:w="823"/>
        <w:gridCol w:w="60"/>
        <w:gridCol w:w="60"/>
        <w:gridCol w:w="212"/>
        <w:gridCol w:w="823"/>
        <w:gridCol w:w="60"/>
        <w:gridCol w:w="60"/>
        <w:gridCol w:w="242"/>
        <w:gridCol w:w="509"/>
        <w:gridCol w:w="60"/>
        <w:gridCol w:w="60"/>
        <w:gridCol w:w="173"/>
        <w:gridCol w:w="822"/>
        <w:gridCol w:w="60"/>
        <w:gridCol w:w="60"/>
        <w:gridCol w:w="125"/>
        <w:gridCol w:w="845"/>
        <w:gridCol w:w="64"/>
      </w:tblGrid>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6"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90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Accruing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30 - 59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60 - 89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or More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4" w:type="dxa"/>
            <w:tcBorders/>
            <w:shd w:fill="FFFF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Current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Past 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Past 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Past 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Nonaccrual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Loans</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736,833</w:t>
            </w:r>
          </w:p>
        </w:tc>
        <w:tc>
          <w:tcPr>
            <w:tcW w:w="64"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426,803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427,260</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1,164,093</w:t>
            </w:r>
          </w:p>
        </w:tc>
        <w:tc>
          <w:tcPr>
            <w:tcW w:w="64"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246,238</w:t>
            </w:r>
          </w:p>
        </w:tc>
        <w:tc>
          <w:tcPr>
            <w:tcW w:w="64"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383,505</w:t>
            </w:r>
          </w:p>
        </w:tc>
        <w:tc>
          <w:tcPr>
            <w:tcW w:w="64"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874,042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875,862</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1,505,605</w:t>
            </w:r>
          </w:p>
        </w:tc>
        <w:tc>
          <w:tcPr>
            <w:tcW w:w="64"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64,799</w:t>
            </w:r>
          </w:p>
        </w:tc>
        <w:tc>
          <w:tcPr>
            <w:tcW w:w="64"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62,500</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127,299</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2,736,170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2,796,997</w:t>
            </w:r>
          </w:p>
        </w:tc>
        <w:tc>
          <w:tcPr>
            <w:tcW w:w="64"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874,737</w:t>
            </w:r>
          </w:p>
        </w:tc>
        <w:tc>
          <w:tcPr>
            <w:tcW w:w="64"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33,703</w:t>
            </w:r>
          </w:p>
        </w:tc>
        <w:tc>
          <w:tcPr>
            <w:tcW w:w="64"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260,883</w:t>
            </w:r>
          </w:p>
        </w:tc>
        <w:tc>
          <w:tcPr>
            <w:tcW w:w="64"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36,844</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1,206,167</w:t>
            </w:r>
          </w:p>
        </w:tc>
        <w:tc>
          <w:tcPr>
            <w:tcW w:w="64"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44,858</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1,237,614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1,251,025</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3,973,784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4,048,022</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In calculating expected credit losses, the Company includes loans on nonaccrual status and loans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more past due and still accruing. The following tables present the amortized cost basis on nonaccrual status loans and loans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more past due and still accruing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740"/>
        <w:gridCol w:w="60"/>
        <w:gridCol w:w="272"/>
        <w:gridCol w:w="1292"/>
        <w:gridCol w:w="60"/>
        <w:gridCol w:w="60"/>
        <w:gridCol w:w="173"/>
        <w:gridCol w:w="822"/>
        <w:gridCol w:w="60"/>
        <w:gridCol w:w="60"/>
        <w:gridCol w:w="426"/>
        <w:gridCol w:w="718"/>
        <w:gridCol w:w="60"/>
      </w:tblGrid>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4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March 31,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90 Days</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Nonaccrual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or More</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with no Allowance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Past Due</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Credit 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Nonaccrual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and Accruing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53,881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740"/>
        <w:gridCol w:w="60"/>
        <w:gridCol w:w="272"/>
        <w:gridCol w:w="1292"/>
        <w:gridCol w:w="60"/>
        <w:gridCol w:w="60"/>
        <w:gridCol w:w="173"/>
        <w:gridCol w:w="822"/>
        <w:gridCol w:w="60"/>
        <w:gridCol w:w="60"/>
        <w:gridCol w:w="426"/>
        <w:gridCol w:w="718"/>
        <w:gridCol w:w="60"/>
      </w:tblGrid>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4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90 Days</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Nonaccrual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or More</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with no Allowance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Past Due</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Credit 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Nonaccrual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and Accruing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Interest income that would have been recognized if loans on nonaccrual status had been current in accordance with their original terms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is estimated to have been $1.0 million and $1.1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policy is to reverse previously recorded interest income when a loan is placed on nonaccrual status. As a result, the Company did not record any interest income on its nonaccrual loans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total accrued interest receivable on loans, which had been excluded from reported amortized cost basis on loans, was $16.8 million and $18.1 million, respectively, and was reported within accrued interest receivable on the consolidated statements of condition. An allowance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carried on the accrued interest receivable at either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present the amortized cost basis of collateral dependent loans, by the primary collateral type, which are individually evaluated to determine expected credit losses, and the related ACL allocated to these loans,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8723" w:type="dxa"/>
        <w:jc w:val="left"/>
        <w:tblInd w:w="0" w:type="dxa"/>
        <w:tblLayout w:type="fixed"/>
        <w:tblCellMar>
          <w:top w:w="0" w:type="dxa"/>
          <w:left w:w="0" w:type="dxa"/>
          <w:bottom w:w="0" w:type="dxa"/>
          <w:right w:w="0" w:type="dxa"/>
        </w:tblCellMar>
      </w:tblPr>
      <w:tblGrid>
        <w:gridCol w:w="3740"/>
        <w:gridCol w:w="60"/>
        <w:gridCol w:w="163"/>
        <w:gridCol w:w="771"/>
        <w:gridCol w:w="60"/>
        <w:gridCol w:w="60"/>
        <w:gridCol w:w="191"/>
        <w:gridCol w:w="744"/>
        <w:gridCol w:w="60"/>
        <w:gridCol w:w="60"/>
        <w:gridCol w:w="125"/>
        <w:gridCol w:w="485"/>
        <w:gridCol w:w="60"/>
        <w:gridCol w:w="60"/>
        <w:gridCol w:w="125"/>
        <w:gridCol w:w="590"/>
        <w:gridCol w:w="60"/>
        <w:gridCol w:w="60"/>
        <w:gridCol w:w="243"/>
        <w:gridCol w:w="946"/>
        <w:gridCol w:w="60"/>
      </w:tblGrid>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6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March 31,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6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Primary Type of Collateral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Real 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Equipment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Credit 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3,510</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3,540</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3,079</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3,079</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6,656</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740"/>
        <w:gridCol w:w="60"/>
        <w:gridCol w:w="163"/>
        <w:gridCol w:w="771"/>
        <w:gridCol w:w="60"/>
        <w:gridCol w:w="60"/>
        <w:gridCol w:w="303"/>
        <w:gridCol w:w="632"/>
        <w:gridCol w:w="60"/>
        <w:gridCol w:w="60"/>
        <w:gridCol w:w="131"/>
        <w:gridCol w:w="354"/>
        <w:gridCol w:w="60"/>
        <w:gridCol w:w="60"/>
        <w:gridCol w:w="125"/>
        <w:gridCol w:w="590"/>
        <w:gridCol w:w="60"/>
        <w:gridCol w:w="60"/>
        <w:gridCol w:w="243"/>
        <w:gridCol w:w="946"/>
        <w:gridCol w:w="60"/>
      </w:tblGrid>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38"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38"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Primary Type of Collateral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Real 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Equipment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Credit 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 − 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5,635</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Multifamily</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Non-owner occupied</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6,589</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Collateral dependent loans are loans for which the repayment is expected to be provided substantially by the underlying collateral when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available and reliable sources of repayment.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Land, Premises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Components of land, premises and equipment, net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were as follows: </w:t>
      </w:r>
    </w:p>
    <w:p>
      <w:pPr>
        <w:pStyle w:val="TextBody"/>
        <w:bidi w:val="0"/>
        <w:spacing w:before="0" w:after="0"/>
        <w:ind w:left="0" w:right="0" w:hanging="0"/>
        <w:jc w:val="left"/>
        <w:rPr>
          <w:caps w:val="false"/>
          <w:smallCaps w:val="false"/>
        </w:rPr>
      </w:pPr>
      <w:r>
        <w:rPr>
          <w:caps w:val="false"/>
          <w:smallCaps w:val="false"/>
        </w:rPr>
        <w:t> </w:t>
      </w:r>
    </w:p>
    <w:tbl>
      <w:tblPr>
        <w:tblW w:w="5078" w:type="dxa"/>
        <w:jc w:val="left"/>
        <w:tblInd w:w="0" w:type="dxa"/>
        <w:tblLayout w:type="fixed"/>
        <w:tblCellMar>
          <w:top w:w="0" w:type="dxa"/>
          <w:left w:w="0" w:type="dxa"/>
          <w:bottom w:w="0" w:type="dxa"/>
          <w:right w:w="0" w:type="dxa"/>
        </w:tblCellMar>
      </w:tblPr>
      <w:tblGrid>
        <w:gridCol w:w="2780"/>
        <w:gridCol w:w="60"/>
        <w:gridCol w:w="141"/>
        <w:gridCol w:w="733"/>
        <w:gridCol w:w="80"/>
        <w:gridCol w:w="60"/>
        <w:gridCol w:w="184"/>
        <w:gridCol w:w="960"/>
        <w:gridCol w:w="8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lineRule="auto" w:line="288"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(1)</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6,425</w:t>
            </w:r>
          </w:p>
        </w:tc>
        <w:tc>
          <w:tcPr>
            <w:tcW w:w="8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lineRule="auto" w:line="288"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 (1)</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39,979</w:t>
            </w:r>
          </w:p>
        </w:tc>
        <w:tc>
          <w:tcPr>
            <w:tcW w:w="8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2,657</w:t>
            </w:r>
          </w:p>
        </w:tc>
        <w:tc>
          <w:tcPr>
            <w:tcW w:w="8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fixtures, and equipment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91,994</w:t>
            </w:r>
          </w:p>
        </w:tc>
        <w:tc>
          <w:tcPr>
            <w:tcW w:w="8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8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2245" w:type="dxa"/>
        <w:jc w:val="left"/>
        <w:tblInd w:w="0" w:type="dxa"/>
        <w:tblLayout w:type="fixed"/>
        <w:tblCellMar>
          <w:top w:w="0" w:type="dxa"/>
          <w:left w:w="0" w:type="dxa"/>
          <w:bottom w:w="0" w:type="dxa"/>
          <w:right w:w="0" w:type="dxa"/>
        </w:tblCellMar>
      </w:tblPr>
      <w:tblGrid>
        <w:gridCol w:w="230"/>
        <w:gridCol w:w="2015"/>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2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Excludes assets held for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Depreciation expense was $1.3 million and $1.1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Company’s West Fargo, North Dakota branch is listed for sale for $3.8 million and is expected to sell within the next </w:t>
      </w:r>
      <w:r>
        <w:rPr>
          <w:rStyle w:val="Emphasis"/>
          <w:rFonts w:ascii="Times New Roman" w:hAnsi="Times New Roman"/>
          <w:caps w:val="false"/>
          <w:smallCaps w:val="false"/>
          <w:sz w:val="20"/>
        </w:rPr>
        <w:t>12</w:t>
      </w:r>
      <w:r>
        <w:rPr>
          <w:rFonts w:ascii="Times New Roman" w:hAnsi="Times New Roman"/>
          <w:caps w:val="false"/>
          <w:smallCaps w:val="false"/>
          <w:sz w:val="20"/>
        </w:rPr>
        <w:t> months. At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the facility had a carrying value of approximately $0.4 million. The Company expects to record a gain on the sale upon closing, as the expected sale price is greater than the property’s carrying value. Total assets associated with this location held for sale by the Company at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were $0.4 million and were included in other assets on the Company’s consolidated balance sheet and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table above.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Crossroads branch in Rochester, Minnesota is listed for sale for $1.5 million and is expected to sell within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At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the facility had a carrying value of approximately $1.0 million. The Company expects to record a gain on the sale upon closing, as the expected sale price is greater than the property’s carrying value. Total assets associated with this location held for sale by the Company at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were $1.0 million and were included in other assets on the Company’s consolidated balance sheet and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table above.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the carrying amount of goodwill, by segment,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4828" w:type="dxa"/>
        <w:jc w:val="left"/>
        <w:tblInd w:w="0" w:type="dxa"/>
        <w:tblLayout w:type="fixed"/>
        <w:tblCellMar>
          <w:top w:w="0" w:type="dxa"/>
          <w:left w:w="0" w:type="dxa"/>
          <w:bottom w:w="0" w:type="dxa"/>
          <w:right w:w="0" w:type="dxa"/>
        </w:tblCellMar>
      </w:tblPr>
      <w:tblGrid>
        <w:gridCol w:w="2570"/>
        <w:gridCol w:w="60"/>
        <w:gridCol w:w="152"/>
        <w:gridCol w:w="722"/>
        <w:gridCol w:w="60"/>
        <w:gridCol w:w="60"/>
        <w:gridCol w:w="199"/>
        <w:gridCol w:w="945"/>
        <w:gridCol w:w="60"/>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Banking</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74,111</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Retirement and benefit services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Goodwill is evaluated for impairment on an annual basis, at a minimum, and more frequently when the economic environment or specific circumstances warrant. The Company determined that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goodwill impairment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gross carrying amount and accumulated amortization for each type of identifiable intangible asset,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7"/>
        <w:gridCol w:w="60"/>
        <w:gridCol w:w="244"/>
        <w:gridCol w:w="1159"/>
        <w:gridCol w:w="60"/>
        <w:gridCol w:w="60"/>
        <w:gridCol w:w="274"/>
        <w:gridCol w:w="1435"/>
        <w:gridCol w:w="80"/>
        <w:gridCol w:w="60"/>
        <w:gridCol w:w="125"/>
        <w:gridCol w:w="590"/>
        <w:gridCol w:w="60"/>
        <w:gridCol w:w="60"/>
        <w:gridCol w:w="244"/>
        <w:gridCol w:w="1159"/>
        <w:gridCol w:w="60"/>
        <w:gridCol w:w="60"/>
        <w:gridCol w:w="274"/>
        <w:gridCol w:w="1435"/>
        <w:gridCol w:w="80"/>
        <w:gridCol w:w="60"/>
        <w:gridCol w:w="125"/>
        <w:gridCol w:w="590"/>
        <w:gridCol w:w="64"/>
      </w:tblGrid>
      <w:tr>
        <w:trPr/>
        <w:tc>
          <w:tcPr>
            <w:tcW w:w="1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8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8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87"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4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Carrying 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Carrying 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87"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Identifiable customer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5,048</w:t>
            </w:r>
          </w:p>
        </w:tc>
        <w:tc>
          <w:tcPr>
            <w:tcW w:w="64" w:type="dxa"/>
            <w:tcBorders/>
            <w:shd w:fill="CCEEFF" w:val="clear"/>
            <w:vAlign w:val="center"/>
          </w:tcPr>
          <w:p>
            <w:pPr>
              <w:pStyle w:val="TableContents"/>
              <w:bidi w:val="0"/>
              <w:spacing w:before="0" w:after="283"/>
              <w:jc w:val="left"/>
              <w:rPr/>
            </w:pPr>
            <w:r>
              <w:rPr/>
              <w:t> </w:t>
            </w:r>
          </w:p>
        </w:tc>
      </w:tr>
      <w:tr>
        <w:trPr/>
        <w:tc>
          <w:tcPr>
            <w:tcW w:w="1787"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deposit intangible assets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28,323</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8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68,596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(37,199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68,596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33,371</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Amortization of total intangible assets was $2.0 million and $2.7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Loan Servicing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Loans serviced for others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accompanying consolidated balance sheets. The unpaid principal balances of loans serviced for others totaled $640.7 million and $660.7 million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respectively. Servicing loans for others generally consists of collecting mortgage payments, maintaining escrow accounts, disbursing payments to investors and collection and foreclosure processing. Loan servicing income is recorded on an accrual basis and includes servicing fees from investors and certain charges collected from borrowers, such as late payment fees, and is net of fair value adjustments to capitalized mortgage servicing rights. As of and for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Company elected to subsequently measure mortgage servicing rights (“MSRs”) at fair value. The Company accounted for MSRs at the lower of amortized cost or fair value for all periods prior to </w:t>
      </w:r>
      <w:r>
        <w:rPr>
          <w:rStyle w:val="Emphasis"/>
          <w:rFonts w:ascii="Times New Roman" w:hAnsi="Times New Roman"/>
          <w:caps w:val="false"/>
          <w:smallCaps w:val="false"/>
          <w:sz w:val="20"/>
        </w:rPr>
        <w:t>December 31,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following table presents the changes in fair value of the Company’s MSR portfolio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tbl>
      <w:tblPr>
        <w:tblW w:w="6357" w:type="dxa"/>
        <w:jc w:val="left"/>
        <w:tblInd w:w="0" w:type="dxa"/>
        <w:tblLayout w:type="fixed"/>
        <w:tblCellMar>
          <w:top w:w="0" w:type="dxa"/>
          <w:left w:w="0" w:type="dxa"/>
          <w:bottom w:w="0" w:type="dxa"/>
          <w:right w:w="0" w:type="dxa"/>
        </w:tblCellMar>
      </w:tblPr>
      <w:tblGrid>
        <w:gridCol w:w="4535"/>
        <w:gridCol w:w="60"/>
        <w:gridCol w:w="157"/>
        <w:gridCol w:w="609"/>
        <w:gridCol w:w="75"/>
        <w:gridCol w:w="75"/>
        <w:gridCol w:w="157"/>
        <w:gridCol w:w="609"/>
        <w:gridCol w:w="80"/>
      </w:tblGrid>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7,918</w:t>
            </w:r>
          </w:p>
        </w:tc>
        <w:tc>
          <w:tcPr>
            <w:tcW w:w="8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from loans sold with servicing rights retained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6,615</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is a summary of key data and assumptions used in the valuation of servicing rights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Increases or decreases in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these assumptions would result in lower or higher fair value measurements. </w:t>
      </w:r>
    </w:p>
    <w:tbl>
      <w:tblPr>
        <w:tblW w:w="5798" w:type="dxa"/>
        <w:jc w:val="left"/>
        <w:tblInd w:w="0" w:type="dxa"/>
        <w:tblLayout w:type="fixed"/>
        <w:tblCellMar>
          <w:top w:w="0" w:type="dxa"/>
          <w:left w:w="0" w:type="dxa"/>
          <w:bottom w:w="0" w:type="dxa"/>
          <w:right w:w="0" w:type="dxa"/>
        </w:tblCellMar>
      </w:tblPr>
      <w:tblGrid>
        <w:gridCol w:w="3290"/>
        <w:gridCol w:w="60"/>
        <w:gridCol w:w="179"/>
        <w:gridCol w:w="695"/>
        <w:gridCol w:w="185"/>
        <w:gridCol w:w="60"/>
        <w:gridCol w:w="234"/>
        <w:gridCol w:w="910"/>
        <w:gridCol w:w="185"/>
      </w:tblGrid>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servicing rights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7,351</w:t>
            </w:r>
          </w:p>
        </w:tc>
        <w:tc>
          <w:tcPr>
            <w:tcW w:w="18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term, years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8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speeds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 lease is defined as a contract, or part of a contract, that conveys the right to control the use of an identified property, plant or equipment for a period of time in exchange for consideration. Substantially all of the leases in which the Company is the lessee are comprised of real property for offices and office equipment rentals with terms extending through </w:t>
      </w:r>
      <w:r>
        <w:rPr>
          <w:rStyle w:val="Emphasis"/>
          <w:rFonts w:ascii="Times New Roman" w:hAnsi="Times New Roman"/>
          <w:caps w:val="false"/>
          <w:smallCaps w:val="false"/>
          <w:sz w:val="20"/>
        </w:rPr>
        <w:t>2045.</w:t>
      </w:r>
      <w:r>
        <w:rPr>
          <w:rFonts w:ascii="Times New Roman" w:hAnsi="Times New Roman"/>
          <w:caps w:val="false"/>
          <w:smallCaps w:val="false"/>
          <w:sz w:val="20"/>
        </w:rPr>
        <w:t xml:space="preserve"> Substantially all of the Company’s leases are classified as operating leases.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existing finance 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elected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include short-term leases (i.e., leases with initial terms of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or less), or equipment leases (deemed immaterial) on the consolidated financial statements. The following table presents the classification of the Company’s right-of-use (“ROU”) assets and lease liabilities on the consolidated financial statements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2780"/>
        <w:gridCol w:w="2855"/>
        <w:gridCol w:w="60"/>
        <w:gridCol w:w="152"/>
        <w:gridCol w:w="722"/>
        <w:gridCol w:w="60"/>
        <w:gridCol w:w="60"/>
        <w:gridCol w:w="199"/>
        <w:gridCol w:w="945"/>
        <w:gridCol w:w="60"/>
      </w:tblGrid>
      <w:tr>
        <w:trPr/>
        <w:tc>
          <w:tcPr>
            <w:tcW w:w="2780" w:type="dxa"/>
            <w:tcBorders/>
            <w:shd w:fill="FFFFFF" w:val="clear"/>
            <w:vAlign w:val="center"/>
          </w:tcPr>
          <w:p>
            <w:pPr>
              <w:pStyle w:val="TableContents"/>
              <w:bidi w:val="0"/>
              <w:spacing w:before="0" w:after="283"/>
              <w:jc w:val="left"/>
              <w:rPr/>
            </w:pPr>
            <w:r>
              <w:rPr/>
              <w:t> </w:t>
            </w:r>
          </w:p>
        </w:tc>
        <w:tc>
          <w:tcPr>
            <w:tcW w:w="28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28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 Right-of-Use Assets</w:t>
            </w:r>
          </w:p>
        </w:tc>
        <w:tc>
          <w:tcPr>
            <w:tcW w:w="2855" w:type="dxa"/>
            <w:tcBorders/>
            <w:shd w:fill="CCEEFF" w:val="clear"/>
            <w:vAlign w:val="center"/>
          </w:tcPr>
          <w:p>
            <w:pPr>
              <w:pStyle w:val="TableContents"/>
              <w:bidi w:val="0"/>
              <w:spacing w:before="0" w:after="0"/>
              <w:ind w:left="180" w:right="0" w:hanging="180"/>
              <w:jc w:val="left"/>
              <w:rPr/>
            </w:pPr>
            <w:r>
              <w:rPr>
                <w:rStyle w:val="Emphasis"/>
                <w:rFonts w:ascii="Times New Roman;Times;serif" w:hAnsi="Times New Roman;Times;serif"/>
                <w:b/>
                <w:caps w:val="false"/>
                <w:smallCaps w:val="false"/>
                <w:sz w:val="20"/>
              </w:rPr>
              <w:t>Classification</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2855" w:type="dxa"/>
            <w:tcBorders/>
            <w:shd w:fill="FFFFFF" w:val="clear"/>
            <w:vAlign w:val="center"/>
          </w:tcPr>
          <w:p>
            <w:pPr>
              <w:pStyle w:val="TableContents"/>
              <w:bidi w:val="0"/>
              <w:spacing w:before="0" w:after="0"/>
              <w:ind w:left="180" w:right="0" w:hanging="180"/>
              <w:jc w:val="left"/>
              <w:rPr/>
            </w:pPr>
            <w:r>
              <w:rPr>
                <w:rStyle w:val="Emphasis"/>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28,761</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 Liabilities</w:t>
            </w:r>
          </w:p>
        </w:tc>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2855" w:type="dxa"/>
            <w:tcBorders/>
            <w:shd w:fill="FFFFFF" w:val="clear"/>
            <w:vAlign w:val="center"/>
          </w:tcPr>
          <w:p>
            <w:pPr>
              <w:pStyle w:val="TableContents"/>
              <w:bidi w:val="0"/>
              <w:spacing w:before="0" w:after="0"/>
              <w:ind w:left="180" w:right="0" w:hanging="180"/>
              <w:jc w:val="left"/>
              <w:rPr/>
            </w:pPr>
            <w:r>
              <w:rPr>
                <w:rStyle w:val="Emphasis"/>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calculated amount of the ROU assets and lease liabilities in the table above are impacted by the length of the lease term and the discount rate used to present value the minimum lease payments. The Company’s lease agreements often 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options to renew at the Company’s discretion. If at lease inception the Company considers the exercising of a renewal option to be reasonably certain, the Company will include the extended term in the calculation of the ROU asset and lease liability. The Company utilizes its incremental borrowing rate at lease inception, on a collateralized basis, over a similar term for the discount rate. </w:t>
      </w:r>
    </w:p>
    <w:p>
      <w:pPr>
        <w:pStyle w:val="TextBody"/>
        <w:bidi w:val="0"/>
        <w:spacing w:before="0" w:after="0"/>
        <w:ind w:left="0" w:right="0" w:firstLine="720"/>
        <w:jc w:val="left"/>
        <w:rPr>
          <w:caps w:val="false"/>
          <w:smallCaps w:val="false"/>
        </w:rPr>
      </w:pPr>
      <w:r>
        <w:rPr>
          <w:caps w:val="false"/>
          <w:smallCaps w:val="false"/>
        </w:rPr>
        <w:t> </w:t>
      </w:r>
    </w:p>
    <w:tbl>
      <w:tblPr>
        <w:tblW w:w="6488" w:type="dxa"/>
        <w:jc w:val="left"/>
        <w:tblInd w:w="0" w:type="dxa"/>
        <w:tblLayout w:type="fixed"/>
        <w:tblCellMar>
          <w:top w:w="0" w:type="dxa"/>
          <w:left w:w="0" w:type="dxa"/>
          <w:bottom w:w="0" w:type="dxa"/>
          <w:right w:w="0" w:type="dxa"/>
        </w:tblCellMar>
      </w:tblPr>
      <w:tblGrid>
        <w:gridCol w:w="3980"/>
        <w:gridCol w:w="60"/>
        <w:gridCol w:w="118"/>
        <w:gridCol w:w="756"/>
        <w:gridCol w:w="185"/>
        <w:gridCol w:w="60"/>
        <w:gridCol w:w="155"/>
        <w:gridCol w:w="989"/>
        <w:gridCol w:w="185"/>
      </w:tblGrid>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remaining lease term, years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18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the Company elected, for all classes of underlying assets,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separate lease and non</w:t>
        <w:noBreakHyphen/>
        <w:t>lease components and instead to account for them as a single lease component, the variable lease cost primarily represents variable payments such as common area maintenance and utilities. Variable lease cost also includes payments for usage or maintenance of those capitalized equipment operating 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presents lease costs and other lease information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26"/>
        <w:gridCol w:w="60"/>
        <w:gridCol w:w="169"/>
        <w:gridCol w:w="657"/>
        <w:gridCol w:w="108"/>
        <w:gridCol w:w="80"/>
        <w:gridCol w:w="169"/>
        <w:gridCol w:w="453"/>
        <w:gridCol w:w="83"/>
      </w:tblGrid>
      <w:tr>
        <w:trPr/>
        <w:tc>
          <w:tcPr>
            <w:tcW w:w="84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3" w:type="dxa"/>
            <w:tcBorders/>
            <w:shd w:fill="FFFFFF" w:val="clear"/>
            <w:vAlign w:val="center"/>
          </w:tcPr>
          <w:p>
            <w:pPr>
              <w:pStyle w:val="TableContents"/>
              <w:bidi w:val="0"/>
              <w:spacing w:before="0" w:after="283"/>
              <w:jc w:val="left"/>
              <w:rPr/>
            </w:pPr>
            <w:r>
              <w:rPr/>
              <w:t> </w:t>
            </w:r>
          </w:p>
        </w:tc>
      </w:tr>
      <w:tr>
        <w:trPr/>
        <w:tc>
          <w:tcPr>
            <w:tcW w:w="84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426"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4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costs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8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83" w:type="dxa"/>
            <w:tcBorders/>
            <w:shd w:fill="FFFFFF" w:val="clear"/>
            <w:vAlign w:val="center"/>
          </w:tcPr>
          <w:p>
            <w:pPr>
              <w:pStyle w:val="TableContents"/>
              <w:bidi w:val="0"/>
              <w:spacing w:before="0" w:after="283"/>
              <w:jc w:val="left"/>
              <w:rPr/>
            </w:pPr>
            <w:r>
              <w:rPr/>
              <w:t> </w:t>
            </w:r>
          </w:p>
        </w:tc>
      </w:tr>
      <w:tr>
        <w:trPr/>
        <w:tc>
          <w:tcPr>
            <w:tcW w:w="84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3" w:type="dxa"/>
            <w:tcBorders/>
            <w:shd w:fill="CCEEFF" w:val="clear"/>
            <w:vAlign w:val="center"/>
          </w:tcPr>
          <w:p>
            <w:pPr>
              <w:pStyle w:val="TableContents"/>
              <w:bidi w:val="0"/>
              <w:spacing w:before="0" w:after="283"/>
              <w:jc w:val="left"/>
              <w:rPr/>
            </w:pPr>
            <w:r>
              <w:rPr/>
              <w:t> </w:t>
            </w:r>
          </w:p>
        </w:tc>
      </w:tr>
      <w:tr>
        <w:trPr/>
        <w:tc>
          <w:tcPr>
            <w:tcW w:w="8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83" w:type="dxa"/>
            <w:tcBorders/>
            <w:shd w:fill="FFFFFF" w:val="clear"/>
            <w:vAlign w:val="center"/>
          </w:tcPr>
          <w:p>
            <w:pPr>
              <w:pStyle w:val="TableContents"/>
              <w:bidi w:val="0"/>
              <w:spacing w:before="0" w:after="283"/>
              <w:jc w:val="left"/>
              <w:rPr/>
            </w:pPr>
            <w:r>
              <w:rPr/>
              <w:t> </w:t>
            </w:r>
          </w:p>
        </w:tc>
      </w:tr>
      <w:tr>
        <w:trPr/>
        <w:tc>
          <w:tcPr>
            <w:tcW w:w="84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income</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4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4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information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84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 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1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w:t>
            </w:r>
          </w:p>
        </w:tc>
        <w:tc>
          <w:tcPr>
            <w:tcW w:w="83" w:type="dxa"/>
            <w:tcBorders/>
            <w:shd w:fill="FFFFFF" w:val="clear"/>
            <w:vAlign w:val="center"/>
          </w:tcPr>
          <w:p>
            <w:pPr>
              <w:pStyle w:val="TableContents"/>
              <w:bidi w:val="0"/>
              <w:spacing w:before="0" w:after="283"/>
              <w:jc w:val="left"/>
              <w:rPr/>
            </w:pPr>
            <w:r>
              <w:rPr/>
              <w:t> </w:t>
            </w:r>
          </w:p>
        </w:tc>
      </w:tr>
      <w:tr>
        <w:trPr/>
        <w:tc>
          <w:tcPr>
            <w:tcW w:w="84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4,739</w:t>
            </w:r>
          </w:p>
        </w:tc>
        <w:tc>
          <w:tcPr>
            <w:tcW w:w="1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Future minimum payments for finance and operating leases with initial or remaining terms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more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were as follows: </w:t>
      </w:r>
    </w:p>
    <w:p>
      <w:pPr>
        <w:pStyle w:val="TextBody"/>
        <w:bidi w:val="0"/>
        <w:spacing w:before="0" w:after="0"/>
        <w:ind w:left="0" w:right="0" w:firstLine="720"/>
        <w:jc w:val="left"/>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3080"/>
        <w:gridCol w:w="60"/>
        <w:gridCol w:w="138"/>
        <w:gridCol w:w="722"/>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Twelve months ended</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2026</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3,570</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2027</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2028</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3,821</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2029</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3,841</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2030</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3,931</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47,442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minimum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66,113</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representing interest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components of deposits in the consolidated balance sheets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were as follows: </w:t>
      </w:r>
    </w:p>
    <w:p>
      <w:pPr>
        <w:pStyle w:val="TextBody"/>
        <w:bidi w:val="0"/>
        <w:spacing w:before="0" w:after="0"/>
        <w:ind w:left="0" w:right="0" w:hanging="0"/>
        <w:jc w:val="left"/>
        <w:rPr>
          <w:caps w:val="false"/>
          <w:smallCaps w:val="false"/>
        </w:rPr>
      </w:pPr>
      <w:r>
        <w:rPr>
          <w:caps w:val="false"/>
          <w:smallCaps w:val="false"/>
        </w:rPr>
        <w:t> </w:t>
      </w:r>
    </w:p>
    <w:tbl>
      <w:tblPr>
        <w:tblW w:w="4339" w:type="dxa"/>
        <w:jc w:val="left"/>
        <w:tblInd w:w="0" w:type="dxa"/>
        <w:tblLayout w:type="fixed"/>
        <w:tblCellMar>
          <w:top w:w="0" w:type="dxa"/>
          <w:left w:w="0" w:type="dxa"/>
          <w:bottom w:w="0" w:type="dxa"/>
          <w:right w:w="0" w:type="dxa"/>
        </w:tblCellMar>
      </w:tblPr>
      <w:tblGrid>
        <w:gridCol w:w="1985"/>
        <w:gridCol w:w="60"/>
        <w:gridCol w:w="125"/>
        <w:gridCol w:w="845"/>
        <w:gridCol w:w="60"/>
        <w:gridCol w:w="60"/>
        <w:gridCol w:w="147"/>
        <w:gridCol w:w="997"/>
        <w:gridCol w:w="60"/>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807,896</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demand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1,296,315</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accounts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173,759</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savings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1,337,491</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570,960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576,542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3,490,257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3,384,107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4,347,882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4,192,003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Certificates of deposit in excess of </w:t>
      </w:r>
      <w:r>
        <w:rPr>
          <w:rStyle w:val="Emphasis"/>
          <w:rFonts w:ascii="Times New Roman" w:hAnsi="Times New Roman"/>
          <w:caps w:val="false"/>
          <w:smallCaps w:val="false"/>
          <w:sz w:val="20"/>
        </w:rPr>
        <w:t>$250,000</w:t>
      </w:r>
      <w:r>
        <w:rPr>
          <w:rFonts w:ascii="Times New Roman" w:hAnsi="Times New Roman"/>
          <w:caps w:val="false"/>
          <w:smallCaps w:val="false"/>
          <w:sz w:val="20"/>
        </w:rPr>
        <w:t xml:space="preserve"> totaled $190.7 million and $190.5 million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Short</w:t>
      </w:r>
      <w:r>
        <w:rPr>
          <w:rFonts w:ascii="Times New Roman" w:hAnsi="Times New Roman"/>
          <w:caps w:val="false"/>
          <w:smallCaps w:val="false"/>
          <w:sz w:val="20"/>
        </w:rPr>
        <w:noBreakHyphen/>
      </w:r>
      <w:r>
        <w:rPr>
          <w:rFonts w:ascii="Times New Roman" w:hAnsi="Times New Roman"/>
          <w:b/>
          <w:caps w:val="false"/>
          <w:smallCaps w:val="false"/>
          <w:sz w:val="20"/>
        </w:rPr>
        <w:t>Term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Short-term borrowings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consisted of the following: </w:t>
      </w:r>
    </w:p>
    <w:p>
      <w:pPr>
        <w:pStyle w:val="TextBody"/>
        <w:bidi w:val="0"/>
        <w:spacing w:before="0" w:after="0"/>
        <w:ind w:left="0" w:right="0" w:hanging="0"/>
        <w:jc w:val="left"/>
        <w:rPr>
          <w:caps w:val="false"/>
          <w:smallCaps w:val="false"/>
        </w:rPr>
      </w:pPr>
      <w:r>
        <w:rPr>
          <w:caps w:val="false"/>
          <w:smallCaps w:val="false"/>
        </w:rPr>
        <w:t> </w:t>
      </w:r>
    </w:p>
    <w:tbl>
      <w:tblPr>
        <w:tblW w:w="4438" w:type="dxa"/>
        <w:jc w:val="left"/>
        <w:tblInd w:w="0" w:type="dxa"/>
        <w:tblLayout w:type="fixed"/>
        <w:tblCellMar>
          <w:top w:w="0" w:type="dxa"/>
          <w:left w:w="0" w:type="dxa"/>
          <w:bottom w:w="0" w:type="dxa"/>
          <w:right w:w="0" w:type="dxa"/>
        </w:tblCellMar>
      </w:tblPr>
      <w:tblGrid>
        <w:gridCol w:w="2180"/>
        <w:gridCol w:w="60"/>
        <w:gridCol w:w="133"/>
        <w:gridCol w:w="741"/>
        <w:gridCol w:w="60"/>
        <w:gridCol w:w="60"/>
        <w:gridCol w:w="173"/>
        <w:gridCol w:w="971"/>
        <w:gridCol w:w="60"/>
      </w:tblGrid>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 funds purchased</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58,800</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short-term advances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Long</w:t>
      </w:r>
      <w:r>
        <w:rPr>
          <w:rFonts w:ascii="Times New Roman" w:hAnsi="Times New Roman"/>
          <w:caps w:val="false"/>
          <w:smallCaps w:val="false"/>
          <w:sz w:val="20"/>
        </w:rPr>
        <w:noBreakHyphen/>
      </w:r>
      <w:r>
        <w:rPr>
          <w:rFonts w:ascii="Times New Roman" w:hAnsi="Times New Roman"/>
          <w:b/>
          <w:caps w:val="false"/>
          <w:smallCaps w:val="false"/>
          <w:sz w:val="20"/>
        </w:rPr>
        <w:t>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Long</w:t>
        <w:noBreakHyphen/>
        <w:t xml:space="preserve">term debt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consisted of the following: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6"/>
        <w:gridCol w:w="60"/>
        <w:gridCol w:w="125"/>
        <w:gridCol w:w="590"/>
        <w:gridCol w:w="60"/>
        <w:gridCol w:w="60"/>
        <w:gridCol w:w="134"/>
        <w:gridCol w:w="636"/>
        <w:gridCol w:w="60"/>
        <w:gridCol w:w="60"/>
        <w:gridCol w:w="3387"/>
        <w:gridCol w:w="60"/>
        <w:gridCol w:w="130"/>
        <w:gridCol w:w="706"/>
        <w:gridCol w:w="185"/>
        <w:gridCol w:w="60"/>
        <w:gridCol w:w="826"/>
        <w:gridCol w:w="60"/>
        <w:gridCol w:w="700"/>
      </w:tblGrid>
      <w:tr>
        <w:trPr/>
        <w:tc>
          <w:tcPr>
            <w:tcW w:w="2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39" w:type="dxa"/>
            <w:gridSpan w:val="1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r>
      <w:tr>
        <w:trPr/>
        <w:tc>
          <w:tcPr>
            <w:tcW w:w="2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Period End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rStyle w:val="Emphasis"/>
              </w:rPr>
              <w:t> </w:t>
            </w:r>
          </w:p>
        </w:tc>
      </w:tr>
      <w:tr>
        <w:trPr/>
        <w:tc>
          <w:tcPr>
            <w:tcW w:w="2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Interest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Maturity</w:t>
            </w:r>
          </w:p>
        </w:tc>
        <w:tc>
          <w:tcPr>
            <w:tcW w:w="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rStyle w:val="Emphasis"/>
              </w:rPr>
              <w:t> </w:t>
            </w:r>
          </w:p>
        </w:tc>
      </w:tr>
      <w:tr>
        <w:trPr/>
        <w:tc>
          <w:tcPr>
            <w:tcW w:w="2306"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7"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Interest Rate</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w:t>
            </w:r>
          </w:p>
        </w:tc>
        <w:tc>
          <w:tcPr>
            <w:tcW w:w="60" w:type="dxa"/>
            <w:tcBorders/>
            <w:shd w:fill="FFFF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Call Date</w:t>
            </w:r>
          </w:p>
        </w:tc>
      </w:tr>
      <w:tr>
        <w:trPr/>
        <w:tc>
          <w:tcPr>
            <w:tcW w:w="230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for first 5 years, then repriced at the FHLB rate + 3.00%</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6.75</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3/30/2036</w:t>
            </w:r>
          </w:p>
        </w:tc>
        <w:tc>
          <w:tcPr>
            <w:tcW w:w="60"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3/30/2031</w:t>
            </w:r>
          </w:p>
        </w:tc>
      </w:tr>
      <w:tr>
        <w:trPr/>
        <w:tc>
          <w:tcPr>
            <w:tcW w:w="230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subordinated debenture (Trust I)</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7"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Three-month CME SOFR + 0.26% + 3.10%</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6/26/2033</w:t>
            </w:r>
          </w:p>
        </w:tc>
        <w:tc>
          <w:tcPr>
            <w:tcW w:w="60" w:type="dxa"/>
            <w:tcBorders/>
            <w:shd w:fill="FFFFFF" w:val="clear"/>
            <w:vAlign w:val="center"/>
          </w:tcPr>
          <w:p>
            <w:pPr>
              <w:pStyle w:val="TableContents"/>
              <w:bidi w:val="0"/>
              <w:spacing w:before="0" w:after="283"/>
              <w:ind w:left="0" w:right="0" w:hanging="0"/>
              <w:jc w:val="left"/>
              <w:rPr/>
            </w:pPr>
            <w:r>
              <w:rPr/>
              <w:t> </w:t>
            </w:r>
          </w:p>
        </w:tc>
        <w:tc>
          <w:tcPr>
            <w:tcW w:w="7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6/26/2008</w:t>
            </w:r>
          </w:p>
        </w:tc>
      </w:tr>
      <w:tr>
        <w:trPr/>
        <w:tc>
          <w:tcPr>
            <w:tcW w:w="230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subordinated debenture (Trust II)</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87"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Three-month CME SOFR + 0.26% + 1.80%</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9/15/2036</w:t>
            </w:r>
          </w:p>
        </w:tc>
        <w:tc>
          <w:tcPr>
            <w:tcW w:w="60"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9/15/2011</w:t>
            </w:r>
          </w:p>
        </w:tc>
      </w:tr>
      <w:tr>
        <w:trPr/>
        <w:tc>
          <w:tcPr>
            <w:tcW w:w="2306"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60,310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59,211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4"/>
        <w:gridCol w:w="60"/>
        <w:gridCol w:w="125"/>
        <w:gridCol w:w="590"/>
        <w:gridCol w:w="60"/>
        <w:gridCol w:w="60"/>
        <w:gridCol w:w="134"/>
        <w:gridCol w:w="636"/>
        <w:gridCol w:w="60"/>
        <w:gridCol w:w="60"/>
        <w:gridCol w:w="2908"/>
        <w:gridCol w:w="60"/>
        <w:gridCol w:w="130"/>
        <w:gridCol w:w="753"/>
        <w:gridCol w:w="185"/>
        <w:gridCol w:w="60"/>
        <w:gridCol w:w="844"/>
        <w:gridCol w:w="60"/>
        <w:gridCol w:w="766"/>
      </w:tblGrid>
      <w:tr>
        <w:trPr/>
        <w:tc>
          <w:tcPr>
            <w:tcW w:w="2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91" w:type="dxa"/>
            <w:gridSpan w:val="1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r>
      <w:tr>
        <w:trPr/>
        <w:tc>
          <w:tcPr>
            <w:tcW w:w="2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Period End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rStyle w:val="Emphasis"/>
              </w:rPr>
              <w:t> </w:t>
            </w:r>
          </w:p>
        </w:tc>
      </w:tr>
      <w:tr>
        <w:trPr/>
        <w:tc>
          <w:tcPr>
            <w:tcW w:w="26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Interest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Maturity</w:t>
            </w:r>
          </w:p>
        </w:tc>
        <w:tc>
          <w:tcPr>
            <w:tcW w:w="60"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rStyle w:val="Emphasis"/>
              </w:rPr>
              <w:t> </w:t>
            </w:r>
          </w:p>
        </w:tc>
      </w:tr>
      <w:tr>
        <w:trPr/>
        <w:tc>
          <w:tcPr>
            <w:tcW w:w="2654"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Interest Rate</w:t>
            </w:r>
          </w:p>
        </w:tc>
        <w:tc>
          <w:tcPr>
            <w:tcW w:w="60" w:type="dxa"/>
            <w:tcBorders/>
            <w:shd w:fill="FFFFFF" w:val="clear"/>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Call Date</w:t>
            </w:r>
          </w:p>
        </w:tc>
      </w:tr>
      <w:tr>
        <w:trPr/>
        <w:tc>
          <w:tcPr>
            <w:tcW w:w="265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8"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Fixed</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3/30/2031</w:t>
            </w:r>
          </w:p>
        </w:tc>
        <w:tc>
          <w:tcPr>
            <w:tcW w:w="60"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3/31/2026</w:t>
            </w:r>
          </w:p>
        </w:tc>
      </w:tr>
      <w:tr>
        <w:trPr/>
        <w:tc>
          <w:tcPr>
            <w:tcW w:w="265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subordinated debenture (Trust I)</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8"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Three-month CME SOFR + 0.26% + 3.10%</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6/26/2033</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6/26/2008</w:t>
            </w:r>
          </w:p>
        </w:tc>
      </w:tr>
      <w:tr>
        <w:trPr/>
        <w:tc>
          <w:tcPr>
            <w:tcW w:w="265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subordinated debenture (Trust II)</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8"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Three-month CME SOFR + 0.26% + 1.80%</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9/15/2036</w:t>
            </w:r>
          </w:p>
        </w:tc>
        <w:tc>
          <w:tcPr>
            <w:tcW w:w="60"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9/15/2011</w:t>
            </w:r>
          </w:p>
        </w:tc>
      </w:tr>
      <w:tr>
        <w:trPr/>
        <w:tc>
          <w:tcPr>
            <w:tcW w:w="2654"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60,310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59,182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lef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the normal course of business, the Company has outstanding commitments and contingent liabilities, such as commitments to extend credit and standby letters of credit,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accompanying consolidated financial statements. The Company’s exposure to credit loss in the event of nonperformance by the other party to the financial instruments for commitments to extend credit and standby letters of credit is represented by the contractual or notional amount of those instruments. The Company uses the same credit policies in making such commitments as it does for instruments that are included in the statements of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 summary of the contractual amounts of the Company’s exposure to off-balance sheet risk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 was as follows: </w:t>
      </w:r>
    </w:p>
    <w:p>
      <w:pPr>
        <w:pStyle w:val="TextBody"/>
        <w:bidi w:val="0"/>
        <w:spacing w:before="0" w:after="0"/>
        <w:ind w:left="0" w:right="0" w:hanging="0"/>
        <w:jc w:val="left"/>
        <w:rPr>
          <w:caps w:val="false"/>
          <w:smallCaps w:val="false"/>
        </w:rPr>
      </w:pPr>
      <w:r>
        <w:rPr>
          <w:caps w:val="false"/>
          <w:smallCaps w:val="false"/>
        </w:rPr>
        <w:t> </w:t>
      </w:r>
    </w:p>
    <w:tbl>
      <w:tblPr>
        <w:tblW w:w="4834" w:type="dxa"/>
        <w:jc w:val="left"/>
        <w:tblInd w:w="0" w:type="dxa"/>
        <w:tblLayout w:type="fixed"/>
        <w:tblCellMar>
          <w:top w:w="0" w:type="dxa"/>
          <w:left w:w="0" w:type="dxa"/>
          <w:bottom w:w="0" w:type="dxa"/>
          <w:right w:w="0" w:type="dxa"/>
        </w:tblCellMar>
      </w:tblPr>
      <w:tblGrid>
        <w:gridCol w:w="2480"/>
        <w:gridCol w:w="60"/>
        <w:gridCol w:w="125"/>
        <w:gridCol w:w="845"/>
        <w:gridCol w:w="60"/>
        <w:gridCol w:w="60"/>
        <w:gridCol w:w="147"/>
        <w:gridCol w:w="997"/>
        <w:gridCol w:w="60"/>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to extend credit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1,038,347</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Standby letters of credit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1,019,401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1,052,740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establishes an ACL on unfunded commitments, except those that are unconditionally cancellable by the Company.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ACL on unfunded commitments was $3.4 million and $3.9 million, respectively. The ACL on unfunded commitments was presented within accrued expenses and other liabilities on the consolidated balance sheets.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provision (recovery) for credit losses on unfunded commitments was ($0.5) million and ($1.5)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Commitments to extend credit are agreements to lend to a client as long as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violation of any condition established in the contract. Commitments generally have fixed expiration dates or other termination clauses,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require payment of a fee. Since many of the commitments are expected to expire without being drawn upon, the total commitment amounts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represent future cash requirements. The Company evaluates each client’s creditworthiness on a case by case basis. The amount of collateral obtained, if deemed necessary by the Company upon extension of credit, is based on management’s credit evaluation. Collateral held varies but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accounts receivable, inventory, property and equipment, and income producing commercial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perform on any financial guarantees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incur any losses on its commitments during the past </w:t>
      </w:r>
      <w:r>
        <w:rPr>
          <w:rStyle w:val="Emphasis"/>
          <w:rFonts w:ascii="Times New Roman" w:hAnsi="Times New Roman"/>
          <w:caps w:val="false"/>
          <w:smallCaps w:val="false"/>
          <w:sz w:val="20"/>
        </w:rPr>
        <w:t>two</w:t>
      </w:r>
      <w:r>
        <w:rPr>
          <w:rFonts w:ascii="Times New Roman" w:hAnsi="Times New Roman"/>
          <w:caps w:val="false"/>
          <w:smallCaps w:val="false"/>
          <w:sz w:val="20"/>
        </w:rPr>
        <w:t> years.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utilizes standby letters of credit issued by either the FHLB or the Bank of North Dakota to secure public unit deposits. The Company had letters of credit outstanding with the FHLB in the amount of $30.1 million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and $33.6 million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With the Bank of North Dakota, the Company had no letters of credit outstanding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and $126.0 million of letters of credit outstanding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Letters of credit with the Bank of North Dakota were collateralized by loans pledged to the Bank of North Dakota in the amount of $541.7 million and $549.0 million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Legal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normal course of business, including in connection with business combinations pursued by the Company, the Company and its subsidiaries are subject to pending and threatened litigation, claims investigations and legal and administrative cases and proceedings.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Under applicable accounting standards, reserves are established for legal claims only when losses associated with the claims are judged to be probable, and the loss can be reasonably estimated. When a material loss contingency is reasonably possible, but </w:t>
      </w:r>
      <w:r>
        <w:rPr>
          <w:rStyle w:val="Emphasis"/>
          <w:rFonts w:ascii="Times New Roman" w:hAnsi="Times New Roman"/>
          <w:caps w:val="false"/>
          <w:smallCaps w:val="false"/>
          <w:sz w:val="20"/>
        </w:rPr>
        <w:t>not</w:t>
      </w:r>
      <w:r>
        <w:rPr>
          <w:rFonts w:ascii="Times New Roman" w:hAnsi="Times New Roman"/>
          <w:caps w:val="false"/>
          <w:smallCaps w:val="false"/>
          <w:sz w:val="20"/>
        </w:rPr>
        <w:t> probable,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record a liability, but instead discloses the nature of the matter and an estimate of the loss or range of losses, to the extent such estimate can be made. Significant judgment is required in both the determination of possibility or probability, and whether the loss or range of losses is reasonably estimable. The Company’s judgments are subjective and based on the status of the legal or regulatory proceedings, the merits of the Company’s defenses and consultation with in-house and outside legal counsel. Because of uncertainties related to these matters, accruals are based on the best information available to the Company and its advisors at the time, including, among other information, settlement agreements. As additional information becomes available, the Company reassesses the potential liability related to pending claims and litigation and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revise its estimates accordingly. Due to the inherent uncertainties of the legal and regulatory processes, such judgments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materially different than the actual outcomes. Legal costs such as outside counsel fees are expensed in the period in which the services are rendered.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Assessments of litigation exposure are difficult because they involve inherently unpredictable factors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limited to: whether the proceeding is in the early stages; whether damages are unspecified, unsupported or uncertain; whether there is a potential for punitive or other pecuniary damages; whether the matter involves legal uncertainties, including novel issues of law; whether the matter involves multiple parties and/or jurisdictions; whether discovery has begun or is </w:t>
      </w:r>
      <w:r>
        <w:rPr>
          <w:rStyle w:val="Emphasis"/>
          <w:rFonts w:ascii="Times New Roman" w:hAnsi="Times New Roman"/>
          <w:caps w:val="false"/>
          <w:smallCaps w:val="false"/>
          <w:sz w:val="20"/>
        </w:rPr>
        <w:t>not</w:t>
      </w:r>
      <w:r>
        <w:rPr>
          <w:rFonts w:ascii="Times New Roman" w:hAnsi="Times New Roman"/>
          <w:caps w:val="false"/>
          <w:smallCaps w:val="false"/>
          <w:sz w:val="20"/>
        </w:rPr>
        <w:t> complete; whether meaningful settlement discussions have commenced; and whether the proceeding involves class allegations. In many lawsuits and arbitrations, it is </w:t>
      </w:r>
      <w:r>
        <w:rPr>
          <w:rStyle w:val="Emphasis"/>
          <w:rFonts w:ascii="Times New Roman" w:hAnsi="Times New Roman"/>
          <w:caps w:val="false"/>
          <w:smallCaps w:val="false"/>
          <w:sz w:val="20"/>
        </w:rPr>
        <w:t>not</w:t>
      </w:r>
      <w:r>
        <w:rPr>
          <w:rFonts w:ascii="Times New Roman" w:hAnsi="Times New Roman"/>
          <w:caps w:val="false"/>
          <w:smallCaps w:val="false"/>
          <w:sz w:val="20"/>
        </w:rPr>
        <w:t> possible to determine whether a liability will be incurred, or to estimate the ultimate or minimum amount of that liability, until the matter is close to resolution, in which case a reserve will </w:t>
      </w:r>
      <w:r>
        <w:rPr>
          <w:rStyle w:val="Emphasis"/>
          <w:rFonts w:ascii="Times New Roman" w:hAnsi="Times New Roman"/>
          <w:caps w:val="false"/>
          <w:smallCaps w:val="false"/>
          <w:sz w:val="20"/>
        </w:rPr>
        <w:t>not</w:t>
      </w:r>
      <w:r>
        <w:rPr>
          <w:rFonts w:ascii="Times New Roman" w:hAnsi="Times New Roman"/>
          <w:caps w:val="false"/>
          <w:smallCaps w:val="false"/>
          <w:sz w:val="20"/>
        </w:rPr>
        <w:t> be recognized until that time. As a result,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unable to estimate reasonably possible losses with respect to litigation matters it faces.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sold its ESOP fiduciary services business but currently remains subject 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pending lawsuits related to the sold business, including </w:t>
      </w:r>
      <w:r>
        <w:rPr>
          <w:rStyle w:val="Emphasis"/>
          <w:rFonts w:ascii="Times New Roman" w:hAnsi="Times New Roman"/>
          <w:caps w:val="false"/>
          <w:smallCaps w:val="false"/>
          <w:sz w:val="20"/>
        </w:rPr>
        <w:t>one</w:t>
      </w:r>
      <w:r>
        <w:rPr>
          <w:rFonts w:ascii="Times New Roman" w:hAnsi="Times New Roman"/>
          <w:caps w:val="false"/>
          <w:smallCaps w:val="false"/>
          <w:sz w:val="20"/>
        </w:rPr>
        <w:t> brought by the DOL.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2023, </w:t>
      </w:r>
      <w:r>
        <w:rPr>
          <w:rFonts w:ascii="Times New Roman" w:hAnsi="Times New Roman"/>
          <w:caps w:val="false"/>
          <w:smallCaps w:val="false"/>
          <w:sz w:val="20"/>
        </w:rPr>
        <w:t>the DOL brought suit against several defendants, including the Bank, alleging that the Bank, in its capacity as trustee to an ESOP, (</w:t>
      </w:r>
      <w:r>
        <w:rPr>
          <w:rStyle w:val="Emphasis"/>
          <w:rFonts w:ascii="Times New Roman" w:hAnsi="Times New Roman"/>
          <w:caps w:val="false"/>
          <w:smallCaps w:val="false"/>
          <w:sz w:val="20"/>
        </w:rPr>
        <w:t>1</w:t>
      </w:r>
      <w:r>
        <w:rPr>
          <w:rFonts w:ascii="Times New Roman" w:hAnsi="Times New Roman"/>
          <w:caps w:val="false"/>
          <w:smallCaps w:val="false"/>
          <w:sz w:val="20"/>
        </w:rPr>
        <w:t>) breached certain of its fiduciary duties in connection with a transaction which allegedly caused the ESOP to pay more than fair market value to acquire stock, and (</w:t>
      </w:r>
      <w:r>
        <w:rPr>
          <w:rStyle w:val="Emphasis"/>
          <w:rFonts w:ascii="Times New Roman" w:hAnsi="Times New Roman"/>
          <w:caps w:val="false"/>
          <w:smallCaps w:val="false"/>
          <w:sz w:val="20"/>
        </w:rPr>
        <w:t>2</w:t>
      </w:r>
      <w:r>
        <w:rPr>
          <w:rFonts w:ascii="Times New Roman" w:hAnsi="Times New Roman"/>
          <w:caps w:val="false"/>
          <w:smallCaps w:val="false"/>
          <w:sz w:val="20"/>
        </w:rPr>
        <w:t>) engaged in a prohibited transaction by causing the ESOP to acquire the stock from an existing company shareholder for more than adequate consideration. The Bank continues to dispute the allegations made by the DOL and intends to continue to defend itself vigorously.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The Company believes a material loss contingency related to the DOL complaint is reasonably possible, but </w:t>
      </w:r>
      <w:r>
        <w:rPr>
          <w:rStyle w:val="Emphasis"/>
          <w:rFonts w:ascii="Times New Roman" w:hAnsi="Times New Roman"/>
          <w:caps w:val="false"/>
          <w:smallCaps w:val="false"/>
          <w:sz w:val="20"/>
        </w:rPr>
        <w:t>not</w:t>
      </w:r>
      <w:r>
        <w:rPr>
          <w:rFonts w:ascii="Times New Roman" w:hAnsi="Times New Roman"/>
          <w:caps w:val="false"/>
          <w:smallCaps w:val="false"/>
          <w:sz w:val="20"/>
        </w:rPr>
        <w:t> probable, based on currently-available information. However, the Company is unable to estimate the ultimate or minimum loss or range of losses, if any, at this time due to a number of uncertainties,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limited to: (</w:t>
      </w:r>
      <w:r>
        <w:rPr>
          <w:rStyle w:val="Emphasis"/>
          <w:rFonts w:ascii="Times New Roman" w:hAnsi="Times New Roman"/>
          <w:caps w:val="false"/>
          <w:smallCaps w:val="false"/>
          <w:sz w:val="20"/>
        </w:rPr>
        <w:t>1</w:t>
      </w:r>
      <w:r>
        <w:rPr>
          <w:rFonts w:ascii="Times New Roman" w:hAnsi="Times New Roman"/>
          <w:caps w:val="false"/>
          <w:smallCaps w:val="false"/>
          <w:sz w:val="20"/>
        </w:rPr>
        <w:t>) the current early stages of the proceedings, (</w:t>
      </w:r>
      <w:r>
        <w:rPr>
          <w:rStyle w:val="Emphasis"/>
          <w:rFonts w:ascii="Times New Roman" w:hAnsi="Times New Roman"/>
          <w:caps w:val="false"/>
          <w:smallCaps w:val="false"/>
          <w:sz w:val="20"/>
        </w:rPr>
        <w:t>2</w:t>
      </w:r>
      <w:r>
        <w:rPr>
          <w:rFonts w:ascii="Times New Roman" w:hAnsi="Times New Roman"/>
          <w:caps w:val="false"/>
          <w:smallCaps w:val="false"/>
          <w:sz w:val="20"/>
        </w:rPr>
        <w:t>) the absence of specificity as to alleged damages, and (</w:t>
      </w:r>
      <w:r>
        <w:rPr>
          <w:rStyle w:val="Emphasis"/>
          <w:rFonts w:ascii="Times New Roman" w:hAnsi="Times New Roman"/>
          <w:caps w:val="false"/>
          <w:smallCaps w:val="false"/>
          <w:sz w:val="20"/>
        </w:rPr>
        <w:t>3</w:t>
      </w:r>
      <w:r>
        <w:rPr>
          <w:rFonts w:ascii="Times New Roman" w:hAnsi="Times New Roman"/>
          <w:caps w:val="false"/>
          <w:smallCaps w:val="false"/>
          <w:sz w:val="20"/>
        </w:rPr>
        <w:t>) the lack of resolution of significant factual and legal issues.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accrued liabilities recorded for loss contingencies that were required to be disclosed.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the Company’s stockholders approved the Alerus Financial Corporation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Equity Incentive Plan. This plan allows the compensation committee of the Board of Directors of the Company the ability to grant a wide variety of equity awards, including stock options, stock appreciation rights, stock awards, and cash incentive awards in such forms and amounts as it deems appropriate to accomplish the goals of the plan. Since inception, all awards issued under the plan have been restricted stock and restricted stock units. Any shares subject to an award that is cancelled, forfeited, or expires prior to exercise or realization, either in full or in part, shall again become available for issuance under the plan. However, shares subject to an award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again be made available for issuance or delivery under the plan if such shares are (a) tendered in payment of the exercise price of a stock option, (b) delivered to, or withheld by, the Company to satisfy any tax withholding obligation, or (c) covered by a stock-settled stock appreciation right or other awards that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issued upon the settlement of the award. Restricted stock units issued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participate in dividends and recipients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entitled to vote these restricted stock units until shares of the Company’s common stock are delivered after vesting of the restricted stock units. Shares vest, become exercisable and contain such other terms and conditions as determined by the compensation committee and set forth in individual agreements with the participant receiving the award. Awards issued to Company directors vest on the earlier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grant date and the next annual meeting of stockholders. The plan authorizes the issuance of up to 1,100,000 shares of common stock.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491,787 shares of common stock were still available for issuance under the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compensation expense relating to awards under these plans was $0.8 million and $0.6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presents the activity in the stock plans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4130"/>
        <w:gridCol w:w="60"/>
        <w:gridCol w:w="60"/>
        <w:gridCol w:w="695"/>
        <w:gridCol w:w="80"/>
        <w:gridCol w:w="60"/>
        <w:gridCol w:w="279"/>
        <w:gridCol w:w="1090"/>
        <w:gridCol w:w="60"/>
        <w:gridCol w:w="60"/>
        <w:gridCol w:w="60"/>
        <w:gridCol w:w="695"/>
        <w:gridCol w:w="80"/>
        <w:gridCol w:w="60"/>
        <w:gridCol w:w="279"/>
        <w:gridCol w:w="1090"/>
        <w:gridCol w:w="60"/>
      </w:tblGrid>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4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Awards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Awards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and Restricted Stock Unit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or cancelled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311,816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there was $4.3 million of unrecognized compensation expense related to non-vested awards granted under the plans. The expense is expected to be recognized over a weighted-average period of 2.4 years.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NOTE </w:t>
      </w:r>
      <w:r>
        <w:rPr>
          <w:rStyle w:val="Emphasis"/>
          <w:rFonts w:ascii="Times New Roman" w:hAnsi="Times New Roman"/>
          <w:b/>
          <w:sz w:val="20"/>
        </w:rPr>
        <w:t>14</w:t>
      </w:r>
      <w:r>
        <w:rPr>
          <w:rFonts w:ascii="Times New Roman" w:hAnsi="Times New Roman"/>
          <w:b/>
          <w:sz w:val="20"/>
        </w:rPr>
        <w:t xml:space="preserve"> Income Taxes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components of income tax expense (benefit)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8098" w:type="dxa"/>
        <w:jc w:val="left"/>
        <w:tblInd w:w="0" w:type="dxa"/>
        <w:tblLayout w:type="fixed"/>
        <w:tblCellMar>
          <w:top w:w="0" w:type="dxa"/>
          <w:left w:w="0" w:type="dxa"/>
          <w:bottom w:w="0" w:type="dxa"/>
          <w:right w:w="0" w:type="dxa"/>
        </w:tblCellMar>
      </w:tblPr>
      <w:tblGrid>
        <w:gridCol w:w="3380"/>
        <w:gridCol w:w="60"/>
        <w:gridCol w:w="139"/>
        <w:gridCol w:w="541"/>
        <w:gridCol w:w="80"/>
        <w:gridCol w:w="60"/>
        <w:gridCol w:w="166"/>
        <w:gridCol w:w="1068"/>
        <w:gridCol w:w="245"/>
        <w:gridCol w:w="60"/>
        <w:gridCol w:w="139"/>
        <w:gridCol w:w="541"/>
        <w:gridCol w:w="80"/>
        <w:gridCol w:w="60"/>
        <w:gridCol w:w="166"/>
        <w:gridCol w:w="1068"/>
        <w:gridCol w:w="245"/>
      </w:tblGrid>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1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Percent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Percent of</w:t>
            </w:r>
          </w:p>
        </w:tc>
        <w:tc>
          <w:tcPr>
            <w:tcW w:w="245"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Pretax Income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Pretax Income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at statutory federal income tax rate</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180" w:right="0" w:hanging="0"/>
              <w:jc w:val="left"/>
              <w:rPr/>
            </w:pPr>
            <w:r>
              <w:rPr/>
              <w:t> </w:t>
            </w:r>
          </w:p>
        </w:tc>
      </w:tr>
      <w:tr>
        <w:trPr/>
        <w:tc>
          <w:tcPr>
            <w:tcW w:w="33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exempt income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benefits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45"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Nondeductible items and other</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Applicable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It is the opinion of management that,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uncertain tax positions that would be subject to change upon examination.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Tax Credit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invests in qualified affordable housing projects for the purpose of community reinvestment and obtaining tax credits. The Company’s tax credit investments are limited to existing lending relationships with well-known developers and projects within the Company’s market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presents a summary of the Company’s investments in qualified affordable housing project tax credits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3"/>
        <w:gridCol w:w="1989"/>
        <w:gridCol w:w="60"/>
        <w:gridCol w:w="160"/>
        <w:gridCol w:w="760"/>
        <w:gridCol w:w="60"/>
        <w:gridCol w:w="60"/>
        <w:gridCol w:w="313"/>
        <w:gridCol w:w="1488"/>
        <w:gridCol w:w="60"/>
        <w:gridCol w:w="60"/>
        <w:gridCol w:w="160"/>
        <w:gridCol w:w="760"/>
        <w:gridCol w:w="65"/>
        <w:gridCol w:w="65"/>
        <w:gridCol w:w="367"/>
        <w:gridCol w:w="1433"/>
        <w:gridCol w:w="62"/>
      </w:tblGrid>
      <w:tr>
        <w:trPr/>
        <w:tc>
          <w:tcPr>
            <w:tcW w:w="2283" w:type="dxa"/>
            <w:tcBorders/>
            <w:shd w:fill="FFFFFF" w:val="clear"/>
            <w:vAlign w:val="center"/>
          </w:tcPr>
          <w:p>
            <w:pPr>
              <w:pStyle w:val="TableContents"/>
              <w:bidi w:val="0"/>
              <w:spacing w:before="0" w:after="283"/>
              <w:jc w:val="left"/>
              <w:rPr/>
            </w:pPr>
            <w:r>
              <w:rPr/>
              <w:t> </w:t>
            </w:r>
          </w:p>
        </w:tc>
        <w:tc>
          <w:tcPr>
            <w:tcW w:w="1989"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83"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1989"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Investment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Unfunded Commitment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Investment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Unfunded Commitment</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8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w:t>
            </w:r>
          </w:p>
        </w:tc>
        <w:tc>
          <w:tcPr>
            <w:tcW w:w="1989" w:type="dxa"/>
            <w:tcBorders/>
            <w:shd w:fill="FFFFFF" w:val="clear"/>
            <w:vAlign w:val="center"/>
          </w:tcPr>
          <w:p>
            <w:pPr>
              <w:pStyle w:val="TableContents"/>
              <w:bidi w:val="0"/>
              <w:spacing w:before="0" w:after="0"/>
              <w:ind w:left="180" w:right="0" w:hanging="180"/>
              <w:jc w:val="left"/>
              <w:rPr/>
            </w:pPr>
            <w:r>
              <w:rPr>
                <w:rStyle w:val="Emphasis"/>
                <w:rFonts w:ascii="Times New Roman;Times;serif" w:hAnsi="Times New Roman;Times;serif"/>
                <w:b/>
                <w:caps w:val="false"/>
                <w:smallCaps w:val="false"/>
                <w:sz w:val="20"/>
              </w:rPr>
              <w:t>Accounting Method</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22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Low income housing tax credit</w:t>
            </w:r>
          </w:p>
        </w:tc>
        <w:tc>
          <w:tcPr>
            <w:tcW w:w="1989" w:type="dxa"/>
            <w:tcBorders/>
            <w:shd w:fill="CCEEFF" w:val="clear"/>
            <w:vAlign w:val="center"/>
          </w:tcPr>
          <w:p>
            <w:pPr>
              <w:pStyle w:val="TableContents"/>
              <w:bidi w:val="0"/>
              <w:spacing w:before="0" w:after="0"/>
              <w:ind w:left="180" w:right="0" w:hanging="180"/>
              <w:jc w:val="left"/>
              <w:rPr/>
            </w:pPr>
            <w:r>
              <w:rPr>
                <w:rStyle w:val="Emphasis"/>
                <w:rFonts w:ascii="Times New Roman;Times;serif" w:hAnsi="Times New Roman;Times;serif"/>
                <w:caps w:val="false"/>
                <w:smallCaps w:val="false"/>
                <w:sz w:val="20"/>
              </w:rPr>
              <w:t>Proportional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22,906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3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5,082</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presents a summary of the amortization expense and tax benefit recognized for the Company’s qualified affordable housing projects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7856" w:type="dxa"/>
        <w:jc w:val="left"/>
        <w:tblInd w:w="0" w:type="dxa"/>
        <w:tblLayout w:type="fixed"/>
        <w:tblCellMar>
          <w:top w:w="0" w:type="dxa"/>
          <w:left w:w="0" w:type="dxa"/>
          <w:bottom w:w="0" w:type="dxa"/>
          <w:right w:w="0" w:type="dxa"/>
        </w:tblCellMar>
      </w:tblPr>
      <w:tblGrid>
        <w:gridCol w:w="2540"/>
        <w:gridCol w:w="60"/>
        <w:gridCol w:w="302"/>
        <w:gridCol w:w="813"/>
        <w:gridCol w:w="66"/>
        <w:gridCol w:w="66"/>
        <w:gridCol w:w="303"/>
        <w:gridCol w:w="961"/>
        <w:gridCol w:w="88"/>
        <w:gridCol w:w="66"/>
        <w:gridCol w:w="302"/>
        <w:gridCol w:w="813"/>
        <w:gridCol w:w="66"/>
        <w:gridCol w:w="66"/>
        <w:gridCol w:w="303"/>
        <w:gridCol w:w="961"/>
        <w:gridCol w:w="8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7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25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Tax Benefit</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Tax Benefit</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 (1)</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Recognized (2)</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 (1)</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Recognized (2)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Low income housing tax credit</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7330" w:type="dxa"/>
        <w:jc w:val="left"/>
        <w:tblInd w:w="0" w:type="dxa"/>
        <w:tblLayout w:type="fixed"/>
        <w:tblCellMar>
          <w:top w:w="0" w:type="dxa"/>
          <w:left w:w="0" w:type="dxa"/>
          <w:bottom w:w="0" w:type="dxa"/>
          <w:right w:w="0" w:type="dxa"/>
        </w:tblCellMar>
      </w:tblPr>
      <w:tblGrid>
        <w:gridCol w:w="230"/>
        <w:gridCol w:w="710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7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The amortization expense for low income housing tax credits was included in the income tax expense.</w:t>
            </w:r>
          </w:p>
        </w:tc>
      </w:tr>
    </w:tbl>
    <w:tbl>
      <w:tblPr>
        <w:tblW w:w="5215" w:type="dxa"/>
        <w:jc w:val="left"/>
        <w:tblInd w:w="0" w:type="dxa"/>
        <w:tblLayout w:type="fixed"/>
        <w:tblCellMar>
          <w:top w:w="0" w:type="dxa"/>
          <w:left w:w="0" w:type="dxa"/>
          <w:bottom w:w="0" w:type="dxa"/>
          <w:right w:w="0" w:type="dxa"/>
        </w:tblCellMar>
      </w:tblPr>
      <w:tblGrid>
        <w:gridCol w:w="230"/>
        <w:gridCol w:w="4985"/>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2</w:t>
            </w:r>
            <w:r>
              <w:rPr>
                <w:rFonts w:ascii="Times New Roman;Times;serif" w:hAnsi="Times New Roman;Times;serif"/>
                <w:caps w:val="false"/>
                <w:smallCaps w:val="false"/>
                <w:sz w:val="16"/>
              </w:rPr>
              <w:t>)</w:t>
            </w:r>
          </w:p>
        </w:tc>
        <w:tc>
          <w:tcPr>
            <w:tcW w:w="49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All of the tax benefits recognized were included in income tax expense.</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Beginning with the annual period ended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the Company adopted the guidance within ASU </w:t>
      </w:r>
      <w:r>
        <w:rPr>
          <w:rStyle w:val="Emphasis"/>
          <w:rFonts w:ascii="Times New Roman" w:hAnsi="Times New Roman"/>
          <w:i/>
          <w:caps w:val="false"/>
          <w:smallCaps w:val="false"/>
          <w:sz w:val="20"/>
        </w:rPr>
        <w:t>2023</w:t>
      </w:r>
      <w:r>
        <w:rPr>
          <w:rFonts w:ascii="Times New Roman" w:hAnsi="Times New Roman"/>
          <w:caps w:val="false"/>
          <w:smallCaps w:val="false"/>
          <w:sz w:val="20"/>
        </w:rPr>
        <w:t>-</w:t>
      </w:r>
      <w:r>
        <w:rPr>
          <w:rStyle w:val="Emphasis"/>
          <w:rFonts w:ascii="Times New Roman" w:hAnsi="Times New Roman"/>
          <w:i/>
          <w:caps w:val="false"/>
          <w:smallCaps w:val="false"/>
          <w:sz w:val="20"/>
        </w:rPr>
        <w:t>07,</w:t>
      </w:r>
      <w:r>
        <w:rPr>
          <w:rFonts w:ascii="Times New Roman" w:hAnsi="Times New Roman"/>
          <w:caps w:val="false"/>
          <w:smallCaps w:val="false"/>
          <w:sz w:val="20"/>
        </w:rPr>
        <w:t> </w:t>
      </w:r>
      <w:r>
        <w:rPr>
          <w:rFonts w:ascii="Times New Roman" w:hAnsi="Times New Roman"/>
          <w:i/>
          <w:caps w:val="false"/>
          <w:smallCaps w:val="false"/>
          <w:sz w:val="20"/>
        </w:rPr>
        <w:t>Segment Reporting (Topic</w:t>
      </w:r>
      <w:r>
        <w:rPr>
          <w:rFonts w:ascii="Times New Roman" w:hAnsi="Times New Roman"/>
          <w:caps w:val="false"/>
          <w:smallCaps w:val="false"/>
          <w:sz w:val="20"/>
        </w:rPr>
        <w:t> </w:t>
      </w:r>
      <w:r>
        <w:rPr>
          <w:rStyle w:val="Emphasis"/>
          <w:rFonts w:ascii="Times New Roman" w:hAnsi="Times New Roman"/>
          <w:i/>
          <w:caps w:val="false"/>
          <w:smallCaps w:val="false"/>
          <w:sz w:val="20"/>
        </w:rPr>
        <w:t>280</w:t>
      </w:r>
      <w:r>
        <w:rPr>
          <w:rFonts w:ascii="Times New Roman" w:hAnsi="Times New Roman"/>
          <w:i/>
          <w:caps w:val="false"/>
          <w:smallCaps w:val="false"/>
          <w:sz w:val="20"/>
        </w:rPr>
        <w:t>)</w:t>
      </w:r>
      <w:r>
        <w:rPr>
          <w:rFonts w:ascii="Times New Roman" w:hAnsi="Times New Roman"/>
          <w:caps w:val="false"/>
          <w:smallCaps w:val="false"/>
          <w:sz w:val="20"/>
        </w:rPr>
        <w:t>, which expanded disclosure requirements for significant segment expenses and other segment items. In connection with this guidance, compensation, employee taxes and benefits, business services, software and technology expense, and merger and acquisition expense are presented separately as these expenses were previously included within total noninterest expense. Financial information for prior periods were recast to conform to the current 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Operating segments are components of an enterprise, which are evaluated regularly by the “chief operating decision maker” in deciding how to allocate resources and assess performance. The Company’s chief operating decision maker is the President and Chief Executive Officer of the Company, and assesses overall segment performance based on net income (loss) before taxes and uses this metric to allocate resources for each segment, focusing on budgeting and forecasting.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Reportable segments are determined based on the services offered, the significance of the services offered, the significance of those services to the Company’s financial statements, and management’s regular review of the operating results of those services. The Company currently operates through three operating segments: banking, retirement and benefit services, and wealth advisory services.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reportable segments include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Banking: Offers a complete line of loan, deposit, cash management, and treasury services through 26 offices in North Dakota, Minnesota, Wisconsin, Iowa, and Arizona. These products and services are supported through web and mobile based applications. The majority of the Company’s assets and liabilities are in the Banking segment’s balance sheet.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Retirement and Benefit Services: Provides the following services nationally: record-keeping and administration services to qualified and other types of retirement plans, investment fiduciary services to retirement plans, health savings accounts, flexible spending accounts, and COBRA recordkeeping and administration services. The division serves clients nationally, including within the Company's banking markets, through a geographically dispersed workforce, and maintains an office in Lakewood, Colorado.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Wealth Advisory Services: Provides advisory and planning services, investment management, and trust and fiduciary services to clients across the Company’s footprint.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Company’s segment reporting process begins with the assignment of income and expenses directly to the applicable segments based on different cost centers within the Company. The net income (loss) before taxes for each reportable segment is further derived by the use of expense allocations. Certain expenses </w:t>
      </w:r>
      <w:r>
        <w:rPr>
          <w:rStyle w:val="Emphasis"/>
          <w:rFonts w:ascii="Times New Roman" w:hAnsi="Times New Roman"/>
          <w:caps w:val="false"/>
          <w:smallCaps w:val="false"/>
          <w:sz w:val="20"/>
        </w:rPr>
        <w:t>not</w:t>
      </w:r>
      <w:r>
        <w:rPr>
          <w:rFonts w:ascii="Times New Roman" w:hAnsi="Times New Roman"/>
          <w:caps w:val="false"/>
          <w:smallCaps w:val="false"/>
          <w:sz w:val="20"/>
        </w:rPr>
        <w:t> directly attributable to a specific segment are allocated across all segments based on key metrics, such as number of employees and time spent working in each segment. These types of expenses include business services, software and technology expense, human resources, accounting and finance, risk management, legal, and marketing.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The financial information presented for each segment includes net interest income, provision for credit losses, noninterest income, and direct and indirect noninterest expense. As discussed above, noninterest expense is broken out between significant noninterest expenses and other noninterest expense. Other noninterest expense consists of occupancy and equipment expense, intangible amortization expense, professional fees and assessments (less merger and acquisition expenses which are included within this expense item on the consolidated statements of income), marketing and business development, supplies and postage, travel, mortgage and lending expenses, and other noninterest expenses. Corporate administration includes all remaining income and expenses </w:t>
      </w:r>
      <w:r>
        <w:rPr>
          <w:rStyle w:val="Emphasis"/>
          <w:rFonts w:ascii="Times New Roman" w:hAnsi="Times New Roman"/>
          <w:caps w:val="false"/>
          <w:smallCaps w:val="false"/>
          <w:sz w:val="20"/>
        </w:rPr>
        <w:t>not</w:t>
      </w:r>
      <w:r>
        <w:rPr>
          <w:rFonts w:ascii="Times New Roman" w:hAnsi="Times New Roman"/>
          <w:caps w:val="false"/>
          <w:smallCaps w:val="false"/>
          <w:sz w:val="20"/>
        </w:rPr>
        <w:t> allocated to the </w:t>
      </w:r>
      <w:r>
        <w:rPr>
          <w:rStyle w:val="Emphasis"/>
          <w:rFonts w:ascii="Times New Roman" w:hAnsi="Times New Roman"/>
          <w:caps w:val="false"/>
          <w:smallCaps w:val="false"/>
          <w:sz w:val="20"/>
        </w:rPr>
        <w:t>three</w:t>
      </w:r>
      <w:r>
        <w:rPr>
          <w:rFonts w:ascii="Times New Roman" w:hAnsi="Times New Roman"/>
          <w:caps w:val="false"/>
          <w:smallCaps w:val="false"/>
          <w:sz w:val="20"/>
        </w:rPr>
        <w:t> operating segments, including all merger and acquisition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assignment and allocation methodologies used in the segment reporting process discussed above change from time to time as systems are enhanced, methods for evaluating segment performance or product lines change or as business segments are realigned.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present key metrics related to the Company’s segments for the periods presented: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6"/>
        <w:gridCol w:w="60"/>
        <w:gridCol w:w="125"/>
        <w:gridCol w:w="845"/>
        <w:gridCol w:w="80"/>
        <w:gridCol w:w="60"/>
        <w:gridCol w:w="218"/>
        <w:gridCol w:w="1040"/>
        <w:gridCol w:w="60"/>
        <w:gridCol w:w="60"/>
        <w:gridCol w:w="258"/>
        <w:gridCol w:w="1011"/>
        <w:gridCol w:w="60"/>
        <w:gridCol w:w="60"/>
        <w:gridCol w:w="222"/>
        <w:gridCol w:w="1058"/>
        <w:gridCol w:w="80"/>
        <w:gridCol w:w="60"/>
        <w:gridCol w:w="145"/>
        <w:gridCol w:w="985"/>
        <w:gridCol w:w="82"/>
      </w:tblGrid>
      <w:tr>
        <w:trPr/>
        <w:tc>
          <w:tcPr>
            <w:tcW w:w="3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27"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and for the three months ended March 31, 2026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Retirement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9"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Wealth Advisory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gridSpan w:val="2"/>
            <w:tcBorders/>
            <w:shd w:fill="FFFFFF" w:val="clear"/>
            <w:vAlign w:val="center"/>
          </w:tcPr>
          <w:p>
            <w:pPr>
              <w:pStyle w:val="TableContents"/>
              <w:bidi w:val="0"/>
              <w:spacing w:before="0" w:after="283"/>
              <w:jc w:val="center"/>
              <w:rPr/>
            </w:pPr>
            <w:r>
              <w:rPr>
                <w:rStyle w:val="Emphasis"/>
              </w:rPr>
              <w:t> </w:t>
            </w:r>
          </w:p>
        </w:tc>
        <w:tc>
          <w:tcPr>
            <w:tcW w:w="82" w:type="dxa"/>
            <w:tcBorders/>
            <w:shd w:fill="FFFFFF"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Banking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 Services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Services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Administration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p>
        </w:tc>
        <w:tc>
          <w:tcPr>
            <w:tcW w:w="82" w:type="dxa"/>
            <w:tcBorders/>
            <w:shd w:fill="CCEEFF"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30,847</w:t>
            </w:r>
          </w:p>
        </w:tc>
        <w:tc>
          <w:tcPr>
            <w:tcW w:w="82" w:type="dxa"/>
            <w:tcBorders/>
            <w:shd w:fill="CCEEFF"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24,087</w:t>
            </w:r>
          </w:p>
        </w:tc>
        <w:tc>
          <w:tcPr>
            <w:tcW w:w="82" w:type="dxa"/>
            <w:tcBorders/>
            <w:shd w:fill="CCEEFF"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taxes and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6,640</w:t>
            </w:r>
          </w:p>
        </w:tc>
        <w:tc>
          <w:tcPr>
            <w:tcW w:w="82" w:type="dxa"/>
            <w:tcBorders/>
            <w:shd w:fill="FFFFFF" w:val="clear"/>
            <w:vAlign w:val="center"/>
          </w:tcPr>
          <w:p>
            <w:pPr>
              <w:pStyle w:val="TableContents"/>
              <w:bidi w:val="0"/>
              <w:spacing w:before="0" w:after="283"/>
              <w:jc w:val="left"/>
              <w:rPr/>
            </w:pPr>
            <w:r>
              <w:rPr/>
              <w:t> </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services, software and technology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5,839</w:t>
            </w:r>
          </w:p>
        </w:tc>
        <w:tc>
          <w:tcPr>
            <w:tcW w:w="82" w:type="dxa"/>
            <w:tcBorders/>
            <w:shd w:fill="CCEEFF"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Merger and acquisition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13,860</w:t>
            </w:r>
          </w:p>
        </w:tc>
        <w:tc>
          <w:tcPr>
            <w:tcW w:w="82" w:type="dxa"/>
            <w:tcBorders/>
            <w:shd w:fill="CCEEFF"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36"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before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29,383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30,250</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5,183,113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30,825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68,085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5,287,971</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661"/>
        <w:gridCol w:w="60"/>
        <w:gridCol w:w="125"/>
        <w:gridCol w:w="845"/>
        <w:gridCol w:w="60"/>
        <w:gridCol w:w="60"/>
        <w:gridCol w:w="219"/>
        <w:gridCol w:w="1044"/>
        <w:gridCol w:w="60"/>
        <w:gridCol w:w="60"/>
        <w:gridCol w:w="260"/>
        <w:gridCol w:w="1018"/>
        <w:gridCol w:w="60"/>
        <w:gridCol w:w="60"/>
        <w:gridCol w:w="222"/>
        <w:gridCol w:w="1058"/>
        <w:gridCol w:w="80"/>
        <w:gridCol w:w="60"/>
        <w:gridCol w:w="145"/>
        <w:gridCol w:w="985"/>
        <w:gridCol w:w="63"/>
      </w:tblGrid>
      <w:tr>
        <w:trPr/>
        <w:tc>
          <w:tcPr>
            <w:tcW w:w="3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21"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and for the three months ended March 31, 2025</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Retirement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Wealth Advisory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Banking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 Services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Services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Administration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41,157</w:t>
            </w:r>
          </w:p>
        </w:tc>
        <w:tc>
          <w:tcPr>
            <w:tcW w:w="63" w:type="dxa"/>
            <w:tcBorders/>
            <w:shd w:fill="CCEEFF"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63" w:type="dxa"/>
            <w:tcBorders/>
            <w:shd w:fill="FFFFFF" w:val="clear"/>
            <w:vAlign w:val="center"/>
          </w:tcPr>
          <w:p>
            <w:pPr>
              <w:pStyle w:val="TableContents"/>
              <w:bidi w:val="0"/>
              <w:spacing w:before="0" w:after="283"/>
              <w:jc w:val="left"/>
              <w:rPr/>
            </w:pPr>
            <w:r>
              <w:rPr/>
              <w:t> </w:t>
            </w:r>
          </w:p>
        </w:tc>
      </w:tr>
      <w:tr>
        <w:trPr/>
        <w:tc>
          <w:tcPr>
            <w:tcW w:w="366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27,632</w:t>
            </w:r>
          </w:p>
        </w:tc>
        <w:tc>
          <w:tcPr>
            <w:tcW w:w="63" w:type="dxa"/>
            <w:tcBorders/>
            <w:shd w:fill="CCEEFF"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22,961</w:t>
            </w:r>
          </w:p>
        </w:tc>
        <w:tc>
          <w:tcPr>
            <w:tcW w:w="63" w:type="dxa"/>
            <w:tcBorders/>
            <w:shd w:fill="CCEEFF"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taxes and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7,762</w:t>
            </w:r>
          </w:p>
        </w:tc>
        <w:tc>
          <w:tcPr>
            <w:tcW w:w="63" w:type="dxa"/>
            <w:tcBorders/>
            <w:shd w:fill="FFFFFF" w:val="clear"/>
            <w:vAlign w:val="center"/>
          </w:tcPr>
          <w:p>
            <w:pPr>
              <w:pStyle w:val="TableContents"/>
              <w:bidi w:val="0"/>
              <w:spacing w:before="0" w:after="283"/>
              <w:jc w:val="left"/>
              <w:rPr/>
            </w:pPr>
            <w:r>
              <w:rPr/>
              <w:t> </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services, software and technology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5,752</w:t>
            </w:r>
          </w:p>
        </w:tc>
        <w:tc>
          <w:tcPr>
            <w:tcW w:w="63" w:type="dxa"/>
            <w:tcBorders/>
            <w:shd w:fill="CCEEFF"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Merger and acquisition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w:t>
            </w:r>
          </w:p>
        </w:tc>
        <w:tc>
          <w:tcPr>
            <w:tcW w:w="63" w:type="dxa"/>
            <w:tcBorders/>
            <w:shd w:fill="FFFFFF" w:val="clear"/>
            <w:vAlign w:val="center"/>
          </w:tcPr>
          <w:p>
            <w:pPr>
              <w:pStyle w:val="TableContents"/>
              <w:bidi w:val="0"/>
              <w:spacing w:before="0" w:after="283"/>
              <w:jc w:val="left"/>
              <w:rPr/>
            </w:pPr>
            <w:r>
              <w:rPr/>
              <w:t> </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13,604</w:t>
            </w:r>
          </w:p>
        </w:tc>
        <w:tc>
          <w:tcPr>
            <w:tcW w:w="63" w:type="dxa"/>
            <w:tcBorders/>
            <w:shd w:fill="CCEEFF" w:val="clear"/>
            <w:vAlign w:val="center"/>
          </w:tcPr>
          <w:p>
            <w:pPr>
              <w:pStyle w:val="TableContents"/>
              <w:bidi w:val="0"/>
              <w:spacing w:before="0" w:after="283"/>
              <w:ind w:left="0" w:right="0" w:hanging="0"/>
              <w:jc w:val="left"/>
              <w:rPr/>
            </w:pPr>
            <w:r>
              <w:rPr/>
              <w:t> </w:t>
            </w:r>
          </w:p>
        </w:tc>
      </w:tr>
      <w:tr>
        <w:trPr/>
        <w:tc>
          <w:tcPr>
            <w:tcW w:w="366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50,365</w:t>
            </w:r>
          </w:p>
        </w:tc>
        <w:tc>
          <w:tcPr>
            <w:tcW w:w="63"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661" w:type="dxa"/>
            <w:tcBorders/>
            <w:shd w:fill="CCEEFF" w:val="cle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before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17,561</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5,257,508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31,302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45,339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5,339,620</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calculations of basic and diluted earnings per share using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are presented below:</w:t>
      </w:r>
    </w:p>
    <w:p>
      <w:pPr>
        <w:pStyle w:val="TextBody"/>
        <w:bidi w:val="0"/>
        <w:spacing w:before="0" w:after="0"/>
        <w:ind w:left="0" w:right="0" w:hanging="0"/>
        <w:jc w:val="left"/>
        <w:rPr>
          <w:caps w:val="false"/>
          <w:smallCaps w:val="false"/>
        </w:rPr>
      </w:pPr>
      <w:r>
        <w:rPr>
          <w:caps w:val="false"/>
          <w:smallCaps w:val="false"/>
        </w:rPr>
        <w:t> </w:t>
      </w:r>
    </w:p>
    <w:tbl>
      <w:tblPr>
        <w:tblW w:w="8017" w:type="dxa"/>
        <w:jc w:val="left"/>
        <w:tblInd w:w="0" w:type="dxa"/>
        <w:tblLayout w:type="fixed"/>
        <w:tblCellMar>
          <w:top w:w="0" w:type="dxa"/>
          <w:left w:w="0" w:type="dxa"/>
          <w:bottom w:w="0" w:type="dxa"/>
          <w:right w:w="0" w:type="dxa"/>
        </w:tblCellMar>
      </w:tblPr>
      <w:tblGrid>
        <w:gridCol w:w="6215"/>
        <w:gridCol w:w="60"/>
        <w:gridCol w:w="135"/>
        <w:gridCol w:w="641"/>
        <w:gridCol w:w="65"/>
        <w:gridCol w:w="65"/>
        <w:gridCol w:w="135"/>
        <w:gridCol w:w="641"/>
        <w:gridCol w:w="60"/>
      </w:tblGrid>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and shares in thousands,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13,315</w:t>
            </w:r>
          </w:p>
        </w:tc>
        <w:tc>
          <w:tcPr>
            <w:tcW w:w="6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and undistributed earnings allocated to participating securities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available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22,765</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for basic earnings per share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25,359</w:t>
            </w:r>
          </w:p>
        </w:tc>
        <w:tc>
          <w:tcPr>
            <w:tcW w:w="6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stock-based awards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for diluted earnings per share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25,679</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per common share: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6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There were no antidilutive shares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18</w:t>
      </w:r>
      <w:r>
        <w:rPr>
          <w:rFonts w:ascii="Times New Roman" w:hAnsi="Times New Roman"/>
          <w:b/>
          <w:caps w:val="false"/>
          <w:smallCaps w:val="false"/>
          <w:sz w:val="20"/>
        </w:rPr>
        <w:t xml:space="preserve">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uses a variety of derivative instruments to mitigate exposure to both market and credit risks inherent in its business activities. The Company manages these risks as part of its overall asset and liability management process and through its policies and procedures. Derivatives represent contracts between parties that usually require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initial net investment and result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party delivering cash or another type of asset to the other party based on a notional amount and an underlying as specified in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Derivatives are often measured in terms of notional amount, but this amount is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exchanged, and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on the Company’s consolidated balance sheet. The notional amount is the basis to which the underlying is applied to determine required payments under the derivative contract. The underlying is a referenced interest rate, security price, credit spread, or other index. Residential and commercial real estate (“CRE”) loan commitments associated with loans to be sold also qualify as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Derivatives Designated as Hedging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uses derivative instruments to hedge its exposure to economic risks, including interest rate, liquidity and credit risk. Certain hedging relationships are formally designated and qualify for hedge accounting under GAAP. On the date the Company enters into a derivative contract designated as a hedging instrument, the derivative is designated as either a fair value hedge, cash flow hedge, or a net investment hedge. When a derivative is designated as a fair value, cash flow, or net investment hedge, the Company performs an assessment, at inception and, at a minimum, quarterly thereafter, to determine the effectiveness of the derivative in offsetting changes in the value or cash flows of the hedged item(s).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 Company only used fair value and cash flow hedges.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Fair value hedges: </w:t>
      </w:r>
      <w:r>
        <w:rPr>
          <w:rFonts w:ascii="Times New Roman" w:hAnsi="Times New Roman"/>
          <w:caps w:val="false"/>
          <w:smallCaps w:val="false"/>
          <w:sz w:val="20"/>
        </w:rPr>
        <w:t>These derivatives are interest rate swaps the Company uses to hedge the change in fair value related to interest rate changes of its underlying mortgage-backed investment securities and mortgage loan pools. The interest rate swaps are carried on the Company’s Consolidated Balance Sheet at their fair value in other assets (when the fair value is positive) or in accrued expenses and other liabilities (when the fair value is negative). The changes in fair value of the interest rate swaps are recorded in interest income. The unrealized gains or losses due to changes in fair value of the interest rate swaps due to changes in benchmark interest rates are recorded as an adjustment to the hedged instruments and offset in the same interest income line items.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i/>
          <w:caps w:val="false"/>
          <w:smallCaps w:val="false"/>
          <w:sz w:val="20"/>
        </w:rPr>
        <w:t>Cash flow hedges:</w:t>
      </w:r>
      <w:r>
        <w:rPr>
          <w:rFonts w:ascii="Times New Roman" w:hAnsi="Times New Roman"/>
          <w:caps w:val="false"/>
          <w:smallCaps w:val="false"/>
          <w:sz w:val="20"/>
        </w:rPr>
        <w:t xml:space="preserve"> These derivatives are interest rate swaps the Company uses to hedge the variability of expected future cash flows due to market interest changes. The interest rate swap is carried on the Company’s consolidated balance sheet at its fair value in other assets (when the fair value is positive) or in accrued expenses and other liabilities (when the fair value is negative). Changes in fair value of derivatives designated as cash flow hedges are recorded in other comprehensive income (loss) (“OCI”) until the cash flows of the hedged items are realized. If a derivative designated as a cash flow hedge is terminated or ceases to be highly effective, the gain or loss in OCI is amortized to earnings over the period the forecasted hedged transactions impact earnings. If a hedged forecasted transaction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probable, hedge accounting is ceased and any gain or loss included in OCI is reported in earnings immediately, unless the forecasted transaction is at least reasonably possible of occurring, whereby the amounts remain within accumulated other comprehensive income (loss) (“AOCI”). The Company estimates that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amounts will be reclassified as an increase to interest expense over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All cash flow hedges were highly effective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 maximum length of time over which forecasted transactions are hedged was </w:t>
      </w:r>
      <w:r>
        <w:rPr>
          <w:rStyle w:val="Emphasis"/>
          <w:rFonts w:ascii="Times New Roman" w:hAnsi="Times New Roman"/>
          <w:caps w:val="false"/>
          <w:smallCaps w:val="false"/>
          <w:sz w:val="20"/>
        </w:rPr>
        <w:t>41</w:t>
      </w:r>
      <w:r>
        <w:rPr>
          <w:rFonts w:ascii="Times New Roman" w:hAnsi="Times New Roman"/>
          <w:caps w:val="false"/>
          <w:smallCaps w:val="false"/>
          <w:sz w:val="20"/>
        </w:rPr>
        <w:t xml:space="preserve"> months.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Derivatives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Designated as Hedging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Interest rate swaps: </w:t>
      </w:r>
      <w:r>
        <w:rPr>
          <w:rFonts w:ascii="Times New Roman" w:hAnsi="Times New Roman"/>
          <w:caps w:val="false"/>
          <w:smallCaps w:val="false"/>
          <w:sz w:val="20"/>
        </w:rPr>
        <w:t>The Company periodically enters into commercial loan interest rate swap agreements in order to provide commercial loan customers with the ability to convert from variable to fixed interest rates. These derivative contracts relate to transactions in which the Company enters into an interest rate swap with a customer, while simultaneously entering into an offsetting interest rate swap with an institutional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Interest rate lock commitments, forward loan sales commitments and to be announced mortgage backed securities: </w:t>
      </w:r>
      <w:r>
        <w:rPr>
          <w:rFonts w:ascii="Times New Roman" w:hAnsi="Times New Roman"/>
          <w:caps w:val="false"/>
          <w:smallCaps w:val="false"/>
          <w:sz w:val="20"/>
        </w:rPr>
        <w:t>The Company enters into forward delivery contracts to sell mortgage loans at specific prices and dates in order to hedge the interest rate risk in its portfolio of mortgage loans held for sale and its residential mortgage interest rate lock commitments.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presents the total notional amounts and gross fair values of the Company’s derivatives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83" w:type="dxa"/>
        <w:jc w:val="left"/>
        <w:tblInd w:w="0" w:type="dxa"/>
        <w:tblLayout w:type="fixed"/>
        <w:tblCellMar>
          <w:top w:w="0" w:type="dxa"/>
          <w:left w:w="0" w:type="dxa"/>
          <w:bottom w:w="0" w:type="dxa"/>
          <w:right w:w="0" w:type="dxa"/>
        </w:tblCellMar>
      </w:tblPr>
      <w:tblGrid>
        <w:gridCol w:w="5000"/>
        <w:gridCol w:w="60"/>
        <w:gridCol w:w="131"/>
        <w:gridCol w:w="732"/>
        <w:gridCol w:w="63"/>
        <w:gridCol w:w="63"/>
        <w:gridCol w:w="131"/>
        <w:gridCol w:w="622"/>
        <w:gridCol w:w="60"/>
        <w:gridCol w:w="60"/>
        <w:gridCol w:w="158"/>
        <w:gridCol w:w="883"/>
        <w:gridCol w:w="76"/>
        <w:gridCol w:w="76"/>
        <w:gridCol w:w="158"/>
        <w:gridCol w:w="750"/>
        <w:gridCol w:w="60"/>
      </w:tblGrid>
      <w:tr>
        <w:trPr/>
        <w:tc>
          <w:tcPr>
            <w:tcW w:w="5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2" w:type="dxa"/>
            <w:gridSpan w:val="6"/>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Assets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1" w:type="dxa"/>
            <w:gridSpan w:val="6"/>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Liabilities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Notional</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Notional</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0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180" w:right="0" w:hanging="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31, 2026</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Designated as hedging instruments: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derivatives designated as hedging instruments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 designated as hedging instruments: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lineRule="auto" w:line="288"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(1)</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517,251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533,251</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8,492</w:t>
            </w:r>
          </w:p>
        </w:tc>
        <w:tc>
          <w:tcPr>
            <w:tcW w:w="6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lock commitments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31,789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Forward loan sales commitments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To-be-announced mortgage backed securities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42,250</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 derivatives not designated as hedging instruments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600,010</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533,251</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Designated as hedging instruments: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derivatives designated as hedging instruments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 designated as hedging instruments: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lineRule="auto" w:line="288"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(3)</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490,341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507,341</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10,603</w:t>
            </w:r>
          </w:p>
        </w:tc>
        <w:tc>
          <w:tcPr>
            <w:tcW w:w="6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lock commitments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Forward loan sales commitments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To-be-announced mortgage backed securities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30,500</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 derivatives not designated as hedging instruments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520,408</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537,841</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6580" w:type="dxa"/>
        <w:jc w:val="left"/>
        <w:tblInd w:w="0" w:type="dxa"/>
        <w:tblLayout w:type="fixed"/>
        <w:tblCellMar>
          <w:top w:w="0" w:type="dxa"/>
          <w:left w:w="0" w:type="dxa"/>
          <w:bottom w:w="0" w:type="dxa"/>
          <w:right w:w="0" w:type="dxa"/>
        </w:tblCellMar>
      </w:tblPr>
      <w:tblGrid>
        <w:gridCol w:w="230"/>
        <w:gridCol w:w="635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6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Derivative assets are included in other assets on the Company’s consolidated balance sheet. </w:t>
            </w:r>
          </w:p>
        </w:tc>
      </w:tr>
    </w:tbl>
    <w:tbl>
      <w:tblPr>
        <w:tblW w:w="8605" w:type="dxa"/>
        <w:jc w:val="left"/>
        <w:tblInd w:w="0" w:type="dxa"/>
        <w:tblLayout w:type="fixed"/>
        <w:tblCellMar>
          <w:top w:w="0" w:type="dxa"/>
          <w:left w:w="0" w:type="dxa"/>
          <w:bottom w:w="0" w:type="dxa"/>
          <w:right w:w="0" w:type="dxa"/>
        </w:tblCellMar>
      </w:tblPr>
      <w:tblGrid>
        <w:gridCol w:w="230"/>
        <w:gridCol w:w="8375"/>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2</w:t>
            </w:r>
            <w:r>
              <w:rPr>
                <w:rFonts w:ascii="Times New Roman;Times;serif" w:hAnsi="Times New Roman;Times;serif"/>
                <w:caps w:val="false"/>
                <w:smallCaps w:val="false"/>
                <w:sz w:val="16"/>
              </w:rPr>
              <w:t>)</w:t>
            </w:r>
          </w:p>
        </w:tc>
        <w:tc>
          <w:tcPr>
            <w:tcW w:w="8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Derivative liabilities are included in accrued expenses and other liabilities on the Company’s consolidated balance sheet. </w:t>
            </w:r>
          </w:p>
        </w:tc>
      </w:tr>
    </w:tbl>
    <w:tbl>
      <w:tblPr>
        <w:tblW w:w="5050" w:type="dxa"/>
        <w:jc w:val="left"/>
        <w:tblInd w:w="0" w:type="dxa"/>
        <w:tblLayout w:type="fixed"/>
        <w:tblCellMar>
          <w:top w:w="0" w:type="dxa"/>
          <w:left w:w="0" w:type="dxa"/>
          <w:bottom w:w="0" w:type="dxa"/>
          <w:right w:w="0" w:type="dxa"/>
        </w:tblCellMar>
      </w:tblPr>
      <w:tblGrid>
        <w:gridCol w:w="230"/>
        <w:gridCol w:w="482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3</w:t>
            </w:r>
            <w:r>
              <w:rPr>
                <w:rFonts w:ascii="Times New Roman;Times;serif" w:hAnsi="Times New Roman;Times;serif"/>
                <w:caps w:val="false"/>
                <w:smallCaps w:val="false"/>
                <w:sz w:val="16"/>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Reported fair values include accrued interest receivable and payable.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 shows the effective portion of the gains (losses) recognized in OCI and the gains (losses), before tax, reclassified from OCI into earnings for the periods indicated:</w:t>
      </w:r>
    </w:p>
    <w:p>
      <w:pPr>
        <w:pStyle w:val="TextBody"/>
        <w:bidi w:val="0"/>
        <w:spacing w:before="0" w:after="0"/>
        <w:ind w:left="0" w:right="0" w:firstLine="720"/>
        <w:jc w:val="left"/>
        <w:rPr>
          <w:caps w:val="false"/>
          <w:smallCaps w:val="false"/>
        </w:rPr>
      </w:pPr>
      <w:r>
        <w:rPr>
          <w:caps w:val="false"/>
          <w:smallCaps w:val="false"/>
        </w:rPr>
        <w:t> </w:t>
      </w:r>
    </w:p>
    <w:tbl>
      <w:tblPr>
        <w:tblW w:w="6608" w:type="dxa"/>
        <w:jc w:val="left"/>
        <w:tblInd w:w="0" w:type="dxa"/>
        <w:tblLayout w:type="fixed"/>
        <w:tblCellMar>
          <w:top w:w="0" w:type="dxa"/>
          <w:left w:w="0" w:type="dxa"/>
          <w:bottom w:w="0" w:type="dxa"/>
          <w:right w:w="0" w:type="dxa"/>
        </w:tblCellMar>
      </w:tblPr>
      <w:tblGrid>
        <w:gridCol w:w="3920"/>
        <w:gridCol w:w="60"/>
        <w:gridCol w:w="289"/>
        <w:gridCol w:w="915"/>
        <w:gridCol w:w="80"/>
        <w:gridCol w:w="60"/>
        <w:gridCol w:w="361"/>
        <w:gridCol w:w="843"/>
        <w:gridCol w:w="80"/>
      </w:tblGrid>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 (Losses)</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Reclassified</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Recognized 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from OCI</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OCI</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into 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 designated as hedging instruments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180" w:right="0" w:hanging="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three months ended March 31, 2026</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20" w:right="0" w:hanging="0"/>
              <w:jc w:val="left"/>
              <w:rPr/>
            </w:pPr>
            <w:r>
              <w:rPr/>
              <w:t> </w:t>
            </w:r>
          </w:p>
        </w:tc>
      </w:tr>
      <w:tr>
        <w:trPr/>
        <w:tc>
          <w:tcPr>
            <w:tcW w:w="3920" w:type="dxa"/>
            <w:tcBorders/>
            <w:shd w:fill="FFFFFF" w:val="clear"/>
            <w:vAlign w:val="center"/>
          </w:tcPr>
          <w:p>
            <w:pPr>
              <w:pStyle w:val="TableContents"/>
              <w:bidi w:val="0"/>
              <w:spacing w:before="0" w:after="0"/>
              <w:ind w:left="2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180" w:right="0" w:hanging="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three months ended March 31, 2025</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20" w:right="0" w:hanging="0"/>
              <w:jc w:val="left"/>
              <w:rPr/>
            </w:pPr>
            <w:r>
              <w:rPr/>
              <w:t> </w:t>
            </w:r>
          </w:p>
        </w:tc>
      </w:tr>
      <w:tr>
        <w:trPr/>
        <w:tc>
          <w:tcPr>
            <w:tcW w:w="3920" w:type="dxa"/>
            <w:tcBorders/>
            <w:shd w:fill="FFFFFF" w:val="clear"/>
            <w:vAlign w:val="center"/>
          </w:tcPr>
          <w:p>
            <w:pPr>
              <w:pStyle w:val="TableContents"/>
              <w:bidi w:val="0"/>
              <w:spacing w:before="0" w:after="0"/>
              <w:ind w:left="2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shows the effect of fair value and cash flow hedge accounting on derivatives designated as hedging instruments in the Consolidated Statements of Income for the periods indicated:</w:t>
      </w:r>
    </w:p>
    <w:p>
      <w:pPr>
        <w:pStyle w:val="TextBody"/>
        <w:bidi w:val="0"/>
        <w:spacing w:before="0" w:after="0"/>
        <w:ind w:left="0" w:right="0" w:firstLine="72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4625"/>
        <w:gridCol w:w="60"/>
        <w:gridCol w:w="298"/>
        <w:gridCol w:w="1408"/>
        <w:gridCol w:w="143"/>
        <w:gridCol w:w="143"/>
        <w:gridCol w:w="298"/>
        <w:gridCol w:w="1157"/>
        <w:gridCol w:w="190"/>
        <w:gridCol w:w="143"/>
        <w:gridCol w:w="298"/>
        <w:gridCol w:w="1157"/>
        <w:gridCol w:w="8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3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Location and Amount of Gains (Losses) Recognized in Income</w:t>
            </w:r>
          </w:p>
        </w:tc>
        <w:tc>
          <w:tcPr>
            <w:tcW w:w="8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Income</w:t>
            </w:r>
          </w:p>
        </w:tc>
        <w:tc>
          <w:tcPr>
            <w:tcW w:w="19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Expense</w:t>
            </w:r>
          </w:p>
        </w:tc>
        <w:tc>
          <w:tcPr>
            <w:tcW w:w="8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0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Loans,</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w:t>
            </w:r>
          </w:p>
        </w:tc>
        <w:tc>
          <w:tcPr>
            <w:tcW w:w="19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0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including</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w:t>
            </w:r>
          </w:p>
        </w:tc>
        <w:tc>
          <w:tcPr>
            <w:tcW w:w="19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Short-term</w:t>
            </w:r>
          </w:p>
        </w:tc>
        <w:tc>
          <w:tcPr>
            <w:tcW w:w="8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1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fees</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Taxable</w:t>
            </w:r>
          </w:p>
        </w:tc>
        <w:tc>
          <w:tcPr>
            <w:tcW w:w="19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borrowings</w:t>
            </w:r>
          </w:p>
        </w:tc>
        <w:tc>
          <w:tcPr>
            <w:tcW w:w="8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March 31, 2026</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amounts in the Consolidated Statements of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58,621</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7,104</w:t>
            </w:r>
          </w:p>
        </w:tc>
        <w:tc>
          <w:tcPr>
            <w:tcW w:w="19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w:t>
            </w:r>
          </w:p>
        </w:tc>
        <w:tc>
          <w:tcPr>
            <w:tcW w:w="8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hedges: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408" w:type="dxa"/>
            <w:tcBorders/>
            <w:shd w:fill="FFFFFF" w:val="clear"/>
            <w:vAlign w:val="center"/>
          </w:tcPr>
          <w:p>
            <w:pPr>
              <w:pStyle w:val="TableContents"/>
              <w:bidi w:val="0"/>
              <w:spacing w:before="0" w:after="283"/>
              <w:ind w:left="0" w:right="0" w:hanging="0"/>
              <w:jc w:val="right"/>
              <w:rPr/>
            </w:pPr>
            <w:r>
              <w:rPr/>
              <w:t>—</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3"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408" w:type="dxa"/>
            <w:tcBorders/>
            <w:shd w:fill="FFFFFF" w:val="clear"/>
            <w:vAlign w:val="center"/>
          </w:tcPr>
          <w:p>
            <w:pPr>
              <w:pStyle w:val="TableContents"/>
              <w:bidi w:val="0"/>
              <w:spacing w:before="0" w:after="283"/>
              <w:ind w:left="0" w:right="0" w:hanging="0"/>
              <w:jc w:val="right"/>
              <w:rPr/>
            </w:pPr>
            <w:r>
              <w:rPr/>
              <w:t>—</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pPr>
            <w:r>
              <w:rPr/>
              <w:t>—</w:t>
            </w:r>
          </w:p>
        </w:tc>
        <w:tc>
          <w:tcPr>
            <w:tcW w:w="19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March 31, 2025</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amounts in the Consolidated Statements of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61,495</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w:t>
            </w:r>
          </w:p>
        </w:tc>
        <w:tc>
          <w:tcPr>
            <w:tcW w:w="19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2,839</w:t>
            </w:r>
          </w:p>
        </w:tc>
        <w:tc>
          <w:tcPr>
            <w:tcW w:w="8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hedges: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408" w:type="dxa"/>
            <w:tcBorders/>
            <w:shd w:fill="FFFFFF" w:val="clear"/>
            <w:vAlign w:val="center"/>
          </w:tcPr>
          <w:p>
            <w:pPr>
              <w:pStyle w:val="TableContents"/>
              <w:bidi w:val="0"/>
              <w:spacing w:before="0" w:after="283"/>
              <w:ind w:left="0" w:right="0" w:hanging="0"/>
              <w:jc w:val="right"/>
              <w:rPr/>
            </w:pPr>
            <w:r>
              <w:rPr/>
              <w:t>—</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19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408" w:type="dxa"/>
            <w:tcBorders/>
            <w:shd w:fill="FFFFFF" w:val="clear"/>
            <w:vAlign w:val="center"/>
          </w:tcPr>
          <w:p>
            <w:pPr>
              <w:pStyle w:val="TableContents"/>
              <w:bidi w:val="0"/>
              <w:spacing w:before="0" w:after="283"/>
              <w:ind w:left="0" w:right="0" w:hanging="0"/>
              <w:jc w:val="right"/>
              <w:rPr/>
            </w:pPr>
            <w:r>
              <w:rPr/>
              <w:t>—</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pPr>
            <w:r>
              <w:rPr/>
              <w:t>—</w:t>
            </w:r>
          </w:p>
        </w:tc>
        <w:tc>
          <w:tcPr>
            <w:tcW w:w="19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gain (loss) recognized on derivatives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hedging relationships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33"/>
        <w:gridCol w:w="3550"/>
        <w:gridCol w:w="60"/>
        <w:gridCol w:w="262"/>
        <w:gridCol w:w="830"/>
        <w:gridCol w:w="168"/>
        <w:gridCol w:w="125"/>
        <w:gridCol w:w="262"/>
        <w:gridCol w:w="830"/>
        <w:gridCol w:w="85"/>
      </w:tblGrid>
      <w:tr>
        <w:trPr/>
        <w:tc>
          <w:tcPr>
            <w:tcW w:w="4033"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355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3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 not designated as hedging instruments</w:t>
            </w:r>
          </w:p>
        </w:tc>
        <w:tc>
          <w:tcPr>
            <w:tcW w:w="355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Consolidated Statements of Income 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w:t>
            </w:r>
          </w:p>
        </w:tc>
        <w:tc>
          <w:tcPr>
            <w:tcW w:w="355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noninterest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283"/>
              <w:ind w:left="0" w:right="0" w:hanging="0"/>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40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w:t>
            </w:r>
          </w:p>
        </w:tc>
        <w:tc>
          <w:tcPr>
            <w:tcW w:w="355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Mortgage banking</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68"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5" w:type="dxa"/>
            <w:tcBorders/>
            <w:shd w:fill="FFFFFF" w:val="clear"/>
            <w:vAlign w:val="center"/>
          </w:tcPr>
          <w:p>
            <w:pPr>
              <w:pStyle w:val="TableContents"/>
              <w:bidi w:val="0"/>
              <w:spacing w:before="0" w:after="283"/>
              <w:jc w:val="left"/>
              <w:rPr/>
            </w:pPr>
            <w:r>
              <w:rPr/>
              <w:t> </w:t>
            </w:r>
          </w:p>
        </w:tc>
      </w:tr>
      <w:tr>
        <w:trPr/>
        <w:tc>
          <w:tcPr>
            <w:tcW w:w="40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lock commitments</w:t>
            </w:r>
          </w:p>
        </w:tc>
        <w:tc>
          <w:tcPr>
            <w:tcW w:w="355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Mortgage banking</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85" w:type="dxa"/>
            <w:tcBorders/>
            <w:shd w:fill="CCEEFF" w:val="clear"/>
            <w:vAlign w:val="center"/>
          </w:tcPr>
          <w:p>
            <w:pPr>
              <w:pStyle w:val="TableContents"/>
              <w:bidi w:val="0"/>
              <w:spacing w:before="0" w:after="283"/>
              <w:jc w:val="left"/>
              <w:rPr/>
            </w:pPr>
            <w:r>
              <w:rPr/>
              <w:t> </w:t>
            </w:r>
          </w:p>
        </w:tc>
      </w:tr>
      <w:tr>
        <w:trPr/>
        <w:tc>
          <w:tcPr>
            <w:tcW w:w="40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Forward loan sales commitments</w:t>
            </w:r>
          </w:p>
        </w:tc>
        <w:tc>
          <w:tcPr>
            <w:tcW w:w="355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Mortgage banking</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1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To-be-announced mortgage backed securities</w:t>
            </w:r>
          </w:p>
        </w:tc>
        <w:tc>
          <w:tcPr>
            <w:tcW w:w="355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Mortgage banking</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16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3" w:type="dxa"/>
            <w:gridSpan w:val="2"/>
            <w:tcBorders/>
            <w:shd w:fill="FFFFFF" w:val="clear"/>
            <w:vAlign w:val="center"/>
          </w:tcPr>
          <w:p>
            <w:pPr>
              <w:pStyle w:val="TableContents"/>
              <w:bidi w:val="0"/>
              <w:spacing w:before="0" w:after="0"/>
              <w:ind w:left="180" w:right="0" w:hanging="0"/>
              <w:jc w:val="left"/>
              <w:rPr/>
            </w:pPr>
            <w:r>
              <w:rPr>
                <w:rStyle w:val="Emphasis"/>
                <w:rFonts w:ascii="Times New Roman;Times;serif" w:hAnsi="Times New Roman;Times;serif"/>
                <w:caps w:val="false"/>
                <w:smallCaps w:val="false"/>
                <w:sz w:val="20"/>
              </w:rPr>
              <w:t>Total gain (loss) from derivatives not designated as hedging instruments</w:t>
            </w:r>
          </w:p>
        </w:tc>
        <w:tc>
          <w:tcPr>
            <w:tcW w:w="60" w:type="dxa"/>
            <w:tcBorders/>
            <w:shd w:fill="FFFF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agreements that require a minimum dollar transfer amount upon a margin call. These requirements are dependent on certain specified credit measures. There was no collateral posted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at either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or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If any, the amount of collateral posted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would be deemed to be sufficient as of those dates to collateralize both the fair market value change as well as any additional amounts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as a result of a change in the specified credit 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Credit Risk-Related Contingent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By using derivatives, the Company is exposed to credit risk to the extent that counterparties to the derivative contracts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perform as required. Should a counterparty fail to perform under the terms of a derivative contract, the Company’s credit exposure on interest rate swaps is limited to the net positive fair value and accrued interest of all swaps with each counterparty. The Company seeks to minimize counterparty credit risk through credit approvals, limits, monitoring procedures, and obtaining collateral, where appropriate. As such, management believes the risk of incurring credit losses on derivative contracts with institutional counterparties is remote.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agreements with its derivative counterparties that contain a provision where, if the Company defaults on any of its indebtedness, including defaults where repayment of the indebtedness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accelerated by the lender, the Company could also be declared in default on its derivative obligations. In addition, the Company also has agreements with certain of its derivative counterparties that contain a provision where, if the Company fails to maintain its status as a well-capitalized institution, the counterparty could terminate the derivative position(s) and the Company could be required to settle its obligations under the agreements.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fair value of derivatives in a net liability position, which included accrued interest but excluded any adjustment for non-performance risk, related to these agreements was $8.5 million and $10.6 million, respectively.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had minimum collateral posting thresholds with certain of its derivative counterparties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posted cash collateral. If the Company had breached any of these provisions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it could have been required to settle its obligations under the agreements at their termination value of $8.5 million and $10.6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Sheet Offsetting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present the Company’s derivative positions and the potential effect of netting arrangements on its financial position as of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7"/>
        <w:gridCol w:w="60"/>
        <w:gridCol w:w="304"/>
        <w:gridCol w:w="1107"/>
        <w:gridCol w:w="60"/>
        <w:gridCol w:w="60"/>
        <w:gridCol w:w="407"/>
        <w:gridCol w:w="839"/>
        <w:gridCol w:w="60"/>
        <w:gridCol w:w="60"/>
        <w:gridCol w:w="273"/>
        <w:gridCol w:w="1021"/>
        <w:gridCol w:w="60"/>
        <w:gridCol w:w="60"/>
        <w:gridCol w:w="286"/>
        <w:gridCol w:w="1219"/>
        <w:gridCol w:w="80"/>
        <w:gridCol w:w="60"/>
        <w:gridCol w:w="191"/>
        <w:gridCol w:w="746"/>
        <w:gridCol w:w="65"/>
      </w:tblGrid>
      <w:tr>
        <w:trPr/>
        <w:tc>
          <w:tcPr>
            <w:tcW w:w="3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Offset in the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Recognized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Offset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Presented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Collateral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4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Pledged (Received)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Amount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87" w:type="dxa"/>
            <w:tcBorders/>
            <w:shd w:fill="CCEEFF" w:val="clear"/>
            <w:vAlign w:val="center"/>
          </w:tcPr>
          <w:p>
            <w:pPr>
              <w:pStyle w:val="TableContents"/>
              <w:bidi w:val="0"/>
              <w:spacing w:before="0" w:after="0"/>
              <w:ind w:left="180" w:right="0" w:hanging="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31, 2026</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assets:</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3187" w:type="dxa"/>
            <w:tcBorders/>
            <w:shd w:fill="CCEEFF" w:val="clear"/>
            <w:vAlign w:val="center"/>
          </w:tcPr>
          <w:p>
            <w:pPr>
              <w:pStyle w:val="TableContents"/>
              <w:bidi w:val="0"/>
              <w:spacing w:lineRule="auto" w:line="288"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Company (1)</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w:t>
            </w:r>
          </w:p>
        </w:tc>
        <w:tc>
          <w:tcPr>
            <w:tcW w:w="65" w:type="dxa"/>
            <w:tcBorders/>
            <w:shd w:fill="CCEE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lineRule="auto" w:line="288"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dealer bank (1)</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11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ind w:left="0" w:right="0" w:hanging="0"/>
              <w:jc w:val="left"/>
              <w:rPr/>
            </w:pPr>
            <w:r>
              <w:rPr/>
              <w:t> </w:t>
            </w:r>
          </w:p>
        </w:tc>
        <w:tc>
          <w:tcPr>
            <w:tcW w:w="12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65" w:type="dxa"/>
            <w:tcBorders/>
            <w:shd w:fill="FFFFFF" w:val="clear"/>
            <w:vAlign w:val="center"/>
          </w:tcPr>
          <w:p>
            <w:pPr>
              <w:pStyle w:val="TableContents"/>
              <w:bidi w:val="0"/>
              <w:spacing w:before="0" w:after="283"/>
              <w:jc w:val="left"/>
              <w:rPr/>
            </w:pPr>
            <w:r>
              <w:rPr/>
              <w:t> </w:t>
            </w:r>
          </w:p>
        </w:tc>
      </w:tr>
      <w:tr>
        <w:trPr/>
        <w:tc>
          <w:tcPr>
            <w:tcW w:w="3187"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Interest rate swaps − customer (2)</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5,473</w:t>
            </w:r>
          </w:p>
        </w:tc>
        <w:tc>
          <w:tcPr>
            <w:tcW w:w="65" w:type="dxa"/>
            <w:tcBorders/>
            <w:shd w:fill="CCEE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To-be-announced mortgage backed securities</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8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7,860</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liabilities:</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3187" w:type="dxa"/>
            <w:tcBorders/>
            <w:shd w:fill="CCEEFF" w:val="clear"/>
            <w:vAlign w:val="center"/>
          </w:tcPr>
          <w:p>
            <w:pPr>
              <w:pStyle w:val="TableContents"/>
              <w:bidi w:val="0"/>
              <w:spacing w:lineRule="auto" w:line="288"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Company (1)</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Interest rate swaps − dealer bank (1)</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5,441</w:t>
            </w:r>
          </w:p>
        </w:tc>
        <w:tc>
          <w:tcPr>
            <w:tcW w:w="65" w:type="dxa"/>
            <w:tcBorders/>
            <w:shd w:fill="FFFFFF" w:val="clear"/>
            <w:vAlign w:val="center"/>
          </w:tcPr>
          <w:p>
            <w:pPr>
              <w:pStyle w:val="TableContents"/>
              <w:bidi w:val="0"/>
              <w:spacing w:before="0" w:after="283"/>
              <w:jc w:val="left"/>
              <w:rPr/>
            </w:pPr>
            <w:r>
              <w:rPr/>
              <w:t> </w:t>
            </w:r>
          </w:p>
        </w:tc>
      </w:tr>
      <w:tr>
        <w:trPr/>
        <w:tc>
          <w:tcPr>
            <w:tcW w:w="3187" w:type="dxa"/>
            <w:tcBorders/>
            <w:shd w:fill="CCEEFF" w:val="clear"/>
            <w:vAlign w:val="center"/>
          </w:tcPr>
          <w:p>
            <w:pPr>
              <w:pStyle w:val="TableContents"/>
              <w:bidi w:val="0"/>
              <w:spacing w:lineRule="auto" w:line="288"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customer (2)</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11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ind w:left="0" w:right="0" w:hanging="0"/>
              <w:jc w:val="left"/>
              <w:rPr/>
            </w:pPr>
            <w:r>
              <w:rPr/>
              <w:t> </w:t>
            </w:r>
          </w:p>
        </w:tc>
        <w:tc>
          <w:tcPr>
            <w:tcW w:w="121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w:t>
            </w:r>
          </w:p>
        </w:tc>
        <w:tc>
          <w:tcPr>
            <w:tcW w:w="65" w:type="dxa"/>
            <w:tcBorders/>
            <w:shd w:fill="CCEEFF" w:val="clear"/>
            <w:vAlign w:val="center"/>
          </w:tcPr>
          <w:p>
            <w:pPr>
              <w:pStyle w:val="TableContents"/>
              <w:bidi w:val="0"/>
              <w:spacing w:before="0" w:after="283"/>
              <w:jc w:val="left"/>
              <w:rPr/>
            </w:pPr>
            <w:r>
              <w:rPr/>
              <w:t> </w:t>
            </w:r>
          </w:p>
        </w:tc>
      </w:tr>
      <w:tr>
        <w:trPr/>
        <w:tc>
          <w:tcPr>
            <w:tcW w:w="318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To-be-announced mortgage backed securities</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8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8,492</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The Company maintains a master netting agreement with each counterparty and settles collateral on a net basis for all interest rate swaps with counterparty banks.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2</w:t>
            </w:r>
            <w:r>
              <w:rPr>
                <w:rFonts w:ascii="Times New Roman;Times;serif" w:hAnsi="Times New Roman;Times;serif"/>
                <w:caps w:val="false"/>
                <w:smallCaps w:val="false"/>
                <w:sz w:val="16"/>
              </w:rPr>
              <w:t>)</w:t>
            </w:r>
          </w:p>
        </w:tc>
        <w:tc>
          <w:tcPr>
            <w:tcW w:w="1002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 xml:space="preserve">The Company manages its net exposure on its customer loan swaps by obtaining collateral as part of the normal loan policy and underwriting practices. The Company does </w:t>
            </w:r>
            <w:r>
              <w:rPr>
                <w:rStyle w:val="Emphasis"/>
                <w:rFonts w:ascii="Times New Roman;Times;serif" w:hAnsi="Times New Roman;Times;serif"/>
                <w:caps w:val="false"/>
                <w:smallCaps w:val="false"/>
                <w:sz w:val="16"/>
              </w:rPr>
              <w:t>not</w:t>
            </w:r>
            <w:r>
              <w:rPr>
                <w:rFonts w:ascii="Times New Roman;Times;serif" w:hAnsi="Times New Roman;Times;serif"/>
                <w:caps w:val="false"/>
                <w:smallCaps w:val="false"/>
                <w:sz w:val="16"/>
              </w:rPr>
              <w:t xml:space="preserve"> post collateral to its customers as part of its contract.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0"/>
        <w:gridCol w:w="60"/>
        <w:gridCol w:w="260"/>
        <w:gridCol w:w="1149"/>
        <w:gridCol w:w="60"/>
        <w:gridCol w:w="60"/>
        <w:gridCol w:w="407"/>
        <w:gridCol w:w="838"/>
        <w:gridCol w:w="60"/>
        <w:gridCol w:w="60"/>
        <w:gridCol w:w="233"/>
        <w:gridCol w:w="1059"/>
        <w:gridCol w:w="60"/>
        <w:gridCol w:w="60"/>
        <w:gridCol w:w="286"/>
        <w:gridCol w:w="1216"/>
        <w:gridCol w:w="80"/>
        <w:gridCol w:w="60"/>
        <w:gridCol w:w="164"/>
        <w:gridCol w:w="779"/>
        <w:gridCol w:w="84"/>
      </w:tblGrid>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Offset in the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Recognized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Offset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Presented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Collateral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Pledged (Received)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Amount</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180" w:right="0" w:hanging="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2025</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assets: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lineRule="auto" w:line="288"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Company (1)</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lineRule="auto" w:line="288"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dealer bank (1)</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ind w:left="0" w:right="0" w:hanging="0"/>
              <w:jc w:val="left"/>
              <w:rPr/>
            </w:pPr>
            <w:r>
              <w:rPr/>
              <w:t> </w:t>
            </w:r>
          </w:p>
        </w:tc>
        <w:tc>
          <w:tcPr>
            <w:tcW w:w="12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(2,808</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Interest rate swaps − customer (2)</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7,552</w:t>
            </w:r>
          </w:p>
        </w:tc>
        <w:tc>
          <w:tcPr>
            <w:tcW w:w="84"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To-be-announced mortgage backed securities</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4,744</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liabilities: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lineRule="auto" w:line="288"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Company (1)</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Interest rate swaps − dealer bank (1)</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7,601</w:t>
            </w:r>
          </w:p>
        </w:tc>
        <w:tc>
          <w:tcPr>
            <w:tcW w:w="84"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lineRule="auto" w:line="288"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customer (2)</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ind w:left="0" w:right="0" w:hanging="0"/>
              <w:jc w:val="left"/>
              <w:rPr/>
            </w:pPr>
            <w:r>
              <w:rPr/>
              <w:t> </w:t>
            </w:r>
          </w:p>
        </w:tc>
        <w:tc>
          <w:tcPr>
            <w:tcW w:w="12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3,036</w:t>
            </w:r>
          </w:p>
        </w:tc>
        <w:tc>
          <w:tcPr>
            <w:tcW w:w="84"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To-be-announced mortgage backed securities</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10,682</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The Company maintains a master netting agreement with each counterparty and settles collateral on a net basis for all interest rate swaps with counterparty banks.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2</w:t>
            </w:r>
            <w:r>
              <w:rPr>
                <w:rFonts w:ascii="Times New Roman;Times;serif" w:hAnsi="Times New Roman;Times;serif"/>
                <w:caps w:val="false"/>
                <w:smallCaps w:val="false"/>
                <w:sz w:val="16"/>
              </w:rPr>
              <w:t>)</w:t>
            </w:r>
          </w:p>
        </w:tc>
        <w:tc>
          <w:tcPr>
            <w:tcW w:w="1002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 xml:space="preserve">The Company manages its net exposure on its customer loan swaps by obtaining collateral as part of the normal loan policy and underwriting practices. The Company does </w:t>
            </w:r>
            <w:r>
              <w:rPr>
                <w:rStyle w:val="Emphasis"/>
                <w:rFonts w:ascii="Times New Roman;Times;serif" w:hAnsi="Times New Roman;Times;serif"/>
                <w:caps w:val="false"/>
                <w:smallCaps w:val="false"/>
                <w:sz w:val="16"/>
              </w:rPr>
              <w:t>not</w:t>
            </w:r>
            <w:r>
              <w:rPr>
                <w:rFonts w:ascii="Times New Roman;Times;serif" w:hAnsi="Times New Roman;Times;serif"/>
                <w:caps w:val="false"/>
                <w:smallCaps w:val="false"/>
                <w:sz w:val="16"/>
              </w:rPr>
              <w:t xml:space="preserve"> post collateral to its customers as part of its contract.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19</w:t>
      </w:r>
      <w:r>
        <w:rPr>
          <w:rFonts w:ascii="Times New Roman" w:hAnsi="Times New Roman"/>
          <w:b/>
          <w:caps w:val="false"/>
          <w:smallCaps w:val="false"/>
          <w:sz w:val="20"/>
        </w:rPr>
        <w:t xml:space="preserve"> Regulatory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Quantitative measures established by regulation to ensure capital adequacy require the Company and the Bank to maintain minimum amounts and ratios (set forth in the following table) of common equity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total capital (as defined in the regulations) to risk weighted assets (as defined) and of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(as defined) to average assets (as defined). Management believes that,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each of the Company and the Bank had met all of the capital adequacy requirements to which it was subject.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present the Company’s and the Bank’s actual capital amounts and ratios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926" w:type="dxa"/>
        <w:jc w:val="left"/>
        <w:tblInd w:w="0" w:type="dxa"/>
        <w:tblLayout w:type="fixed"/>
        <w:tblCellMar>
          <w:top w:w="0" w:type="dxa"/>
          <w:left w:w="0" w:type="dxa"/>
          <w:bottom w:w="0" w:type="dxa"/>
          <w:right w:w="0" w:type="dxa"/>
        </w:tblCellMar>
      </w:tblPr>
      <w:tblGrid>
        <w:gridCol w:w="4265"/>
        <w:gridCol w:w="60"/>
        <w:gridCol w:w="125"/>
        <w:gridCol w:w="695"/>
        <w:gridCol w:w="60"/>
        <w:gridCol w:w="60"/>
        <w:gridCol w:w="60"/>
        <w:gridCol w:w="485"/>
        <w:gridCol w:w="185"/>
        <w:gridCol w:w="60"/>
        <w:gridCol w:w="148"/>
        <w:gridCol w:w="826"/>
        <w:gridCol w:w="71"/>
        <w:gridCol w:w="71"/>
        <w:gridCol w:w="71"/>
        <w:gridCol w:w="451"/>
        <w:gridCol w:w="185"/>
        <w:gridCol w:w="60"/>
        <w:gridCol w:w="76"/>
        <w:gridCol w:w="883"/>
        <w:gridCol w:w="76"/>
        <w:gridCol w:w="76"/>
        <w:gridCol w:w="76"/>
        <w:gridCol w:w="616"/>
        <w:gridCol w:w="185"/>
      </w:tblGrid>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16"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center"/>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Minimum to be</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Minimum Required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Well Capitalized</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Capital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Under Prompt</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Actual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Adequacy Purposes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3" w:type="dxa"/>
            <w:gridSpan w:val="6"/>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Corrective Action (1)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equity tier 1 capital to risk weighted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197,839</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194,353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280,732</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risk weighted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263,786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259,137</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345,516</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to risk weighted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351,714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345,516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431,895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average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204,278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203,858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254,823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9988" w:type="dxa"/>
            <w:tcBorders/>
            <w:vAlign w:val="center"/>
          </w:tcPr>
          <w:p>
            <w:pPr>
              <w:pStyle w:val="TableContents"/>
              <w:bidi w:val="0"/>
              <w:spacing w:before="0" w:after="0"/>
              <w:ind w:left="0" w:right="0" w:hanging="0"/>
              <w:jc w:val="left"/>
              <w:rPr/>
            </w:pPr>
            <w:r>
              <w:rPr>
                <w:caps w:val="false"/>
                <w:smallCaps w:val="false"/>
              </w:rPr>
              <w:t>“</w:t>
            </w:r>
            <w:r>
              <w:rPr>
                <w:rFonts w:ascii="Times New Roman;Times;serif" w:hAnsi="Times New Roman;Times;serif"/>
                <w:caps w:val="false"/>
                <w:smallCaps w:val="false"/>
                <w:sz w:val="16"/>
              </w:rPr>
              <w:t xml:space="preserve">Minimum to be Well Capitalized Under Prompt Corrective Action” is </w:t>
            </w:r>
            <w:r>
              <w:rPr>
                <w:rStyle w:val="Emphasis"/>
                <w:rFonts w:ascii="Times New Roman;Times;serif" w:hAnsi="Times New Roman;Times;serif"/>
                <w:caps w:val="false"/>
                <w:smallCaps w:val="false"/>
                <w:sz w:val="16"/>
              </w:rPr>
              <w:t>not</w:t>
            </w:r>
            <w:r>
              <w:rPr>
                <w:rFonts w:ascii="Times New Roman;Times;serif" w:hAnsi="Times New Roman;Times;serif"/>
                <w:caps w:val="false"/>
                <w:smallCaps w:val="false"/>
                <w:sz w:val="16"/>
              </w:rPr>
              <w:t xml:space="preserve"> formally defined under applicable banking regulations for bank holding companies.</w:t>
            </w:r>
          </w:p>
        </w:tc>
      </w:tr>
    </w:tbl>
    <w:p>
      <w:pPr>
        <w:pStyle w:val="TextBody"/>
        <w:bidi w:val="0"/>
        <w:spacing w:before="0" w:after="0"/>
        <w:ind w:left="0" w:right="0" w:hanging="0"/>
        <w:jc w:val="left"/>
        <w:rPr>
          <w:caps w:val="false"/>
          <w:smallCaps w:val="false"/>
        </w:rPr>
      </w:pPr>
      <w:r>
        <w:rPr>
          <w:caps w:val="false"/>
          <w:smallCaps w:val="false"/>
        </w:rPr>
        <w:t> </w:t>
      </w:r>
    </w:p>
    <w:tbl>
      <w:tblPr>
        <w:tblW w:w="9926" w:type="dxa"/>
        <w:jc w:val="left"/>
        <w:tblInd w:w="0" w:type="dxa"/>
        <w:tblLayout w:type="fixed"/>
        <w:tblCellMar>
          <w:top w:w="0" w:type="dxa"/>
          <w:left w:w="0" w:type="dxa"/>
          <w:bottom w:w="0" w:type="dxa"/>
          <w:right w:w="0" w:type="dxa"/>
        </w:tblCellMar>
      </w:tblPr>
      <w:tblGrid>
        <w:gridCol w:w="4265"/>
        <w:gridCol w:w="60"/>
        <w:gridCol w:w="125"/>
        <w:gridCol w:w="695"/>
        <w:gridCol w:w="60"/>
        <w:gridCol w:w="60"/>
        <w:gridCol w:w="60"/>
        <w:gridCol w:w="485"/>
        <w:gridCol w:w="185"/>
        <w:gridCol w:w="60"/>
        <w:gridCol w:w="148"/>
        <w:gridCol w:w="826"/>
        <w:gridCol w:w="71"/>
        <w:gridCol w:w="71"/>
        <w:gridCol w:w="71"/>
        <w:gridCol w:w="451"/>
        <w:gridCol w:w="185"/>
        <w:gridCol w:w="60"/>
        <w:gridCol w:w="76"/>
        <w:gridCol w:w="883"/>
        <w:gridCol w:w="76"/>
        <w:gridCol w:w="76"/>
        <w:gridCol w:w="76"/>
        <w:gridCol w:w="616"/>
        <w:gridCol w:w="185"/>
      </w:tblGrid>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16"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center"/>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Minimum to be</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Minimum Required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Well Capitalized</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Capital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Under Prompt</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Actual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Adequacy Purposes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3" w:type="dxa"/>
            <w:gridSpan w:val="6"/>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Corrective Action (1)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equity tier 1 capital to risk weighted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lineRule="auto" w:line="288"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198,002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194,009</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280,235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capital to risk weighted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lineRule="auto" w:line="288"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264,002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258,679</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344,905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to risk weighted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lineRule="auto" w:line="288"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352,003</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344,905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431,131</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average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lineRule="auto" w:line="288"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208,235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208,160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260,200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9988" w:type="dxa"/>
            <w:tcBorders/>
            <w:vAlign w:val="center"/>
          </w:tcPr>
          <w:p>
            <w:pPr>
              <w:pStyle w:val="TableContents"/>
              <w:bidi w:val="0"/>
              <w:spacing w:before="0" w:after="0"/>
              <w:ind w:left="0" w:right="0" w:hanging="0"/>
              <w:jc w:val="left"/>
              <w:rPr/>
            </w:pPr>
            <w:r>
              <w:rPr>
                <w:caps w:val="false"/>
                <w:smallCaps w:val="false"/>
              </w:rPr>
              <w:t>“</w:t>
            </w:r>
            <w:r>
              <w:rPr>
                <w:rFonts w:ascii="Times New Roman;Times;serif" w:hAnsi="Times New Roman;Times;serif"/>
                <w:caps w:val="false"/>
                <w:smallCaps w:val="false"/>
                <w:sz w:val="16"/>
              </w:rPr>
              <w:t xml:space="preserve">Minimum to be Well Capitalized Under Prompt Corrective Action” is </w:t>
            </w:r>
            <w:r>
              <w:rPr>
                <w:rStyle w:val="Emphasis"/>
                <w:rFonts w:ascii="Times New Roman;Times;serif" w:hAnsi="Times New Roman;Times;serif"/>
                <w:caps w:val="false"/>
                <w:smallCaps w:val="false"/>
                <w:sz w:val="16"/>
              </w:rPr>
              <w:t>not</w:t>
            </w:r>
            <w:r>
              <w:rPr>
                <w:rFonts w:ascii="Times New Roman;Times;serif" w:hAnsi="Times New Roman;Times;serif"/>
                <w:caps w:val="false"/>
                <w:smallCaps w:val="false"/>
                <w:sz w:val="16"/>
              </w:rPr>
              <w:t xml:space="preserve"> formally defined under applicable banking regulations for bank holding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Bank is subject to certain restrictions on the amount of dividends that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pay without prior regulatory approval, including rules requiring a </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percent capital conservation buffer that is added to the minimum requirements for capital adequacy purposes. A banking organization with a conservation buffer of less than the required amount will be subject to the limitations on capital distributions, including dividend payments and certain discretionary bonus payments to executive officers.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the capital ratios for the Company and the Bank were sufficient to meet the conservation buffer. In addition, the Company must adhere to various U.S. Department of Housing and Urban Development (“HUD”) regulatory guidelines including required minimum capital and liquidity to maintain their Federal Housing Administration approval status. Failure to comply with the HUD guidelines could result in withdrawal of this certification.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 was in compliance with the aforementioned guidelines.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20</w:t>
      </w:r>
      <w:r>
        <w:rPr>
          <w:rFonts w:ascii="Times New Roman" w:hAnsi="Times New Roman"/>
          <w:b/>
          <w:caps w:val="false"/>
          <w:smallCaps w:val="false"/>
          <w:sz w:val="20"/>
        </w:rPr>
        <w:t xml:space="preserve">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present a reconciliation of the changes in the components of other comprehensive income and loss for the periods indicated, including the amount of tax (expense) benefit allocated to each component: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65"/>
        <w:gridCol w:w="60"/>
        <w:gridCol w:w="129"/>
        <w:gridCol w:w="566"/>
        <w:gridCol w:w="80"/>
        <w:gridCol w:w="60"/>
        <w:gridCol w:w="195"/>
        <w:gridCol w:w="619"/>
        <w:gridCol w:w="80"/>
        <w:gridCol w:w="60"/>
        <w:gridCol w:w="154"/>
        <w:gridCol w:w="676"/>
        <w:gridCol w:w="80"/>
        <w:gridCol w:w="60"/>
        <w:gridCol w:w="125"/>
        <w:gridCol w:w="590"/>
        <w:gridCol w:w="80"/>
        <w:gridCol w:w="60"/>
        <w:gridCol w:w="151"/>
        <w:gridCol w:w="663"/>
        <w:gridCol w:w="80"/>
        <w:gridCol w:w="60"/>
        <w:gridCol w:w="145"/>
        <w:gridCol w:w="685"/>
        <w:gridCol w:w="82"/>
      </w:tblGrid>
      <w:tr>
        <w:trPr/>
        <w:tc>
          <w:tcPr>
            <w:tcW w:w="4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98"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3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Tax</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Tax</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center"/>
              <w:rPr/>
            </w:pPr>
            <w:r>
              <w:rPr>
                <w:rStyle w:val="Emphasis"/>
              </w:rPr>
              <w:t> </w:t>
            </w:r>
          </w:p>
        </w:tc>
        <w:tc>
          <w:tcPr>
            <w:tcW w:w="82" w:type="dxa"/>
            <w:tcBorders/>
            <w:shd w:fill="FFFFFF" w:val="clear"/>
            <w:vAlign w:val="center"/>
          </w:tcPr>
          <w:p>
            <w:pPr>
              <w:pStyle w:val="TableContents"/>
              <w:bidi w:val="0"/>
              <w:spacing w:before="0" w:after="283"/>
              <w:jc w:val="left"/>
              <w:rPr/>
            </w:pPr>
            <w:r>
              <w:rPr/>
              <w:t> </w:t>
            </w:r>
          </w:p>
        </w:tc>
      </w:tr>
      <w:tr>
        <w:trPr/>
        <w:tc>
          <w:tcPr>
            <w:tcW w:w="4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Pre-Tax</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After-Tax</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Pre-Tax</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After-Tax</w:t>
            </w:r>
          </w:p>
        </w:tc>
        <w:tc>
          <w:tcPr>
            <w:tcW w:w="82" w:type="dxa"/>
            <w:tcBorders/>
            <w:shd w:fill="FFFFFF" w:val="clear"/>
            <w:vAlign w:val="center"/>
          </w:tcPr>
          <w:p>
            <w:pPr>
              <w:pStyle w:val="TableContents"/>
              <w:bidi w:val="0"/>
              <w:spacing w:before="0" w:after="283"/>
              <w:jc w:val="left"/>
              <w:rPr/>
            </w:pPr>
            <w:r>
              <w:rPr/>
              <w:t> </w:t>
            </w:r>
          </w:p>
        </w:tc>
      </w:tr>
      <w:tr>
        <w:trPr/>
        <w:tc>
          <w:tcPr>
            <w:tcW w:w="46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6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Debt Securities: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6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10,656</w:t>
            </w:r>
          </w:p>
        </w:tc>
        <w:tc>
          <w:tcPr>
            <w:tcW w:w="82" w:type="dxa"/>
            <w:tcBorders/>
            <w:shd w:fill="FFFFFF" w:val="clear"/>
            <w:vAlign w:val="center"/>
          </w:tcPr>
          <w:p>
            <w:pPr>
              <w:pStyle w:val="TableContents"/>
              <w:bidi w:val="0"/>
              <w:spacing w:before="0" w:after="283"/>
              <w:jc w:val="left"/>
              <w:rPr/>
            </w:pPr>
            <w:r>
              <w:rPr/>
              <w:t> </w:t>
            </w:r>
          </w:p>
        </w:tc>
      </w:tr>
      <w:tr>
        <w:trPr/>
        <w:tc>
          <w:tcPr>
            <w:tcW w:w="4665" w:type="dxa"/>
            <w:tcBorders/>
            <w:shd w:fill="CCEEFF" w:val="clear"/>
            <w:vAlign w:val="center"/>
          </w:tcPr>
          <w:p>
            <w:pPr>
              <w:pStyle w:val="TableContents"/>
              <w:bidi w:val="0"/>
              <w:spacing w:lineRule="auto" w:line="288"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reclassification adjustment from amortization of securities transferred from AFS to HTM (1)</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6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 Hedges: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6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65" w:type="dxa"/>
            <w:tcBorders/>
            <w:shd w:fill="CCEEFF" w:val="clear"/>
            <w:vAlign w:val="center"/>
          </w:tcPr>
          <w:p>
            <w:pPr>
              <w:pStyle w:val="TableContents"/>
              <w:bidi w:val="0"/>
              <w:spacing w:lineRule="auto" w:line="288"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reclassified AOCI gain (loss) into interest expense (3)</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6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Derivatives: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6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65"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10,112</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10016"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 xml:space="preserve">Reclassified into taxable and/or exempt from federal income taxes interest income on investment securities on the consolidated statements of income. Refer to “NOTE </w:t>
            </w:r>
            <w:r>
              <w:rPr>
                <w:rStyle w:val="Emphasis"/>
                <w:rFonts w:ascii="Times New Roman;Times;serif" w:hAnsi="Times New Roman;Times;serif"/>
                <w:caps w:val="false"/>
                <w:smallCaps w:val="false"/>
                <w:sz w:val="16"/>
              </w:rPr>
              <w:t>3</w:t>
            </w:r>
            <w:r>
              <w:rPr>
                <w:rFonts w:ascii="Times New Roman;Times;serif" w:hAnsi="Times New Roman;Times;serif"/>
                <w:caps w:val="false"/>
                <w:smallCaps w:val="false"/>
                <w:sz w:val="16"/>
              </w:rPr>
              <w:t xml:space="preserve"> Investment Securities” for further details.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2</w:t>
            </w:r>
            <w:r>
              <w:rPr>
                <w:rFonts w:ascii="Times New Roman;Times;serif" w:hAnsi="Times New Roman;Times;serif"/>
                <w:caps w:val="false"/>
                <w:smallCaps w:val="false"/>
                <w:sz w:val="16"/>
              </w:rPr>
              <w:t>)</w:t>
            </w:r>
          </w:p>
        </w:tc>
        <w:tc>
          <w:tcPr>
            <w:tcW w:w="999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 xml:space="preserve">Reclassified into net gains (losses) on investment securities in the consolidated statements of income. Refer to “NOTE </w:t>
            </w:r>
            <w:r>
              <w:rPr>
                <w:rStyle w:val="Emphasis"/>
                <w:rFonts w:ascii="Times New Roman;Times;serif" w:hAnsi="Times New Roman;Times;serif"/>
                <w:caps w:val="false"/>
                <w:smallCaps w:val="false"/>
                <w:sz w:val="16"/>
              </w:rPr>
              <w:t>3</w:t>
            </w:r>
            <w:r>
              <w:rPr>
                <w:rFonts w:ascii="Times New Roman;Times;serif" w:hAnsi="Times New Roman;Times;serif"/>
                <w:caps w:val="false"/>
                <w:smallCaps w:val="false"/>
                <w:sz w:val="16"/>
              </w:rPr>
              <w:t xml:space="preserve"> Investment Securities” for further details.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3</w:t>
            </w:r>
            <w:r>
              <w:rPr>
                <w:rFonts w:ascii="Times New Roman;Times;serif" w:hAnsi="Times New Roman;Times;serif"/>
                <w:caps w:val="false"/>
                <w:smallCaps w:val="false"/>
                <w:sz w:val="16"/>
              </w:rPr>
              <w:t>)</w:t>
            </w:r>
          </w:p>
        </w:tc>
        <w:tc>
          <w:tcPr>
            <w:tcW w:w="9993"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 xml:space="preserve">Reclassified into interest expense on short-term borrowings on the consolidated statements of income. Refer to “NOTE </w:t>
            </w:r>
            <w:r>
              <w:rPr>
                <w:rStyle w:val="Emphasis"/>
                <w:rFonts w:ascii="Times New Roman;Times;serif" w:hAnsi="Times New Roman;Times;serif"/>
                <w:caps w:val="false"/>
                <w:smallCaps w:val="false"/>
                <w:sz w:val="16"/>
              </w:rPr>
              <w:t>18</w:t>
            </w:r>
            <w:r>
              <w:rPr>
                <w:rFonts w:ascii="Times New Roman;Times;serif" w:hAnsi="Times New Roman;Times;serif"/>
                <w:caps w:val="false"/>
                <w:smallCaps w:val="false"/>
                <w:sz w:val="16"/>
              </w:rPr>
              <w:t xml:space="preserve"> Derivative Instruments” for further details.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4</w:t>
            </w:r>
            <w:r>
              <w:rPr>
                <w:rFonts w:ascii="Times New Roman;Times;serif" w:hAnsi="Times New Roman;Times;serif"/>
                <w:caps w:val="false"/>
                <w:smallCaps w:val="false"/>
                <w:sz w:val="16"/>
              </w:rPr>
              <w:t>)</w:t>
            </w:r>
          </w:p>
        </w:tc>
        <w:tc>
          <w:tcPr>
            <w:tcW w:w="10019"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 xml:space="preserve">Reclassified into interest income on loans, including fees and/or interest income on taxable investment securities on the consolidated statements of income. Refer to “NOTE </w:t>
            </w:r>
            <w:r>
              <w:rPr>
                <w:rStyle w:val="Emphasis"/>
                <w:rFonts w:ascii="Times New Roman;Times;serif" w:hAnsi="Times New Roman;Times;serif"/>
                <w:caps w:val="false"/>
                <w:smallCaps w:val="false"/>
                <w:sz w:val="16"/>
              </w:rPr>
              <w:t>18</w:t>
            </w:r>
            <w:r>
              <w:rPr>
                <w:rFonts w:ascii="Times New Roman;Times;serif" w:hAnsi="Times New Roman;Times;serif"/>
                <w:caps w:val="false"/>
                <w:smallCaps w:val="false"/>
                <w:sz w:val="16"/>
              </w:rPr>
              <w:t xml:space="preserve"> Derivative Instruments” for further details.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641"/>
        <w:gridCol w:w="60"/>
        <w:gridCol w:w="244"/>
        <w:gridCol w:w="1281"/>
        <w:gridCol w:w="80"/>
        <w:gridCol w:w="60"/>
        <w:gridCol w:w="345"/>
        <w:gridCol w:w="1093"/>
        <w:gridCol w:w="80"/>
        <w:gridCol w:w="60"/>
        <w:gridCol w:w="302"/>
        <w:gridCol w:w="951"/>
        <w:gridCol w:w="80"/>
        <w:gridCol w:w="60"/>
        <w:gridCol w:w="125"/>
        <w:gridCol w:w="657"/>
        <w:gridCol w:w="86"/>
      </w:tblGrid>
      <w:tr>
        <w:trPr/>
        <w:tc>
          <w:tcPr>
            <w:tcW w:w="4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rStyle w:val="Emphasis"/>
              </w:rPr>
              <w:t> </w:t>
            </w:r>
          </w:p>
        </w:tc>
        <w:tc>
          <w:tcPr>
            <w:tcW w:w="86" w:type="dxa"/>
            <w:tcBorders/>
            <w:shd w:fill="FFFFFF" w:val="clear"/>
            <w:vAlign w:val="center"/>
          </w:tcPr>
          <w:p>
            <w:pPr>
              <w:pStyle w:val="TableContents"/>
              <w:bidi w:val="0"/>
              <w:spacing w:before="0" w:after="283"/>
              <w:jc w:val="left"/>
              <w:rPr/>
            </w:pPr>
            <w:r>
              <w:rPr/>
              <w:t> </w:t>
            </w:r>
          </w:p>
        </w:tc>
      </w:tr>
      <w:tr>
        <w:trPr/>
        <w:tc>
          <w:tcPr>
            <w:tcW w:w="4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 (Losses)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rStyle w:val="Emphasis"/>
              </w:rPr>
              <w:t> </w:t>
            </w:r>
          </w:p>
        </w:tc>
        <w:tc>
          <w:tcPr>
            <w:tcW w:w="86" w:type="dxa"/>
            <w:tcBorders/>
            <w:shd w:fill="FFFFFF" w:val="clear"/>
            <w:vAlign w:val="center"/>
          </w:tcPr>
          <w:p>
            <w:pPr>
              <w:pStyle w:val="TableContents"/>
              <w:bidi w:val="0"/>
              <w:spacing w:before="0" w:after="283"/>
              <w:jc w:val="left"/>
              <w:rPr/>
            </w:pPr>
            <w:r>
              <w:rPr/>
              <w:t> </w:t>
            </w:r>
          </w:p>
        </w:tc>
      </w:tr>
      <w:tr>
        <w:trPr/>
        <w:tc>
          <w:tcPr>
            <w:tcW w:w="4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 (Losses)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Flow</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on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rStyle w:val="Emphasis"/>
              </w:rPr>
              <w:t> </w:t>
            </w:r>
          </w:p>
        </w:tc>
        <w:tc>
          <w:tcPr>
            <w:tcW w:w="86" w:type="dxa"/>
            <w:tcBorders/>
            <w:shd w:fill="FFFFFF" w:val="clear"/>
            <w:vAlign w:val="center"/>
          </w:tcPr>
          <w:p>
            <w:pPr>
              <w:pStyle w:val="TableContents"/>
              <w:bidi w:val="0"/>
              <w:spacing w:before="0" w:after="283"/>
              <w:jc w:val="left"/>
              <w:rPr/>
            </w:pPr>
            <w:r>
              <w:rPr/>
              <w:t> </w:t>
            </w:r>
          </w:p>
        </w:tc>
      </w:tr>
      <w:tr>
        <w:trPr/>
        <w:tc>
          <w:tcPr>
            <w:tcW w:w="4641"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525"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Debt Securities (1)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8"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Hedges (1)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3"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 (1)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AOCI (1)</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1" w:type="dxa"/>
            <w:tcBorders/>
            <w:shd w:fill="CCEEFF" w:val="clear"/>
            <w:vAlign w:val="center"/>
          </w:tcPr>
          <w:p>
            <w:pPr>
              <w:pStyle w:val="TableContents"/>
              <w:bidi w:val="0"/>
              <w:spacing w:before="0" w:after="0"/>
              <w:ind w:left="180" w:right="0" w:hanging="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Three Months Ended March 31, 2026</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641"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(2,156</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before reclassifications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2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ind w:left="0" w:right="0" w:hanging="0"/>
              <w:jc w:val="left"/>
              <w:rPr/>
            </w:pPr>
            <w:r>
              <w:rP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9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(2,067</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Amounts reclassified from AOCI</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2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10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6" w:type="dxa"/>
            <w:tcBorders/>
            <w:shd w:fill="FFFFFF" w:val="clear"/>
            <w:vAlign w:val="center"/>
          </w:tcPr>
          <w:p>
            <w:pPr>
              <w:pStyle w:val="TableContents"/>
              <w:bidi w:val="0"/>
              <w:spacing w:before="0" w:after="283"/>
              <w:jc w:val="left"/>
              <w:rPr/>
            </w:pPr>
            <w:r>
              <w:rPr/>
              <w:t> </w:t>
            </w:r>
          </w:p>
        </w:tc>
      </w:tr>
      <w:tr>
        <w:trPr/>
        <w:tc>
          <w:tcPr>
            <w:tcW w:w="4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reclassification adjustment for net realized losses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464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1"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(4,237</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641" w:type="dxa"/>
            <w:tcBorders/>
            <w:shd w:fill="CCEEFF" w:val="clear"/>
            <w:vAlign w:val="center"/>
          </w:tcPr>
          <w:p>
            <w:pPr>
              <w:pStyle w:val="TableContents"/>
              <w:bidi w:val="0"/>
              <w:spacing w:before="0" w:after="0"/>
              <w:ind w:left="180" w:right="0" w:hanging="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Three Months Ended March 31, 2025</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464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6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(73,724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(73,366</w:t>
            </w:r>
          </w:p>
        </w:tc>
        <w:tc>
          <w:tcPr>
            <w:tcW w:w="86"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64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before reclassifications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2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ind w:left="0" w:right="0" w:hanging="0"/>
              <w:jc w:val="left"/>
              <w:rPr/>
            </w:pPr>
            <w:r>
              <w:rP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10,136</w:t>
            </w:r>
          </w:p>
        </w:tc>
        <w:tc>
          <w:tcPr>
            <w:tcW w:w="86" w:type="dxa"/>
            <w:tcBorders/>
            <w:shd w:fill="CCEEFF" w:val="clear"/>
            <w:vAlign w:val="center"/>
          </w:tcPr>
          <w:p>
            <w:pPr>
              <w:pStyle w:val="TableContents"/>
              <w:bidi w:val="0"/>
              <w:spacing w:before="0" w:after="283"/>
              <w:jc w:val="left"/>
              <w:rPr/>
            </w:pPr>
            <w:r>
              <w:rPr/>
              <w:t> </w:t>
            </w:r>
          </w:p>
        </w:tc>
      </w:tr>
      <w:tr>
        <w:trPr/>
        <w:tc>
          <w:tcPr>
            <w:tcW w:w="464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Amounts reclassified from AOCI</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2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6" w:type="dxa"/>
            <w:tcBorders/>
            <w:shd w:fill="FFFFFF" w:val="clear"/>
            <w:vAlign w:val="center"/>
          </w:tcPr>
          <w:p>
            <w:pPr>
              <w:pStyle w:val="TableContents"/>
              <w:bidi w:val="0"/>
              <w:spacing w:before="0" w:after="283"/>
              <w:jc w:val="left"/>
              <w:rPr/>
            </w:pPr>
            <w:r>
              <w:rPr/>
              <w:t> </w:t>
            </w:r>
          </w:p>
        </w:tc>
      </w:tr>
      <w:tr>
        <w:trPr/>
        <w:tc>
          <w:tcPr>
            <w:tcW w:w="464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10,112</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41"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(63,108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(63,254</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1840" w:type="dxa"/>
        <w:jc w:val="left"/>
        <w:tblInd w:w="0" w:type="dxa"/>
        <w:tblLayout w:type="fixed"/>
        <w:tblCellMar>
          <w:top w:w="0" w:type="dxa"/>
          <w:left w:w="0" w:type="dxa"/>
          <w:bottom w:w="0" w:type="dxa"/>
          <w:right w:w="0" w:type="dxa"/>
        </w:tblCellMar>
      </w:tblPr>
      <w:tblGrid>
        <w:gridCol w:w="230"/>
        <w:gridCol w:w="161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1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All amounts net of tax.</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21</w:t>
      </w:r>
      <w:r>
        <w:rPr>
          <w:rFonts w:ascii="Times New Roman" w:hAnsi="Times New Roman"/>
          <w:b/>
          <w:caps w:val="false"/>
          <w:smallCaps w:val="false"/>
          <w:sz w:val="20"/>
        </w:rPr>
        <w:t xml:space="preserve"> 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12, 2023, </w:t>
      </w:r>
      <w:r>
        <w:rPr>
          <w:rFonts w:ascii="Times New Roman" w:hAnsi="Times New Roman"/>
          <w:caps w:val="false"/>
          <w:smallCaps w:val="false"/>
          <w:sz w:val="20"/>
        </w:rPr>
        <w:t xml:space="preserve">the Board of Directors of the Company approved a stock repurchase program (the “Program”) which authorizes the Company to repurchase up to 1,000,000 shares of its common stock subject to certain limitations and conditions. The Program became effective on </w:t>
      </w:r>
      <w:r>
        <w:rPr>
          <w:rStyle w:val="Emphasis"/>
          <w:rFonts w:ascii="Times New Roman" w:hAnsi="Times New Roman"/>
          <w:caps w:val="false"/>
          <w:smallCaps w:val="false"/>
          <w:sz w:val="20"/>
        </w:rPr>
        <w:t xml:space="preserve">February 18, 2024, </w:t>
      </w:r>
      <w:r>
        <w:rPr>
          <w:rFonts w:ascii="Times New Roman" w:hAnsi="Times New Roman"/>
          <w:caps w:val="false"/>
          <w:smallCaps w:val="false"/>
          <w:sz w:val="20"/>
        </w:rPr>
        <w:t>replacing and superseding a prior stock repurchase program, and will expire on </w:t>
      </w:r>
      <w:r>
        <w:rPr>
          <w:rStyle w:val="Emphasis"/>
          <w:rFonts w:ascii="Times New Roman" w:hAnsi="Times New Roman"/>
          <w:caps w:val="false"/>
          <w:smallCaps w:val="false"/>
          <w:sz w:val="20"/>
        </w:rPr>
        <w:t xml:space="preserve"> February 18, 2027.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Program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 the Company to repurchase any shares of its common stock, and other than repurchases that have been completed to date,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do so or that the Company will repurchase shares at favorable prices. The Program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suspended or terminated at any time and, even if fully implemented, the Program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enhance long-term stockholder value.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 Company repurchased 250,000 shares of common stock under the Program. The Company also repurchases shares to pay withholding taxes on the vesting of restricted stock awards and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22</w:t>
      </w:r>
      <w:r>
        <w:rPr>
          <w:rFonts w:ascii="Times New Roman" w:hAnsi="Times New Roman"/>
          <w:b/>
          <w:caps w:val="false"/>
          <w:smallCaps w:val="false"/>
          <w:sz w:val="20"/>
        </w:rPr>
        <w:t xml:space="preserve"> Fair Value of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categorizes its assets and liabilities measured at estimated fair value into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 hierarchy based on the priority of the inputs to the valuation technique used to determine estimated fair value. The estimated fair value hierarchy gives the highest priority to quoted prices in active markets for identical assets or liabilities (Level </w:t>
      </w:r>
      <w:r>
        <w:rPr>
          <w:rStyle w:val="Emphasis"/>
          <w:rFonts w:ascii="Times New Roman" w:hAnsi="Times New Roman"/>
          <w:caps w:val="false"/>
          <w:smallCaps w:val="false"/>
          <w:sz w:val="20"/>
        </w:rPr>
        <w:t>1</w:t>
      </w:r>
      <w:r>
        <w:rPr>
          <w:rFonts w:ascii="Times New Roman" w:hAnsi="Times New Roman"/>
          <w:caps w:val="false"/>
          <w:smallCaps w:val="false"/>
          <w:sz w:val="20"/>
        </w:rPr>
        <w:t>) and the lowest priority to unobservable inputs (Level </w:t>
      </w:r>
      <w:r>
        <w:rPr>
          <w:rStyle w:val="Emphasis"/>
          <w:rFonts w:ascii="Times New Roman" w:hAnsi="Times New Roman"/>
          <w:caps w:val="false"/>
          <w:smallCaps w:val="false"/>
          <w:sz w:val="20"/>
        </w:rPr>
        <w:t>3</w:t>
      </w:r>
      <w:r>
        <w:rPr>
          <w:rFonts w:ascii="Times New Roman" w:hAnsi="Times New Roman"/>
          <w:caps w:val="false"/>
          <w:smallCaps w:val="false"/>
          <w:sz w:val="20"/>
        </w:rPr>
        <w:t>). If the inputs used in the determination of the estimated fair value measurement fall within different levels of the hierarchy, the categorization is based on the lowest level input that is significant to the estimated fair value measurement. Assets and liabilities valued at estimated fair value are categorized based on the following inputs to the valuation techniques as follows: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 w:hAnsi="Times New Roman"/>
          <w:i/>
          <w:caps w:val="false"/>
          <w:smallCaps w:val="false"/>
          <w:sz w:val="20"/>
        </w:rPr>
        <w:t>Level</w:t>
      </w:r>
      <w:r>
        <w:rPr>
          <w:rFonts w:ascii="Times New Roman" w:hAnsi="Times New Roman"/>
          <w:caps w:val="false"/>
          <w:smallCaps w:val="false"/>
          <w:sz w:val="20"/>
        </w:rPr>
        <w:t> </w:t>
      </w:r>
      <w:r>
        <w:rPr>
          <w:rStyle w:val="Emphasis"/>
          <w:rFonts w:ascii="Times New Roman" w:hAnsi="Times New Roman"/>
          <w:i/>
          <w:caps w:val="false"/>
          <w:smallCaps w:val="false"/>
          <w:sz w:val="20"/>
        </w:rPr>
        <w:t>1</w:t>
      </w:r>
      <w:r>
        <w:rPr>
          <w:rFonts w:ascii="Times New Roman" w:hAnsi="Times New Roman"/>
          <w:caps w:val="false"/>
          <w:smallCaps w:val="false"/>
          <w:sz w:val="20"/>
        </w:rPr>
        <w:t>—Inputs that utilize quoted prices (unadjusted) in active markets for identical assets or liabilities that an entity has the ability to access.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 w:hAnsi="Times New Roman"/>
          <w:i/>
          <w:caps w:val="false"/>
          <w:smallCaps w:val="false"/>
          <w:sz w:val="20"/>
        </w:rPr>
        <w:t>Level</w:t>
      </w:r>
      <w:r>
        <w:rPr>
          <w:rFonts w:ascii="Times New Roman" w:hAnsi="Times New Roman"/>
          <w:caps w:val="false"/>
          <w:smallCaps w:val="false"/>
          <w:sz w:val="20"/>
        </w:rPr>
        <w:t> </w:t>
      </w:r>
      <w:r>
        <w:rPr>
          <w:rStyle w:val="Emphasis"/>
          <w:rFonts w:ascii="Times New Roman" w:hAnsi="Times New Roman"/>
          <w:i/>
          <w:caps w:val="false"/>
          <w:smallCaps w:val="false"/>
          <w:sz w:val="20"/>
        </w:rPr>
        <w:t>2</w:t>
      </w:r>
      <w:r>
        <w:rPr>
          <w:rFonts w:ascii="Times New Roman" w:hAnsi="Times New Roman"/>
          <w:caps w:val="false"/>
          <w:smallCaps w:val="false"/>
          <w:sz w:val="20"/>
        </w:rPr>
        <w:t>—Inputs that include quoted prices for similar assets and liabilities in active markets and inputs that are observable for the asset or liability, either directly or indirectly, for substantially the full term of the financial instrument. Estimated fair values for these instruments are estimated using pricing models, quoted prices of investment securities with similar characteristics, or discounted 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 w:hAnsi="Times New Roman"/>
          <w:i/>
          <w:caps w:val="false"/>
          <w:smallCaps w:val="false"/>
          <w:sz w:val="20"/>
        </w:rPr>
        <w:t>Level</w:t>
      </w:r>
      <w:r>
        <w:rPr>
          <w:rFonts w:ascii="Times New Roman" w:hAnsi="Times New Roman"/>
          <w:caps w:val="false"/>
          <w:smallCaps w:val="false"/>
          <w:sz w:val="20"/>
        </w:rPr>
        <w:t> </w:t>
      </w:r>
      <w:r>
        <w:rPr>
          <w:rStyle w:val="Emphasis"/>
          <w:rFonts w:ascii="Times New Roman" w:hAnsi="Times New Roman"/>
          <w:i/>
          <w:caps w:val="false"/>
          <w:smallCaps w:val="false"/>
          <w:sz w:val="20"/>
        </w:rPr>
        <w:t>3</w:t>
      </w:r>
      <w:r>
        <w:rPr>
          <w:rFonts w:ascii="Times New Roman" w:hAnsi="Times New Roman"/>
          <w:caps w:val="false"/>
          <w:smallCaps w:val="false"/>
          <w:sz w:val="20"/>
        </w:rPr>
        <w:t xml:space="preserve">—Inputs that are unobservable inputs for the asset or liability, which are typically based on an entity’s own assumptions, as there is little, if any, related market activity. Subsequent to initial recognition,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w:t>
        <w:noBreakHyphen/>
        <w:t>measure the carrying value of assets and liabilities measured on a nonrecurring basis to estimated fair value. Adjustments to estimated fair value usually result when certain assets are impaired. Such assets are written down from their carrying amounts to their estimated fair value.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Professional standards allow entities the irrevocable option to elect to measure certain financial instruments and other items at estimated fair value for the initial and subsequent measurement on an instrument</w:t>
        <w:noBreakHyphen/>
        <w:t>by</w:t>
        <w:noBreakHyphen/>
        <w:t xml:space="preserve">instrument basis. The Company adopted the policy to value certain financial instruments at estimated fair value.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elected to measure any existing financial instruments at estimated fair value; however,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elect to measure newly acquired financial instruments at estimated fair value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uses estimated fair value measurements to record estimated fair value adjustments to certain assets and liabilities and to determine estimated fair value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present the balances of the assets and liabilities measured at estimated fair value on a recurring basis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665"/>
        <w:gridCol w:w="60"/>
        <w:gridCol w:w="127"/>
        <w:gridCol w:w="492"/>
        <w:gridCol w:w="60"/>
        <w:gridCol w:w="60"/>
        <w:gridCol w:w="125"/>
        <w:gridCol w:w="695"/>
        <w:gridCol w:w="60"/>
        <w:gridCol w:w="60"/>
        <w:gridCol w:w="127"/>
        <w:gridCol w:w="492"/>
        <w:gridCol w:w="60"/>
        <w:gridCol w:w="60"/>
        <w:gridCol w:w="125"/>
        <w:gridCol w:w="695"/>
        <w:gridCol w:w="60"/>
      </w:tblGrid>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Trading</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Available-for-sale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and government agencies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480,627</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backed securities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available-for-sale investment securities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522,101</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Servicing rights (1)</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6,615</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9,824</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8,492</w:t>
            </w:r>
          </w:p>
        </w:tc>
        <w:tc>
          <w:tcPr>
            <w:tcW w:w="60"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6235" w:type="dxa"/>
        <w:jc w:val="left"/>
        <w:tblInd w:w="0" w:type="dxa"/>
        <w:tblLayout w:type="fixed"/>
        <w:tblCellMar>
          <w:top w:w="0" w:type="dxa"/>
          <w:left w:w="0" w:type="dxa"/>
          <w:bottom w:w="0" w:type="dxa"/>
          <w:right w:w="0" w:type="dxa"/>
        </w:tblCellMar>
      </w:tblPr>
      <w:tblGrid>
        <w:gridCol w:w="230"/>
        <w:gridCol w:w="6005"/>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600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 xml:space="preserve">See Note </w:t>
            </w:r>
            <w:r>
              <w:rPr>
                <w:rStyle w:val="Emphasis"/>
                <w:rFonts w:ascii="Times New Roman;Times;serif" w:hAnsi="Times New Roman;Times;serif"/>
                <w:caps w:val="false"/>
                <w:smallCaps w:val="false"/>
                <w:sz w:val="16"/>
              </w:rPr>
              <w:t>7</w:t>
            </w:r>
            <w:r>
              <w:rPr>
                <w:rFonts w:ascii="Times New Roman;Times;serif" w:hAnsi="Times New Roman;Times;serif"/>
                <w:caps w:val="false"/>
                <w:smallCaps w:val="false"/>
                <w:sz w:val="16"/>
              </w:rPr>
              <w:t xml:space="preserve"> Loan Servicing for more information on mortgage servicing rights (MSR).</w:t>
            </w:r>
          </w:p>
        </w:tc>
      </w:tr>
    </w:tbl>
    <w:p>
      <w:pPr>
        <w:pStyle w:val="TextBody"/>
        <w:bidi w:val="0"/>
        <w:spacing w:before="0" w:after="0"/>
        <w:ind w:left="0" w:right="0" w:hanging="0"/>
        <w:jc w:val="left"/>
        <w:rPr/>
      </w:pPr>
      <w:r>
        <w:rPr/>
        <w:t> </w:t>
      </w:r>
    </w:p>
    <w:tbl>
      <w:tblPr>
        <w:tblW w:w="7023" w:type="dxa"/>
        <w:jc w:val="left"/>
        <w:tblInd w:w="0" w:type="dxa"/>
        <w:tblLayout w:type="fixed"/>
        <w:tblCellMar>
          <w:top w:w="0" w:type="dxa"/>
          <w:left w:w="0" w:type="dxa"/>
          <w:bottom w:w="0" w:type="dxa"/>
          <w:right w:w="0" w:type="dxa"/>
        </w:tblCellMar>
      </w:tblPr>
      <w:tblGrid>
        <w:gridCol w:w="3665"/>
        <w:gridCol w:w="60"/>
        <w:gridCol w:w="127"/>
        <w:gridCol w:w="492"/>
        <w:gridCol w:w="60"/>
        <w:gridCol w:w="60"/>
        <w:gridCol w:w="125"/>
        <w:gridCol w:w="695"/>
        <w:gridCol w:w="60"/>
        <w:gridCol w:w="60"/>
        <w:gridCol w:w="127"/>
        <w:gridCol w:w="492"/>
        <w:gridCol w:w="60"/>
        <w:gridCol w:w="60"/>
        <w:gridCol w:w="125"/>
        <w:gridCol w:w="695"/>
        <w:gridCol w:w="60"/>
      </w:tblGrid>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Trading</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Available-for-sale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and government agencies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476,746</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backed securities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available-for-sale investment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514,095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514,095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Servicing rights (1)</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6,383</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10,958</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10,682</w:t>
            </w:r>
          </w:p>
        </w:tc>
        <w:tc>
          <w:tcPr>
            <w:tcW w:w="60"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6235" w:type="dxa"/>
        <w:jc w:val="left"/>
        <w:tblInd w:w="0" w:type="dxa"/>
        <w:tblLayout w:type="fixed"/>
        <w:tblCellMar>
          <w:top w:w="0" w:type="dxa"/>
          <w:left w:w="0" w:type="dxa"/>
          <w:bottom w:w="0" w:type="dxa"/>
          <w:right w:w="0" w:type="dxa"/>
        </w:tblCellMar>
      </w:tblPr>
      <w:tblGrid>
        <w:gridCol w:w="230"/>
        <w:gridCol w:w="6005"/>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w:t>
            </w:r>
            <w:r>
              <w:rPr>
                <w:rStyle w:val="Emphasis"/>
                <w:rFonts w:ascii="Times New Roman;Times;serif" w:hAnsi="Times New Roman;Times;serif"/>
                <w:caps w:val="false"/>
                <w:smallCaps w:val="false"/>
                <w:sz w:val="16"/>
              </w:rPr>
              <w:t>1</w:t>
            </w:r>
            <w:r>
              <w:rPr>
                <w:rFonts w:ascii="Times New Roman;Times;serif" w:hAnsi="Times New Roman;Times;serif"/>
                <w:caps w:val="false"/>
                <w:smallCaps w:val="false"/>
                <w:sz w:val="16"/>
              </w:rPr>
              <w:t>)</w:t>
            </w:r>
          </w:p>
        </w:tc>
        <w:tc>
          <w:tcPr>
            <w:tcW w:w="600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6"/>
              </w:rPr>
              <w:t xml:space="preserve">See Note </w:t>
            </w:r>
            <w:r>
              <w:rPr>
                <w:rStyle w:val="Emphasis"/>
                <w:rFonts w:ascii="Times New Roman;Times;serif" w:hAnsi="Times New Roman;Times;serif"/>
                <w:caps w:val="false"/>
                <w:smallCaps w:val="false"/>
                <w:sz w:val="16"/>
              </w:rPr>
              <w:t>7</w:t>
            </w:r>
            <w:r>
              <w:rPr>
                <w:rFonts w:ascii="Times New Roman;Times;serif" w:hAnsi="Times New Roman;Times;serif"/>
                <w:caps w:val="false"/>
                <w:smallCaps w:val="false"/>
                <w:sz w:val="16"/>
              </w:rPr>
              <w:t xml:space="preserve"> Loan Servicing for more information on mortgage servicing rights (MSR).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description of the valuation methodologies used for instruments measured at estimated fair value on a recurring basis, as well as the general classification of such instruments pursuant to the valuation hierarchy.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Securities, Trading for Deferred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fair value of trading securities for deferred compensation is reported using market quoted prices as such securities and underlying securities are actively traded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valuation adjustments have been applied and therefore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Securities, Available-for-Sale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Generally, debt securities are valued using pricing for similar securities, recently executed transactions, and other pricing models utilizing observable inputs and therefore are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All of the Company’s derivatives are traded in over</w:t>
        <w:noBreakHyphen/>
        <w:t>the</w:t>
        <w:noBreakHyphen/>
        <w:t xml:space="preserve">counter markets where quoted market prices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available. For these derivatives, estimated fair value is measured using internally developed models that use primarily market observable inputs, such as yield curves and option volatilities, and accordingly, classify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Examples of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derivatives are basic interest rate swaps and forward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Servicing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Servicing rights are measured based on valuation techniques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The Company uses a discounted cash flow model that incorporates assumptions market participants would use in estimating the fair value of servicing rights,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conditional prepayment rate utilizing the Public Securities Association (PSA) convention, servicing fee rate, ancillary fees, and cost to service.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Certain assets are measured at estimated fair value on a nonrecurring basis. These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measured at estimated fair value on an ongoing basis; however, they are subject to estimated fair value adjustments in certain circumstances, such as when there is evidence of impairment or a change in the amount of previously recognized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estimated fair value of certain assets on a nonrecurring basis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228" w:type="dxa"/>
        <w:jc w:val="left"/>
        <w:tblInd w:w="0" w:type="dxa"/>
        <w:tblLayout w:type="fixed"/>
        <w:tblCellMar>
          <w:top w:w="0" w:type="dxa"/>
          <w:left w:w="0" w:type="dxa"/>
          <w:bottom w:w="0" w:type="dxa"/>
          <w:right w:w="0" w:type="dxa"/>
        </w:tblCellMar>
      </w:tblPr>
      <w:tblGrid>
        <w:gridCol w:w="2210"/>
        <w:gridCol w:w="60"/>
        <w:gridCol w:w="116"/>
        <w:gridCol w:w="503"/>
        <w:gridCol w:w="60"/>
        <w:gridCol w:w="60"/>
        <w:gridCol w:w="116"/>
        <w:gridCol w:w="503"/>
        <w:gridCol w:w="60"/>
        <w:gridCol w:w="60"/>
        <w:gridCol w:w="60"/>
        <w:gridCol w:w="590"/>
        <w:gridCol w:w="60"/>
        <w:gridCol w:w="60"/>
        <w:gridCol w:w="60"/>
        <w:gridCol w:w="590"/>
        <w:gridCol w:w="6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 dependent loans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32,531</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Foreclosed assets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2210"/>
        <w:gridCol w:w="60"/>
        <w:gridCol w:w="200"/>
        <w:gridCol w:w="419"/>
        <w:gridCol w:w="60"/>
        <w:gridCol w:w="60"/>
        <w:gridCol w:w="200"/>
        <w:gridCol w:w="419"/>
        <w:gridCol w:w="60"/>
        <w:gridCol w:w="60"/>
        <w:gridCol w:w="125"/>
        <w:gridCol w:w="590"/>
        <w:gridCol w:w="60"/>
        <w:gridCol w:w="60"/>
        <w:gridCol w:w="125"/>
        <w:gridCol w:w="590"/>
        <w:gridCol w:w="6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 dependent loans</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33,484</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Foreclosed assets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Loans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Loans originated and held for sale are carried at the lower of cost or estimated fair value. The Company obtains quotes or bids on these loans directly from purchasing financial institutions. Typically, these quotes include a premium on the sale and thus these quotes indicate estimated fair value of the held for sale loans is greater than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Impairment losses for loans held for sale that are carried at the lower of cost or estimated fair value represent additional net write</w:t>
        <w:noBreakHyphen/>
        <w:t>downs during the period to record these loans at the lower of cost or estimated fair value, subsequent to their initial classification as loans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Collateral Dependent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estimated fair value of collateral dependent loans is based on fair value, less estimated cost to sell. Collateral dependent impaired loans are classified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considers appraisal analysis as the starting point for determining fair value, and then considers other factors and events in the environment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affect fair value. Values of the collateral underlying collateral dependent loans are obtained when the loan is determined to be collateral dependent, and subsequently as deemed necessary by management. Values are reviewed for accuracy and consistency by management. The ultimate collateral values are reduced by discounts to consider lack of marketability and estimated cost to sell if repayment or satisfaction of the loan is dependent on the sale of the collateral.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Foreclosed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Assets acquired through loan foreclosure are included in other assets and are initially recorded at estimated fair value less estimated selling costs. The estimated fair value of foreclosed assets is evaluated regularly and any decreases in value along with holding costs, such as taxes, insurance and utilities, are reported in noninterest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The valuation techniques and significant unobservable inputs used to measure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estimated fair values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w:t>
      </w:r>
    </w:p>
    <w:p>
      <w:pPr>
        <w:pStyle w:val="TextBody"/>
        <w:bidi w:val="0"/>
        <w:spacing w:before="0" w:after="0"/>
        <w:ind w:left="0" w:right="0" w:hanging="0"/>
        <w:jc w:val="left"/>
        <w:rPr>
          <w:caps w:val="false"/>
          <w:smallCaps w:val="false"/>
        </w:rPr>
      </w:pPr>
      <w:r>
        <w:rPr>
          <w:caps w:val="false"/>
          <w:smallCaps w:val="false"/>
        </w:rPr>
        <w:t> </w:t>
      </w:r>
    </w:p>
    <w:tbl>
      <w:tblPr>
        <w:tblW w:w="9789" w:type="dxa"/>
        <w:jc w:val="left"/>
        <w:tblInd w:w="0" w:type="dxa"/>
        <w:tblLayout w:type="fixed"/>
        <w:tblCellMar>
          <w:top w:w="0" w:type="dxa"/>
          <w:left w:w="0" w:type="dxa"/>
          <w:bottom w:w="0" w:type="dxa"/>
          <w:right w:w="0" w:type="dxa"/>
        </w:tblCellMar>
      </w:tblPr>
      <w:tblGrid>
        <w:gridCol w:w="2210"/>
        <w:gridCol w:w="1850"/>
        <w:gridCol w:w="2555"/>
        <w:gridCol w:w="60"/>
        <w:gridCol w:w="86"/>
        <w:gridCol w:w="848"/>
        <w:gridCol w:w="60"/>
        <w:gridCol w:w="60"/>
        <w:gridCol w:w="60"/>
        <w:gridCol w:w="755"/>
        <w:gridCol w:w="185"/>
        <w:gridCol w:w="60"/>
        <w:gridCol w:w="111"/>
        <w:gridCol w:w="704"/>
        <w:gridCol w:w="185"/>
      </w:tblGrid>
      <w:tr>
        <w:trPr/>
        <w:tc>
          <w:tcPr>
            <w:tcW w:w="221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rStyle w:val="Emphasis"/>
              </w:rPr>
              <w:t> </w:t>
            </w:r>
          </w:p>
        </w:tc>
        <w:tc>
          <w:tcPr>
            <w:tcW w:w="25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1850" w:type="dxa"/>
            <w:tcBorders/>
            <w:shd w:fill="FFFFFF" w:val="clear"/>
            <w:vAlign w:val="center"/>
          </w:tcPr>
          <w:p>
            <w:pPr>
              <w:pStyle w:val="TableContents"/>
              <w:bidi w:val="0"/>
              <w:spacing w:before="0" w:after="283"/>
              <w:jc w:val="left"/>
              <w:rPr/>
            </w:pPr>
            <w:r>
              <w:rPr>
                <w:rStyle w:val="Emphasis"/>
              </w:rPr>
              <w:t> </w:t>
            </w:r>
          </w:p>
        </w:tc>
        <w:tc>
          <w:tcPr>
            <w:tcW w:w="25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 Type</w:t>
            </w:r>
          </w:p>
        </w:tc>
        <w:tc>
          <w:tcPr>
            <w:tcW w:w="185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Valuation Technique</w:t>
            </w:r>
          </w:p>
        </w:tc>
        <w:tc>
          <w:tcPr>
            <w:tcW w:w="255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Unobservable Input</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 dependent loans</w:t>
            </w:r>
          </w:p>
        </w:tc>
        <w:tc>
          <w:tcPr>
            <w:tcW w:w="185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Appraisal value</w:t>
            </w:r>
          </w:p>
        </w:tc>
        <w:tc>
          <w:tcPr>
            <w:tcW w:w="2555"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Property specific adjustment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10 - 35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Foreclosed assets</w:t>
            </w:r>
          </w:p>
        </w:tc>
        <w:tc>
          <w:tcPr>
            <w:tcW w:w="185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Appraisal value</w:t>
            </w:r>
          </w:p>
        </w:tc>
        <w:tc>
          <w:tcPr>
            <w:tcW w:w="255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Property specific adjustment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Servicing rights</w:t>
            </w:r>
          </w:p>
        </w:tc>
        <w:tc>
          <w:tcPr>
            <w:tcW w:w="185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Discounted cash flows</w:t>
            </w:r>
          </w:p>
        </w:tc>
        <w:tc>
          <w:tcPr>
            <w:tcW w:w="2555"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Prepayment speed assumptions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111 -562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18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ind w:left="0" w:right="0" w:hanging="0"/>
              <w:jc w:val="left"/>
              <w:rPr/>
            </w:pPr>
            <w:r>
              <w:rPr>
                <w:rStyle w:val="Emphasis"/>
              </w:rPr>
              <w:t> </w:t>
            </w:r>
          </w:p>
        </w:tc>
        <w:tc>
          <w:tcPr>
            <w:tcW w:w="255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Discount rate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909" w:type="dxa"/>
        <w:jc w:val="left"/>
        <w:tblInd w:w="0" w:type="dxa"/>
        <w:tblLayout w:type="fixed"/>
        <w:tblCellMar>
          <w:top w:w="0" w:type="dxa"/>
          <w:left w:w="0" w:type="dxa"/>
          <w:bottom w:w="0" w:type="dxa"/>
          <w:right w:w="0" w:type="dxa"/>
        </w:tblCellMar>
      </w:tblPr>
      <w:tblGrid>
        <w:gridCol w:w="2210"/>
        <w:gridCol w:w="1850"/>
        <w:gridCol w:w="2630"/>
        <w:gridCol w:w="60"/>
        <w:gridCol w:w="163"/>
        <w:gridCol w:w="771"/>
        <w:gridCol w:w="60"/>
        <w:gridCol w:w="60"/>
        <w:gridCol w:w="60"/>
        <w:gridCol w:w="800"/>
        <w:gridCol w:w="185"/>
        <w:gridCol w:w="60"/>
        <w:gridCol w:w="111"/>
        <w:gridCol w:w="704"/>
        <w:gridCol w:w="185"/>
      </w:tblGrid>
      <w:tr>
        <w:trPr/>
        <w:tc>
          <w:tcPr>
            <w:tcW w:w="221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rStyle w:val="Emphasis"/>
              </w:rPr>
              <w:t> </w:t>
            </w:r>
          </w:p>
        </w:tc>
        <w:tc>
          <w:tcPr>
            <w:tcW w:w="263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1850" w:type="dxa"/>
            <w:tcBorders/>
            <w:shd w:fill="FFFFFF" w:val="clear"/>
            <w:vAlign w:val="center"/>
          </w:tcPr>
          <w:p>
            <w:pPr>
              <w:pStyle w:val="TableContents"/>
              <w:bidi w:val="0"/>
              <w:spacing w:before="0" w:after="283"/>
              <w:jc w:val="left"/>
              <w:rPr/>
            </w:pPr>
            <w:r>
              <w:rPr>
                <w:rStyle w:val="Emphasis"/>
              </w:rPr>
              <w:t> </w:t>
            </w:r>
          </w:p>
        </w:tc>
        <w:tc>
          <w:tcPr>
            <w:tcW w:w="263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 Type</w:t>
            </w:r>
          </w:p>
        </w:tc>
        <w:tc>
          <w:tcPr>
            <w:tcW w:w="185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Valuation Technique</w:t>
            </w:r>
          </w:p>
        </w:tc>
        <w:tc>
          <w:tcPr>
            <w:tcW w:w="263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Unobservable Input</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 dependent loans</w:t>
            </w:r>
          </w:p>
        </w:tc>
        <w:tc>
          <w:tcPr>
            <w:tcW w:w="185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Appraisal value</w:t>
            </w:r>
          </w:p>
        </w:tc>
        <w:tc>
          <w:tcPr>
            <w:tcW w:w="263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Property specific adjustment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10 - 35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Foreclosed assets</w:t>
            </w:r>
          </w:p>
        </w:tc>
        <w:tc>
          <w:tcPr>
            <w:tcW w:w="185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Appraisal value</w:t>
            </w:r>
          </w:p>
        </w:tc>
        <w:tc>
          <w:tcPr>
            <w:tcW w:w="263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Property specific adjustment (1)</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Servicing rights</w:t>
            </w:r>
          </w:p>
        </w:tc>
        <w:tc>
          <w:tcPr>
            <w:tcW w:w="185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Discounted cash flows</w:t>
            </w:r>
          </w:p>
        </w:tc>
        <w:tc>
          <w:tcPr>
            <w:tcW w:w="263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Prepayment speed assumptions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130 - 730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18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ind w:left="0" w:right="0" w:hanging="0"/>
              <w:jc w:val="left"/>
              <w:rPr/>
            </w:pPr>
            <w:r>
              <w:rPr>
                <w:rStyle w:val="Emphasis"/>
              </w:rPr>
              <w:t> </w:t>
            </w:r>
          </w:p>
        </w:tc>
        <w:tc>
          <w:tcPr>
            <w:tcW w:w="263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Discount rate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Disclosure of estimated fair value information about financial instruments, for which it is practicable to estimate that value, is required whether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in the consolidated balance sheets. In cases in which quoted market prices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estimated fair values are based on estimates using present value or other valuation techniques. Those techniques are significantly affected by the assumptions used, including the discount rate and estimate of future cash flows. In that regard, the derived estimated fair value estimates cannot be substantiated by comparison to independent markets and, in many cases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in immediate settlement of the instruments. Certain financial instruments, with an estimated fair value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practicable to estimate and all non</w:t>
        <w:noBreakHyphen/>
        <w:t xml:space="preserve">financial instruments, are excluded from the disclosure requirements. Accordingly, the aggregate estimated fair value amounts presented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represent the underlying value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disclosures represent financial instruments for which the ending balances,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carried at estimated fair value in their entirety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and Accrued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carrying amounts reported in the consolidated balance sheets approximate those assets and liabilities estimated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Securities, Held-to-Maturity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fair values of debt securities held-to-maturity are based on quoted market prices for the same or similar securities, recently executed transactions and pricing models.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For variable</w:t>
        <w:noBreakHyphen/>
        <w:t xml:space="preserve">rate loans that reprice frequently and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change in credit risk, estimated fair values are based on carrying values. The estimated fair values of other loans are estimated using discounted cash flow analysis, using interest rates currently being offered for loans with similar terms to borrowers of similar credit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 w:hAnsi="Times New Roman"/>
          <w:b/>
          <w:sz w:val="20"/>
        </w:rPr>
        <w:t>Bank</w:t>
      </w:r>
      <w:r>
        <w:rPr>
          <w:rFonts w:ascii="Times New Roman;Times;serif" w:hAnsi="Times New Roman;Times;serif"/>
          <w:sz w:val="20"/>
        </w:rPr>
        <w:noBreakHyphen/>
      </w:r>
      <w:r>
        <w:rPr>
          <w:rFonts w:ascii="Times New Roman;Times;serif" w:hAnsi="Times New Roman;Times;serif"/>
          <w:b/>
          <w:sz w:val="20"/>
        </w:rPr>
        <w:t>Owned Life Insurance</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Bank</w:t>
        <w:noBreakHyphen/>
        <w:t>owned life insurance is carried at the amount due upon surrender of the policy, which is also the estimated fair value. This amount was provided by the insurance companies based on the terms of the underlying insurance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estimated fair values of demand deposits are, by definition, equal to the amount payable on demand at the consolidated balance sheet date. The estimated fair values of fixed</w:t>
        <w:noBreakHyphen/>
        <w:t>rate certificates of deposit are estimated using a discounted cash flow calculation that applies current incremental interest rates being offered on certificates of deposit to a schedule of aggregated expected monthly maturities of the outstanding certificates of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Short</w:t>
      </w:r>
      <w:r>
        <w:rPr>
          <w:rFonts w:ascii="Times New Roman" w:hAnsi="Times New Roman"/>
          <w:caps w:val="false"/>
          <w:smallCaps w:val="false"/>
          <w:sz w:val="20"/>
        </w:rPr>
        <w:noBreakHyphen/>
      </w:r>
      <w:r>
        <w:rPr>
          <w:rFonts w:ascii="Times New Roman" w:hAnsi="Times New Roman"/>
          <w:b/>
          <w:caps w:val="false"/>
          <w:smallCaps w:val="false"/>
          <w:sz w:val="20"/>
        </w:rPr>
        <w:t>Term Borrowings and Long</w:t>
      </w:r>
      <w:r>
        <w:rPr>
          <w:rFonts w:ascii="Times New Roman" w:hAnsi="Times New Roman"/>
          <w:caps w:val="false"/>
          <w:smallCaps w:val="false"/>
          <w:sz w:val="20"/>
        </w:rPr>
        <w:noBreakHyphen/>
      </w:r>
      <w:r>
        <w:rPr>
          <w:rFonts w:ascii="Times New Roman" w:hAnsi="Times New Roman"/>
          <w:b/>
          <w:caps w:val="false"/>
          <w:smallCaps w:val="false"/>
          <w:sz w:val="20"/>
        </w:rPr>
        <w:t>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variable</w:t>
        <w:noBreakHyphen/>
        <w:t>rate borrowings that reprice frequently, estimated fair values are based on carrying values. The estimated fair values of fixed</w:t>
        <w:noBreakHyphen/>
        <w:t>rate borrowings are estimated using discounted cash flow analysis, based on the Company’s current incremental borrowing rates for similar types of borrowing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Off</w:t>
      </w:r>
      <w:r>
        <w:rPr>
          <w:rFonts w:ascii="Times New Roman" w:hAnsi="Times New Roman"/>
          <w:caps w:val="false"/>
          <w:smallCaps w:val="false"/>
          <w:sz w:val="20"/>
        </w:rPr>
        <w:noBreakHyphen/>
      </w:r>
      <w:r>
        <w:rPr>
          <w:rFonts w:ascii="Times New Roman" w:hAnsi="Times New Roman"/>
          <w:b/>
          <w:caps w:val="false"/>
          <w:smallCaps w:val="false"/>
          <w:sz w:val="20"/>
        </w:rPr>
        <w:t>Balance Sheet Credit</w:t>
      </w:r>
      <w:r>
        <w:rPr>
          <w:rFonts w:ascii="Times New Roman" w:hAnsi="Times New Roman"/>
          <w:caps w:val="false"/>
          <w:smallCaps w:val="false"/>
          <w:sz w:val="20"/>
        </w:rPr>
        <w:noBreakHyphen/>
      </w:r>
      <w:r>
        <w:rPr>
          <w:rFonts w:ascii="Times New Roman" w:hAnsi="Times New Roman"/>
          <w:b/>
          <w:caps w:val="false"/>
          <w:smallCaps w:val="false"/>
          <w:sz w:val="20"/>
        </w:rPr>
        <w:t>Related Commitments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Off</w:t>
        <w:noBreakHyphen/>
        <w:t>balance sheet credit related commitments are generally of short</w:t>
        <w:noBreakHyphen/>
        <w:t>term nature. The contract amount of such commitments approximates their estimated fair value since the commitments are comprised primarily of unfunded loan commitments which are generally priced at market at the time of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estimated fair values, and related carrying or notional amounts, of the Company’s financial instruments at the dates indicated were as follows:</w:t>
      </w:r>
    </w:p>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3110"/>
        <w:gridCol w:w="60"/>
        <w:gridCol w:w="125"/>
        <w:gridCol w:w="845"/>
        <w:gridCol w:w="60"/>
        <w:gridCol w:w="60"/>
        <w:gridCol w:w="125"/>
        <w:gridCol w:w="695"/>
        <w:gridCol w:w="60"/>
        <w:gridCol w:w="60"/>
        <w:gridCol w:w="125"/>
        <w:gridCol w:w="845"/>
        <w:gridCol w:w="60"/>
        <w:gridCol w:w="60"/>
        <w:gridCol w:w="125"/>
        <w:gridCol w:w="845"/>
        <w:gridCol w:w="60"/>
        <w:gridCol w:w="60"/>
        <w:gridCol w:w="125"/>
        <w:gridCol w:w="845"/>
        <w:gridCol w:w="60"/>
      </w:tblGrid>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8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128,826</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held-to-maturity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220,425</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3,984,239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3,908,918</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20,469</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Bank-owned life insurance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39,475</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6,615</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857,625</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2,919,297</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574,374</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63,759</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3110"/>
        <w:gridCol w:w="60"/>
        <w:gridCol w:w="125"/>
        <w:gridCol w:w="845"/>
        <w:gridCol w:w="60"/>
        <w:gridCol w:w="60"/>
        <w:gridCol w:w="125"/>
        <w:gridCol w:w="590"/>
        <w:gridCol w:w="60"/>
        <w:gridCol w:w="60"/>
        <w:gridCol w:w="125"/>
        <w:gridCol w:w="845"/>
        <w:gridCol w:w="60"/>
        <w:gridCol w:w="60"/>
        <w:gridCol w:w="125"/>
        <w:gridCol w:w="845"/>
        <w:gridCol w:w="60"/>
        <w:gridCol w:w="60"/>
        <w:gridCol w:w="125"/>
        <w:gridCol w:w="845"/>
        <w:gridCol w:w="60"/>
      </w:tblGrid>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7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67,192</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 held-to-maturity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228,009</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3,956,517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3,956,517</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21,742</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Bank-owned life insurance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39,307</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6,383</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807,896</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2,807,565</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580,473</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308,800</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59,911</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9" w:name="mda"/>
      <w:bookmarkEnd w:id="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w:t>
      </w:r>
      <w:r>
        <w:rPr>
          <w:rFonts w:ascii="Times New Roman" w:hAnsi="Times New Roman"/>
          <w:caps w:val="false"/>
          <w:smallCaps w:val="false"/>
          <w:sz w:val="20"/>
        </w:rPr>
        <w:t xml:space="preserve"> –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The following discussion explains the Company</w:t>
      </w:r>
      <w:r>
        <w:rPr>
          <w:rFonts w:ascii="Times New Roman" w:hAnsi="Times New Roman"/>
          <w:caps w:val="false"/>
          <w:smallCaps w:val="false"/>
          <w:sz w:val="20"/>
        </w:rPr>
        <w:t>’</w:t>
      </w:r>
      <w:r>
        <w:rPr>
          <w:rFonts w:ascii="Times New Roman" w:hAnsi="Times New Roman"/>
          <w:i/>
          <w:caps w:val="false"/>
          <w:smallCaps w:val="false"/>
          <w:sz w:val="20"/>
        </w:rPr>
        <w:t>s financial condition and results of operations as of and for the three months ended March 31, 2026 and 2025. Annualized results for this interim period may not be indicative of results for the full year or future periods. The following discussion and analysis should be read in conjunction with the consolidated financial statements and related notes presented elsewhere in this report and the Company</w:t>
      </w:r>
      <w:r>
        <w:rPr>
          <w:rFonts w:ascii="Times New Roman" w:hAnsi="Times New Roman"/>
          <w:caps w:val="false"/>
          <w:smallCaps w:val="false"/>
          <w:sz w:val="20"/>
        </w:rPr>
        <w:t>’</w:t>
      </w:r>
      <w:r>
        <w:rPr>
          <w:rFonts w:ascii="Times New Roman" w:hAnsi="Times New Roman"/>
          <w:i/>
          <w:caps w:val="false"/>
          <w:smallCaps w:val="false"/>
          <w:sz w:val="20"/>
        </w:rPr>
        <w:t>s Annual Report on Form 10-K for the year ended December 31, 2025, filed with the SEC on March 4,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Quarterly Report on Form 10-Q contains “forward-looking statements” within the meaning of Section 27A of the Securities Act of 1933, as amended, and Section 21E of the Securities Exchange Act of 1934, as amended. The Company intends such forward-looking statements to be covered by the safe harbor provisions of the U.S. Private Securities Litigation Reform Act of 1995. Forward-looking statements include, without limitation, statements concerning plans, estimates, calculations, forecasts and projections with respect to the anticipated future performance of Alerus Financial Corporation. These statements are often, but not always, identified by words such as “may,” “might,” “should,” “could,” “predict,” “potential,” “believe,” “expect,” “continue,” “will,” “anticipate,” “seek,” “estimate,” “intend,” “plan,” “projection,” “would,” “annualized,” “target” and “outlook,” or the negative version of those words or other comparable words of a future or forward-looking nature. Examples of forward-looking statements include, among others, statements the Company makes regarding the Company’s projected growth, anticipated future financial performance, financial condition, credit quality, management’s long-term performance goals and the future plans and prospects of Alerus Financial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Forward-looking statements are neither historical facts nor assurances of future performance. Instead, they are based only on the Company’s current beliefs, expectations and assumptions regarding the Company’s business, future plans and strategies, projections, anticipated events and trends, the economy and other future conditions. Because forward-looking statements relate to the future, they are subject to inherent known and unknown uncertainties, risks, changes in circumstances, and other factors that are difficult to predict and many of which are outside of the Company’s control. The Company’s actual results and financial condition may differ materially from those indicated in forward-looking statements. Therefore, you should not rely on any of these forward-looking statements. Important factors that could cause the Company’s actual results and financial condition to differ materially from those indicated in forward-looking statements include, among others,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strength of the local, state, national and international economies and financial markets (including effects of inflationary pressures and future monetary policies of the Board of Governors of the Federal Reserve System (the "Federal Reserve") and executive orders in response thereto);</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risk, including the effects of changes in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effects on the U.S. economy resulting from actions taken by the federal government, including the threat or implementation of tariffs, immigration enforcement, executive orders, and changes in foreign policy; </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170"/>
        <w:gridCol w:w="7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disruptions to the global supply chain, including as a result of domestic or foreign policies;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ability to successfully manage credit risk, including in the CRE portfolio, and maintain an adequate level of allowance for credit losses;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business and economic conditions generally and in the financial services industry, nationally and within the Company’s market areas, including the level and impact of inflation rates and possible recession;</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60"/>
        <w:gridCol w:w="170"/>
        <w:gridCol w:w="7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left"/>
              <w:rPr/>
            </w:pPr>
            <w:r>
              <w:rPr/>
              <w:t>the Company’s ability to raise additional capital to implement its business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credit risks and risks from concentrations (including by type of borrower, geographic area, collateral, and industry) within the Company’s loan portfolio;</w:t>
            </w:r>
          </w:p>
        </w:tc>
      </w:tr>
    </w:tbl>
    <w:p>
      <w:pPr>
        <w:pStyle w:val="TextBody"/>
        <w:bidi w:val="0"/>
        <w:spacing w:before="0" w:after="0"/>
        <w:ind w:left="0" w:right="0" w:hanging="0"/>
        <w:jc w:val="left"/>
        <w:rPr/>
      </w:pPr>
      <w:r>
        <w:rPr/>
        <w:t> </w:t>
      </w:r>
    </w:p>
    <w:tbl>
      <w:tblPr>
        <w:tblW w:w="7405" w:type="dxa"/>
        <w:jc w:val="left"/>
        <w:tblInd w:w="0" w:type="dxa"/>
        <w:tblLayout w:type="fixed"/>
        <w:tblCellMar>
          <w:top w:w="0" w:type="dxa"/>
          <w:left w:w="0" w:type="dxa"/>
          <w:bottom w:w="0" w:type="dxa"/>
          <w:right w:w="0" w:type="dxa"/>
        </w:tblCellMar>
      </w:tblPr>
      <w:tblGrid>
        <w:gridCol w:w="60"/>
        <w:gridCol w:w="170"/>
        <w:gridCol w:w="71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left"/>
              <w:rPr/>
            </w:pPr>
            <w:r>
              <w:rPr/>
              <w:t>the concentration of large loans to certain borrowers (including CRE loans);</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70"/>
        <w:gridCol w:w="5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level of nonperforming assets on the Company’s balance sheet;</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60"/>
        <w:gridCol w:w="170"/>
        <w:gridCol w:w="6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ability to implement organic and acquisition growth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commencement, cost, and outcome of litigation and other legal proceedings and regulatory actions against the Company or to which the Company may become subject, including with respect to pending actions relating to the Company’s previous ESOP fiduciary services commenced by government and private parties;</w:t>
            </w:r>
          </w:p>
        </w:tc>
      </w:tr>
    </w:tbl>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60"/>
        <w:gridCol w:w="170"/>
        <w:gridCol w:w="6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impact of economic or market conditions on the Company’s fee-based services;</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ability to continue to grow the retirement and benefit services business;</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ability to continue to originate a sufficient volume of residential mortgages;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occurrence of fraudulent activity, breaches or failures of the Company’s or its third-party vendors’ information security controls or cybersecurity-related incidents, including as a result of sophisticated attacks using artificial intelligence and similar tools or as a result of insider fraud;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060" w:type="dxa"/>
        <w:jc w:val="left"/>
        <w:tblInd w:w="0" w:type="dxa"/>
        <w:tblLayout w:type="fixed"/>
        <w:tblCellMar>
          <w:top w:w="0" w:type="dxa"/>
          <w:left w:w="0" w:type="dxa"/>
          <w:bottom w:w="0" w:type="dxa"/>
          <w:right w:w="0" w:type="dxa"/>
        </w:tblCellMar>
      </w:tblPr>
      <w:tblGrid>
        <w:gridCol w:w="60"/>
        <w:gridCol w:w="170"/>
        <w:gridCol w:w="9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interruptions involving the Company’s information technology and telecommunications systems or third-party servicers;</w:t>
            </w:r>
          </w:p>
        </w:tc>
      </w:tr>
    </w:tbl>
    <w:p>
      <w:pPr>
        <w:pStyle w:val="TextBody"/>
        <w:bidi w:val="0"/>
        <w:spacing w:before="0" w:after="0"/>
        <w:ind w:left="0" w:right="0" w:hanging="0"/>
        <w:jc w:val="left"/>
        <w:rPr/>
      </w:pPr>
      <w:r>
        <w:rPr/>
        <w:t> </w:t>
      </w:r>
    </w:p>
    <w:tbl>
      <w:tblPr>
        <w:tblW w:w="6070" w:type="dxa"/>
        <w:jc w:val="left"/>
        <w:tblInd w:w="0" w:type="dxa"/>
        <w:tblLayout w:type="fixed"/>
        <w:tblCellMar>
          <w:top w:w="0" w:type="dxa"/>
          <w:left w:w="0" w:type="dxa"/>
          <w:bottom w:w="0" w:type="dxa"/>
          <w:right w:w="0" w:type="dxa"/>
        </w:tblCellMar>
      </w:tblPr>
      <w:tblGrid>
        <w:gridCol w:w="60"/>
        <w:gridCol w:w="170"/>
        <w:gridCol w:w="5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losses incurred in connection with mortgage loan repurchases;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composition of the Company’s executive management team and the Company’s ability to attract and retain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rapid and expensive technological changes implemented by the Company and other parties in the financial services industry, including third-party vendors, which may be more difficult to implement or more expensive than anticipated or which may have unforeseen consequences to us and our customers, including the development and implementation of tools incorporating artificial intelligence;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competition in the financial services industry, including from non-banks such as credit unions, financial technology companies and digital asset service providers;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ability to successfully manage liquidity risk, including the Company’s need to access higher cost sources of funds such as fed funds purchased and short-term borrowings;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concentration of large deposits from certain clients, including those who have balances above current Federal Deposit Insurance Corporation (“FDIC”) insurance limits;</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60"/>
        <w:gridCol w:w="170"/>
        <w:gridCol w:w="5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effectiveness of the Company’s risk management framework;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impairment to the goodwill the Company recorded in connection with the Company’s past acquisitions, including the acquisitions of Metro Phoenix Bank and HMN Financial, Inc. (“HMNF”);</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extensive regulatory framework that applies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60"/>
        <w:gridCol w:w="170"/>
        <w:gridCol w:w="9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ability of the Bank to pay dividends to the Company, and the Company's ability to pay dividends to its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or revised accounting standards, as may be adopted by state and federal regulatory agencies, the FASB, the SEC or the Public Company Accounting Oversight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the values of the securities held in the Company’s securities portfolio, including as a result of changes in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
        <w:gridCol w:w="170"/>
        <w:gridCol w:w="4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governmental monetary, trade and fiscal policies;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60"/>
        <w:gridCol w:w="170"/>
        <w:gridCol w:w="9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risks related to climate change and the negative impact it may have on the Company’s customers and their businesses;</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severe weather, natural disasters, and widespread disease or pandemics;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acts of war, military conflicts, or terrorism, including the wars in Iran and Ukraine, ongoing conflicts in the Middle East, and other international military conflicts, or other adverse external events and changes in foreign relations;</w:t>
            </w:r>
          </w:p>
        </w:tc>
      </w:tr>
    </w:tbl>
    <w:p>
      <w:pPr>
        <w:pStyle w:val="TextBody"/>
        <w:bidi w:val="0"/>
        <w:spacing w:before="0" w:after="0"/>
        <w:ind w:left="0" w:right="0" w:hanging="0"/>
        <w:jc w:val="left"/>
        <w:rPr/>
      </w:pPr>
      <w:r>
        <w:rPr/>
        <w:t> </w:t>
      </w:r>
    </w:p>
    <w:tbl>
      <w:tblPr>
        <w:tblW w:w="8335" w:type="dxa"/>
        <w:jc w:val="left"/>
        <w:tblInd w:w="0" w:type="dxa"/>
        <w:tblLayout w:type="fixed"/>
        <w:tblCellMar>
          <w:top w:w="0" w:type="dxa"/>
          <w:left w:w="0" w:type="dxa"/>
          <w:bottom w:w="0" w:type="dxa"/>
          <w:right w:w="0" w:type="dxa"/>
        </w:tblCellMar>
      </w:tblPr>
      <w:tblGrid>
        <w:gridCol w:w="60"/>
        <w:gridCol w:w="170"/>
        <w:gridCol w:w="8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impact of the current partial shutdown of the federal government and possible future shutdowns;</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170"/>
        <w:gridCol w:w="6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material weaknesses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60"/>
        <w:gridCol w:w="170"/>
        <w:gridCol w:w="8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success at managing and responding to the risks involved in the foregoing items;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risks described in the “Risk Factors” section of this report and in other reports filed by Alerus Financial Corporation with the SEC.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forward-looking statement made by the Company in this report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a commercial wealth advisory services bank and national retirement and benefit services provider headquartered in Grand Forks, North Dakota. Through the Company’s subsidiary, Alerus Financial, National Association, the Company provides financial solutions to businesses and consumers through three distinct business lines—banking, retirement and benefit services, and wealth advisory services. These solutions are delivered through a relationship</w:t>
        <w:noBreakHyphen/>
        <w:t>oriented primary point of contact along with responsive and client</w:t>
        <w:noBreakHyphen/>
        <w:t>friendly technology.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business model produces strong financial performance and a diversified revenue stream, which has helped the Company establish a brand and culture yielding both a loyal client base and passionate and dedicated employees. The Company generates a majority of overall revenue from noninterest income, which is driven primarily by the Company’s retirement and benefit services and wealth advisory services business lines. The remainder of the Company’s revenue consists of net interest income, which the Company derives from offering traditional banking products and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Critical accounting policies are defined as those that are reflective of significant judgements and uncertainties and could potentially result in materially different results under different assumptions and conditions. In preparing the Company’s consolidated financial statements, management is required to make significant estimates and assumptions that affect assets, liabilities, revenues, and expenses reported. Actual results could differ materially from our current estimates as a result of changing conditions and future events. Several estimates are particularly critical and are susceptible to significant near term change, including (i) the ACL on loans; (ii) goodwill impairment; and (iii) fair value of loans acquired in business combinations.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Annual Report on Form 10-K for the year ended December 31, 2025 includes a discussion of the Company’s critical accounting policies. There have been no material changes to the Company’s critical accounting policies from those disclosed within its Annual Report on Form 10-K for the year ended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Refer to “NOTE 2 Recent Accounting Pronouncements” of the consolidated financial statements included in this report for a discussion of accounting pronouncements issued but yet to be adopted and implemented.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 xml:space="preserve">Stockholder Dividend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February 25, 2026, the Board of Directors of the Company declared a quarterly cash dividend of $0.21 per share of common stock. This dividend was paid on April 10, 2026, to stockholders of record at the close of business on March 27,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Property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West Fargo, North Dakota branch is listed for sale for $3.8 million and is expected to sell within the next 12 months. At March 31, 2026, the facility had a carrying value of approximately $0.4 million. The Company expects to record a gain on the sale upon closing, as the expected sale price is greater than the property’s carrying value.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Crossroads branch in Rochester, Minnesota is listed for sale for $1.5 million and is expected to sell within the next 12 months. At March 31, 2026, the facility had a carrying value of approximately $1.0 million. The Company expects to record a gain on the sale upon closing, as the expected sale price is greater than the property’s carrying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key financial results as of and for the periods indicated: </w:t>
      </w:r>
    </w:p>
    <w:p>
      <w:pPr>
        <w:pStyle w:val="TextBody"/>
        <w:bidi w:val="0"/>
        <w:spacing w:before="0" w:after="0"/>
        <w:ind w:left="0" w:right="0" w:hanging="0"/>
        <w:jc w:val="left"/>
        <w:rPr>
          <w:caps w:val="false"/>
          <w:smallCaps w:val="false"/>
        </w:rPr>
      </w:pPr>
      <w:r>
        <w:rPr>
          <w:caps w:val="false"/>
          <w:smallCaps w:val="false"/>
        </w:rPr>
        <w:t> </w:t>
      </w:r>
    </w:p>
    <w:tbl>
      <w:tblPr>
        <w:tblW w:w="10034" w:type="dxa"/>
        <w:jc w:val="left"/>
        <w:tblInd w:w="0" w:type="dxa"/>
        <w:tblLayout w:type="fixed"/>
        <w:tblCellMar>
          <w:top w:w="0" w:type="dxa"/>
          <w:left w:w="0" w:type="dxa"/>
          <w:bottom w:w="0" w:type="dxa"/>
          <w:right w:w="0" w:type="dxa"/>
        </w:tblCellMar>
      </w:tblPr>
      <w:tblGrid>
        <w:gridCol w:w="5915"/>
        <w:gridCol w:w="60"/>
        <w:gridCol w:w="125"/>
        <w:gridCol w:w="950"/>
        <w:gridCol w:w="185"/>
        <w:gridCol w:w="60"/>
        <w:gridCol w:w="136"/>
        <w:gridCol w:w="1038"/>
        <w:gridCol w:w="245"/>
        <w:gridCol w:w="60"/>
        <w:gridCol w:w="125"/>
        <w:gridCol w:w="950"/>
        <w:gridCol w:w="185"/>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7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and shares in thousands,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 Ratios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return on average total assets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common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tangible common equity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return on average tangible common equity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 as a % of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(loss) income as a % of revenue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margin (taxable-equivalent basis)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Efficiency ratio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557.48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efficiency ratio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 (recoveries) to average loans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payout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earnings per common share − diluted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0.85</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0.56</w:t>
            </w:r>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Book value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w:t>
            </w:r>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book value per common share (1)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w:t>
            </w:r>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common shares outstanding −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25,398</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25,359</w:t>
            </w:r>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common shares outstanding −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25,653</w:t>
            </w:r>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Data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Retirement and benefit services assets under administration/management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42,273,839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44,925,311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39,925,596</w:t>
            </w:r>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Wealth advisory services assets under administration/management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4,792,609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4,850,600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4,500,852</w:t>
            </w:r>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originations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136,780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70,593</w:t>
            </w:r>
          </w:p>
        </w:tc>
        <w:tc>
          <w:tcPr>
            <w:tcW w:w="185" w:type="dxa"/>
            <w:tcBorders/>
            <w:shd w:fill="FFFF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9880" w:type="dxa"/>
        <w:jc w:val="left"/>
        <w:tblInd w:w="0" w:type="dxa"/>
        <w:tblLayout w:type="fixed"/>
        <w:tblCellMar>
          <w:top w:w="0" w:type="dxa"/>
          <w:left w:w="0" w:type="dxa"/>
          <w:bottom w:w="0" w:type="dxa"/>
          <w:right w:w="0" w:type="dxa"/>
        </w:tblCellMar>
      </w:tblPr>
      <w:tblGrid>
        <w:gridCol w:w="230"/>
        <w:gridCol w:w="965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9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Represents a non-GAAP financial measure. See “Non-GAAP to GAAP Reconciliations and Calculation of Non-GAAP Financial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Selected Financial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summarize selected financial data as of and for the periods indicated:</w:t>
      </w:r>
    </w:p>
    <w:p>
      <w:pPr>
        <w:pStyle w:val="TextBody"/>
        <w:bidi w:val="0"/>
        <w:spacing w:before="0" w:after="0"/>
        <w:ind w:left="0" w:right="0" w:hanging="0"/>
        <w:jc w:val="left"/>
        <w:rPr>
          <w:caps w:val="false"/>
          <w:smallCaps w:val="false"/>
        </w:rPr>
      </w:pPr>
      <w:r>
        <w:rPr>
          <w:caps w:val="false"/>
          <w:smallCaps w:val="false"/>
        </w:rPr>
        <w:t> </w:t>
      </w:r>
    </w:p>
    <w:tbl>
      <w:tblPr>
        <w:tblW w:w="7904" w:type="dxa"/>
        <w:jc w:val="left"/>
        <w:tblInd w:w="0" w:type="dxa"/>
        <w:tblLayout w:type="fixed"/>
        <w:tblCellMar>
          <w:top w:w="0" w:type="dxa"/>
          <w:left w:w="0" w:type="dxa"/>
          <w:bottom w:w="0" w:type="dxa"/>
          <w:right w:w="0" w:type="dxa"/>
        </w:tblCellMar>
      </w:tblPr>
      <w:tblGrid>
        <w:gridCol w:w="4430"/>
        <w:gridCol w:w="60"/>
        <w:gridCol w:w="125"/>
        <w:gridCol w:w="845"/>
        <w:gridCol w:w="60"/>
        <w:gridCol w:w="60"/>
        <w:gridCol w:w="151"/>
        <w:gridCol w:w="1023"/>
        <w:gridCol w:w="60"/>
        <w:gridCol w:w="60"/>
        <w:gridCol w:w="125"/>
        <w:gridCol w:w="845"/>
        <w:gridCol w:w="60"/>
      </w:tblGrid>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Selected Average Balance Sheet Data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4,049,081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4,022,863</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859,696</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5,218,515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5,252,046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5,272,319</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4,238,712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4,297,027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4,376,597</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 funds purchased and Bank Term Funding Program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49,834</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short-term advances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59,084</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499,224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29" w:type="dxa"/>
        <w:jc w:val="left"/>
        <w:tblInd w:w="0" w:type="dxa"/>
        <w:tblLayout w:type="fixed"/>
        <w:tblCellMar>
          <w:top w:w="0" w:type="dxa"/>
          <w:left w:w="0" w:type="dxa"/>
          <w:bottom w:w="0" w:type="dxa"/>
          <w:right w:w="0" w:type="dxa"/>
        </w:tblCellMar>
      </w:tblPr>
      <w:tblGrid>
        <w:gridCol w:w="3395"/>
        <w:gridCol w:w="60"/>
        <w:gridCol w:w="125"/>
        <w:gridCol w:w="845"/>
        <w:gridCol w:w="80"/>
        <w:gridCol w:w="60"/>
        <w:gridCol w:w="151"/>
        <w:gridCol w:w="1023"/>
        <w:gridCol w:w="80"/>
        <w:gridCol w:w="60"/>
        <w:gridCol w:w="125"/>
        <w:gridCol w:w="845"/>
        <w:gridCol w:w="80"/>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Selected Period End Balance Sheet Data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4,102,075</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 on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770,302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791,650</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5,287,971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5,330,572</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4,347,882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4,412,653</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59,154</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550,687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37" w:type="dxa"/>
        <w:jc w:val="left"/>
        <w:tblInd w:w="0" w:type="dxa"/>
        <w:tblLayout w:type="fixed"/>
        <w:tblCellMar>
          <w:top w:w="0" w:type="dxa"/>
          <w:left w:w="0" w:type="dxa"/>
          <w:bottom w:w="0" w:type="dxa"/>
          <w:right w:w="0" w:type="dxa"/>
        </w:tblCellMar>
      </w:tblPr>
      <w:tblGrid>
        <w:gridCol w:w="3185"/>
        <w:gridCol w:w="60"/>
        <w:gridCol w:w="155"/>
        <w:gridCol w:w="734"/>
        <w:gridCol w:w="80"/>
        <w:gridCol w:w="60"/>
        <w:gridCol w:w="189"/>
        <w:gridCol w:w="985"/>
        <w:gridCol w:w="80"/>
        <w:gridCol w:w="60"/>
        <w:gridCol w:w="155"/>
        <w:gridCol w:w="734"/>
        <w:gridCol w:w="6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Selected Income Statement Data</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41,157</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(recovery of) credit losses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27,632</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17,561</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(33,051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to GAAP Reconciliations and Calculation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the results presented in accordance with GAAP, the Company routinely supplements its evaluation with an analysis of certain non-GAAP financial measures. Management uses the non-GAAP financial measures presented in the tables below in its analysis of its performance, and believes financial analysts and investors frequently use these measures, and other similar measures, to evaluate capital adequacy and financial performance. Management, banking regulators, many financial analysts and other investors use these measures in conjunction with more traditional bank capital ratios to compare the capital adequacy of banking organizations with significant amounts of goodwill or other intangible assets, which typically stem from the use of the purchase accounting method of accounting for mergers and acquisitions.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present these non-GAAP financial measures along with the most directly comparable financial measures calculated in accordance with GAAP as of and for the periods indicated: </w:t>
      </w:r>
    </w:p>
    <w:p>
      <w:pPr>
        <w:pStyle w:val="TextBody"/>
        <w:bidi w:val="0"/>
        <w:spacing w:before="0" w:after="0"/>
        <w:ind w:left="0" w:right="0" w:hanging="0"/>
        <w:jc w:val="left"/>
        <w:rPr>
          <w:caps w:val="false"/>
          <w:smallCaps w:val="false"/>
        </w:rPr>
      </w:pPr>
      <w:r>
        <w:rPr>
          <w:caps w:val="false"/>
          <w:smallCaps w:val="false"/>
        </w:rPr>
        <w:t> </w:t>
      </w:r>
    </w:p>
    <w:tbl>
      <w:tblPr>
        <w:tblW w:w="8444" w:type="dxa"/>
        <w:jc w:val="left"/>
        <w:tblInd w:w="0" w:type="dxa"/>
        <w:tblLayout w:type="fixed"/>
        <w:tblCellMar>
          <w:top w:w="0" w:type="dxa"/>
          <w:left w:w="0" w:type="dxa"/>
          <w:bottom w:w="0" w:type="dxa"/>
          <w:right w:w="0" w:type="dxa"/>
        </w:tblCellMar>
      </w:tblPr>
      <w:tblGrid>
        <w:gridCol w:w="4595"/>
        <w:gridCol w:w="60"/>
        <w:gridCol w:w="125"/>
        <w:gridCol w:w="845"/>
        <w:gridCol w:w="185"/>
        <w:gridCol w:w="60"/>
        <w:gridCol w:w="151"/>
        <w:gridCol w:w="1023"/>
        <w:gridCol w:w="185"/>
        <w:gridCol w:w="60"/>
        <w:gridCol w:w="125"/>
        <w:gridCol w:w="845"/>
        <w:gridCol w:w="185"/>
      </w:tblGrid>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and shares in thousands,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Tangible common equity to 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common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574,693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533,155</w:t>
            </w:r>
          </w:p>
        </w:tc>
        <w:tc>
          <w:tcPr>
            <w:tcW w:w="18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18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Other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31,397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38,462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common equity (a)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445,929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409,059</w:t>
            </w:r>
          </w:p>
        </w:tc>
        <w:tc>
          <w:tcPr>
            <w:tcW w:w="18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5,287,971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5,230,084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5,323,822</w:t>
            </w:r>
          </w:p>
        </w:tc>
        <w:tc>
          <w:tcPr>
            <w:tcW w:w="18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18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Other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31,397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38,462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assets (b)</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5,170,940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5,111,079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5,199,726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common equity to tangible assets (a)/(b)</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Tangible book value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common equity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457,662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445,929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409,059</w:t>
            </w:r>
          </w:p>
        </w:tc>
        <w:tc>
          <w:tcPr>
            <w:tcW w:w="18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common shares issued and outstanding (c)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book value per common share (a)/(c)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302" w:type="dxa"/>
        <w:jc w:val="left"/>
        <w:tblInd w:w="0" w:type="dxa"/>
        <w:tblLayout w:type="fixed"/>
        <w:tblCellMar>
          <w:top w:w="0" w:type="dxa"/>
          <w:left w:w="0" w:type="dxa"/>
          <w:bottom w:w="0" w:type="dxa"/>
          <w:right w:w="0" w:type="dxa"/>
        </w:tblCellMar>
      </w:tblPr>
      <w:tblGrid>
        <w:gridCol w:w="5555"/>
        <w:gridCol w:w="60"/>
        <w:gridCol w:w="135"/>
        <w:gridCol w:w="754"/>
        <w:gridCol w:w="185"/>
        <w:gridCol w:w="60"/>
        <w:gridCol w:w="178"/>
        <w:gridCol w:w="996"/>
        <w:gridCol w:w="245"/>
        <w:gridCol w:w="60"/>
        <w:gridCol w:w="135"/>
        <w:gridCol w:w="754"/>
        <w:gridCol w:w="185"/>
      </w:tblGrid>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555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and shares in thousands,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55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Return on Average Tangible Common Equity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(33,050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13,315</w:t>
            </w:r>
          </w:p>
        </w:tc>
        <w:tc>
          <w:tcPr>
            <w:tcW w:w="185" w:type="dxa"/>
            <w:tcBorders/>
            <w:shd w:fill="FFFFFF" w:val="clear"/>
            <w:vAlign w:val="center"/>
          </w:tcPr>
          <w:p>
            <w:pPr>
              <w:pStyle w:val="TableContents"/>
              <w:bidi w:val="0"/>
              <w:spacing w:before="0" w:after="283"/>
              <w:ind w:left="180" w:right="0" w:hanging="0"/>
              <w:jc w:val="left"/>
              <w:rPr/>
            </w:pPr>
            <w:r>
              <w:rPr/>
              <w:t> </w:t>
            </w:r>
          </w:p>
        </w:tc>
      </w:tr>
      <w:tr>
        <w:trPr/>
        <w:tc>
          <w:tcPr>
            <w:tcW w:w="5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Intangible amortization expense (net of tax) (1)</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1,882</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540" w:right="0" w:hanging="0"/>
              <w:jc w:val="left"/>
              <w:rPr/>
            </w:pPr>
            <w:r>
              <w:rPr/>
              <w:t> </w:t>
            </w:r>
          </w:p>
        </w:tc>
      </w:tr>
      <w:tr>
        <w:trPr/>
        <w:tc>
          <w:tcPr>
            <w:tcW w:w="555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excluding intangible amortization (d)</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15,456</w:t>
            </w:r>
          </w:p>
        </w:tc>
        <w:tc>
          <w:tcPr>
            <w:tcW w:w="185" w:type="dxa"/>
            <w:tcBorders/>
            <w:shd w:fill="FFFFFF" w:val="clear"/>
            <w:vAlign w:val="center"/>
          </w:tcPr>
          <w:p>
            <w:pPr>
              <w:pStyle w:val="TableContents"/>
              <w:bidi w:val="0"/>
              <w:spacing w:before="0" w:after="283"/>
              <w:ind w:left="180" w:right="0" w:hanging="0"/>
              <w:jc w:val="left"/>
              <w:rPr/>
            </w:pPr>
            <w:r>
              <w:rPr/>
              <w:t> </w:t>
            </w:r>
          </w:p>
        </w:tc>
      </w:tr>
      <w:tr>
        <w:trPr/>
        <w:tc>
          <w:tcPr>
            <w:tcW w:w="5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total equity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566,563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552,106</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499,224</w:t>
            </w:r>
          </w:p>
        </w:tc>
        <w:tc>
          <w:tcPr>
            <w:tcW w:w="185" w:type="dxa"/>
            <w:tcBorders/>
            <w:shd w:fill="CCEEFF" w:val="cle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Average goodwill</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185" w:type="dxa"/>
            <w:tcBorders/>
            <w:shd w:fill="FFFFFF" w:val="clear"/>
            <w:vAlign w:val="center"/>
          </w:tcPr>
          <w:p>
            <w:pPr>
              <w:pStyle w:val="TableContents"/>
              <w:bidi w:val="0"/>
              <w:spacing w:before="0" w:after="283"/>
              <w:ind w:left="180" w:right="0" w:hanging="0"/>
              <w:jc w:val="left"/>
              <w:rPr/>
            </w:pPr>
            <w:r>
              <w:rPr/>
              <w:t> </w:t>
            </w:r>
          </w:p>
        </w:tc>
      </w:tr>
      <w:tr>
        <w:trPr/>
        <w:tc>
          <w:tcPr>
            <w:tcW w:w="5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Average other intangible assets (net of tax) (1)</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33,718</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540" w:right="0" w:hanging="0"/>
              <w:jc w:val="left"/>
              <w:rPr/>
            </w:pPr>
            <w:r>
              <w:rPr/>
              <w:t> </w:t>
            </w:r>
          </w:p>
        </w:tc>
      </w:tr>
      <w:tr>
        <w:trPr/>
        <w:tc>
          <w:tcPr>
            <w:tcW w:w="555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tangible common equity (e)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455,265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439,202</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379,872</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720" w:right="0" w:hanging="0"/>
              <w:jc w:val="left"/>
              <w:rPr/>
            </w:pPr>
            <w:r>
              <w:rPr/>
              <w:t> </w:t>
            </w:r>
          </w:p>
        </w:tc>
      </w:tr>
      <w:tr>
        <w:trPr/>
        <w:tc>
          <w:tcPr>
            <w:tcW w:w="555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tangible common equity (d)/(e)</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Efficiency ratio</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180" w:right="0" w:hanging="0"/>
              <w:jc w:val="left"/>
              <w:rPr/>
            </w:pPr>
            <w:r>
              <w:rPr/>
              <w:t> </w:t>
            </w:r>
          </w:p>
        </w:tc>
      </w:tr>
      <w:tr>
        <w:trPr/>
        <w:tc>
          <w:tcPr>
            <w:tcW w:w="5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51,881</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50,365</w:t>
            </w:r>
          </w:p>
        </w:tc>
        <w:tc>
          <w:tcPr>
            <w:tcW w:w="185" w:type="dxa"/>
            <w:tcBorders/>
            <w:shd w:fill="CCEEFF" w:val="cle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Intangible amortization expense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2,382</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540" w:right="0" w:hanging="0"/>
              <w:jc w:val="left"/>
              <w:rPr/>
            </w:pPr>
            <w:r>
              <w:rPr/>
              <w:t> </w:t>
            </w:r>
          </w:p>
        </w:tc>
      </w:tr>
      <w:tr>
        <w:trPr/>
        <w:tc>
          <w:tcPr>
            <w:tcW w:w="555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expense (f)</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48,418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49,499</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47,655</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(v)</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41,157</w:t>
            </w:r>
          </w:p>
        </w:tc>
        <w:tc>
          <w:tcPr>
            <w:tcW w:w="185" w:type="dxa"/>
            <w:tcBorders/>
            <w:shd w:fill="FFFFFF" w:val="clear"/>
            <w:vAlign w:val="center"/>
          </w:tcPr>
          <w:p>
            <w:pPr>
              <w:pStyle w:val="TableContents"/>
              <w:bidi w:val="0"/>
              <w:spacing w:before="0" w:after="283"/>
              <w:ind w:left="180" w:right="0" w:hanging="0"/>
              <w:jc w:val="left"/>
              <w:rPr/>
            </w:pPr>
            <w:r>
              <w:rPr/>
              <w:t> </w:t>
            </w:r>
          </w:p>
        </w:tc>
      </w:tr>
      <w:tr>
        <w:trPr/>
        <w:tc>
          <w:tcPr>
            <w:tcW w:w="5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(36,949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27,632</w:t>
            </w:r>
          </w:p>
        </w:tc>
        <w:tc>
          <w:tcPr>
            <w:tcW w:w="185" w:type="dxa"/>
            <w:tcBorders/>
            <w:shd w:fill="CCEEFF" w:val="cle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Tax-equivalent adjustment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540" w:right="0" w:hanging="0"/>
              <w:jc w:val="left"/>
              <w:rPr/>
            </w:pPr>
            <w:r>
              <w:rPr/>
              <w:t> </w:t>
            </w:r>
          </w:p>
        </w:tc>
      </w:tr>
      <w:tr>
        <w:trPr/>
        <w:tc>
          <w:tcPr>
            <w:tcW w:w="555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tax-equivalent revenue (g)</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76,378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8,879</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69,309</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720" w:right="0" w:hanging="0"/>
              <w:jc w:val="left"/>
              <w:rPr/>
            </w:pPr>
            <w:r>
              <w:rPr/>
              <w:t> </w:t>
            </w:r>
          </w:p>
        </w:tc>
      </w:tr>
      <w:tr>
        <w:trPr/>
        <w:tc>
          <w:tcPr>
            <w:tcW w:w="5555"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Efficiency ratio (f)/(g)</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63.39</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557.48</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68.76</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Pre-Provision Net Revenue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41,157</w:t>
            </w:r>
          </w:p>
        </w:tc>
        <w:tc>
          <w:tcPr>
            <w:tcW w:w="185" w:type="dxa"/>
            <w:tcBorders/>
            <w:shd w:fill="FFFFFF" w:val="clear"/>
            <w:vAlign w:val="center"/>
          </w:tcPr>
          <w:p>
            <w:pPr>
              <w:pStyle w:val="TableContents"/>
              <w:bidi w:val="0"/>
              <w:spacing w:before="0" w:after="283"/>
              <w:ind w:left="180" w:right="0" w:hanging="0"/>
              <w:jc w:val="left"/>
              <w:rPr/>
            </w:pPr>
            <w:r>
              <w:rPr/>
              <w:t> </w:t>
            </w:r>
          </w:p>
        </w:tc>
      </w:tr>
      <w:tr>
        <w:trPr/>
        <w:tc>
          <w:tcPr>
            <w:tcW w:w="5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Noninterest income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(36,949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27,632</w:t>
            </w:r>
          </w:p>
        </w:tc>
        <w:tc>
          <w:tcPr>
            <w:tcW w:w="185" w:type="dxa"/>
            <w:tcBorders/>
            <w:shd w:fill="CCEEFF" w:val="cle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Noninterest expense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51,881</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50,365</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720" w:right="0" w:hanging="0"/>
              <w:jc w:val="left"/>
              <w:rPr/>
            </w:pPr>
            <w:r>
              <w:rPr/>
              <w:t> </w:t>
            </w:r>
          </w:p>
        </w:tc>
      </w:tr>
      <w:tr>
        <w:trPr/>
        <w:tc>
          <w:tcPr>
            <w:tcW w:w="555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Pre-provision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(43,656</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18,424</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55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Noninterest Income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180" w:right="0" w:hanging="0"/>
              <w:jc w:val="left"/>
              <w:rPr/>
            </w:pPr>
            <w:r>
              <w:rPr/>
              <w:t> </w:t>
            </w:r>
          </w:p>
        </w:tc>
      </w:tr>
      <w:tr>
        <w:trPr/>
        <w:tc>
          <w:tcPr>
            <w:tcW w:w="5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(36,949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27,632</w:t>
            </w:r>
          </w:p>
        </w:tc>
        <w:tc>
          <w:tcPr>
            <w:tcW w:w="185" w:type="dxa"/>
            <w:tcBorders/>
            <w:shd w:fill="CCEEFF" w:val="cle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Adjusted noninterest income items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555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gains (losses) on investment securities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ind w:left="360" w:right="0" w:hanging="0"/>
              <w:jc w:val="left"/>
              <w:rPr/>
            </w:pPr>
            <w:r>
              <w:rPr/>
              <w:t> </w:t>
            </w:r>
          </w:p>
        </w:tc>
      </w:tr>
      <w:tr>
        <w:trPr/>
        <w:tc>
          <w:tcPr>
            <w:tcW w:w="55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 on sale of premises and equipment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540" w:right="0" w:hanging="0"/>
              <w:jc w:val="left"/>
              <w:rPr/>
            </w:pPr>
            <w:r>
              <w:rPr/>
              <w:t> </w:t>
            </w:r>
          </w:p>
        </w:tc>
      </w:tr>
      <w:tr>
        <w:trPr/>
        <w:tc>
          <w:tcPr>
            <w:tcW w:w="555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adjusted noninterest income items (h)</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(68,848</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5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income (i)</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30,868</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31,899</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27,632</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55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Noninterest (Loss) Income as a Percentage of Revenue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income (i)</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30,868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31,899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27,632</w:t>
            </w:r>
          </w:p>
        </w:tc>
        <w:tc>
          <w:tcPr>
            <w:tcW w:w="185" w:type="dxa"/>
            <w:tcBorders/>
            <w:shd w:fill="FFFFFF" w:val="clear"/>
            <w:vAlign w:val="center"/>
          </w:tcPr>
          <w:p>
            <w:pPr>
              <w:pStyle w:val="TableContents"/>
              <w:bidi w:val="0"/>
              <w:spacing w:before="0" w:after="283"/>
              <w:ind w:left="180" w:right="0" w:hanging="0"/>
              <w:jc w:val="left"/>
              <w:rPr/>
            </w:pPr>
            <w:r>
              <w:rPr/>
              <w:t> </w:t>
            </w:r>
          </w:p>
        </w:tc>
      </w:tr>
      <w:tr>
        <w:trPr/>
        <w:tc>
          <w:tcPr>
            <w:tcW w:w="5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(v)</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45,174</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41,157</w:t>
            </w:r>
          </w:p>
        </w:tc>
        <w:tc>
          <w:tcPr>
            <w:tcW w:w="185" w:type="dxa"/>
            <w:tcBorders/>
            <w:shd w:fill="CCEEFF" w:val="clear"/>
            <w:vAlign w:val="center"/>
          </w:tcPr>
          <w:p>
            <w:pPr>
              <w:pStyle w:val="TableContents"/>
              <w:bidi w:val="0"/>
              <w:spacing w:before="0" w:after="283"/>
              <w:ind w:left="360" w:right="0" w:hanging="0"/>
              <w:jc w:val="left"/>
              <w:rPr/>
            </w:pPr>
            <w:r>
              <w:rPr/>
              <w:t> </w:t>
            </w:r>
          </w:p>
        </w:tc>
      </w:tr>
      <w:tr>
        <w:trPr/>
        <w:tc>
          <w:tcPr>
            <w:tcW w:w="55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revenue (w)</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75,780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77,073</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68,789</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540" w:right="0" w:hanging="0"/>
              <w:jc w:val="left"/>
              <w:rPr/>
            </w:pPr>
            <w:r>
              <w:rPr/>
              <w:t> </w:t>
            </w:r>
          </w:p>
        </w:tc>
      </w:tr>
      <w:tr>
        <w:trPr/>
        <w:tc>
          <w:tcPr>
            <w:tcW w:w="555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(loss) income as a percentage of revenue (i)/(w)</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41.39</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40.17</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Noninterest Expense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180" w:right="0" w:hanging="0"/>
              <w:jc w:val="left"/>
              <w:rPr/>
            </w:pPr>
            <w:r>
              <w:rPr/>
              <w:t> </w:t>
            </w:r>
          </w:p>
        </w:tc>
      </w:tr>
      <w:tr>
        <w:trPr/>
        <w:tc>
          <w:tcPr>
            <w:tcW w:w="5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51,881</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50,365</w:t>
            </w:r>
          </w:p>
        </w:tc>
        <w:tc>
          <w:tcPr>
            <w:tcW w:w="185" w:type="dxa"/>
            <w:tcBorders/>
            <w:shd w:fill="CCEEFF" w:val="cle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Adjusted noninterest expense items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360" w:right="0" w:hanging="0"/>
              <w:jc w:val="left"/>
              <w:rPr/>
            </w:pPr>
            <w:r>
              <w:rPr/>
              <w:t> </w:t>
            </w:r>
          </w:p>
        </w:tc>
      </w:tr>
      <w:tr>
        <w:trPr/>
        <w:tc>
          <w:tcPr>
            <w:tcW w:w="55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HMNF merger- and acquisition-related expenses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5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 signing bonus expense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540" w:right="0" w:hanging="0"/>
              <w:jc w:val="left"/>
              <w:rPr/>
            </w:pPr>
            <w:r>
              <w:rPr/>
              <w:t> </w:t>
            </w:r>
          </w:p>
        </w:tc>
      </w:tr>
      <w:tr>
        <w:trPr/>
        <w:tc>
          <w:tcPr>
            <w:tcW w:w="555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adjusted noninterest expense items (j)</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noninterest expense (k)</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50,259</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51,781</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49,052</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55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Pre-Provision Net Revenue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41,157</w:t>
            </w:r>
          </w:p>
        </w:tc>
        <w:tc>
          <w:tcPr>
            <w:tcW w:w="185" w:type="dxa"/>
            <w:tcBorders/>
            <w:shd w:fill="FFFFFF" w:val="clear"/>
            <w:vAlign w:val="center"/>
          </w:tcPr>
          <w:p>
            <w:pPr>
              <w:pStyle w:val="TableContents"/>
              <w:bidi w:val="0"/>
              <w:spacing w:before="0" w:after="283"/>
              <w:ind w:left="180" w:right="0" w:hanging="0"/>
              <w:jc w:val="left"/>
              <w:rPr/>
            </w:pPr>
            <w:r>
              <w:rPr/>
              <w:t> </w:t>
            </w:r>
          </w:p>
        </w:tc>
      </w:tr>
      <w:tr>
        <w:trPr/>
        <w:tc>
          <w:tcPr>
            <w:tcW w:w="5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Adjusted noninterest income (i)</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31,899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27,632</w:t>
            </w:r>
          </w:p>
        </w:tc>
        <w:tc>
          <w:tcPr>
            <w:tcW w:w="185" w:type="dxa"/>
            <w:tcBorders/>
            <w:shd w:fill="CCEEFF" w:val="clear"/>
            <w:vAlign w:val="center"/>
          </w:tcPr>
          <w:p>
            <w:pPr>
              <w:pStyle w:val="TableContents"/>
              <w:bidi w:val="0"/>
              <w:spacing w:before="0" w:after="283"/>
              <w:ind w:left="180" w:right="0" w:hanging="0"/>
              <w:jc w:val="left"/>
              <w:rPr/>
            </w:pPr>
            <w:r>
              <w:rPr/>
              <w:t> </w:t>
            </w:r>
          </w:p>
        </w:tc>
      </w:tr>
      <w:tr>
        <w:trPr/>
        <w:tc>
          <w:tcPr>
            <w:tcW w:w="55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Adjusted noninterest expense (k)</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50,259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51,781</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49,052</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720" w:right="0" w:hanging="0"/>
              <w:jc w:val="left"/>
              <w:rPr/>
            </w:pPr>
            <w:r>
              <w:rPr/>
              <w:t> </w:t>
            </w:r>
          </w:p>
        </w:tc>
      </w:tr>
      <w:tr>
        <w:trPr/>
        <w:tc>
          <w:tcPr>
            <w:tcW w:w="555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pre-provision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25,292</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5230" w:type="dxa"/>
        <w:jc w:val="left"/>
        <w:tblInd w:w="0" w:type="dxa"/>
        <w:tblLayout w:type="fixed"/>
        <w:tblCellMar>
          <w:top w:w="0" w:type="dxa"/>
          <w:left w:w="0" w:type="dxa"/>
          <w:bottom w:w="0" w:type="dxa"/>
          <w:right w:w="0" w:type="dxa"/>
        </w:tblCellMar>
      </w:tblPr>
      <w:tblGrid>
        <w:gridCol w:w="230"/>
        <w:gridCol w:w="500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5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Items calculated after-tax utilizing a marginal income tax rate of 21.0%.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322"/>
        <w:gridCol w:w="60"/>
        <w:gridCol w:w="125"/>
        <w:gridCol w:w="845"/>
        <w:gridCol w:w="185"/>
        <w:gridCol w:w="60"/>
        <w:gridCol w:w="148"/>
        <w:gridCol w:w="1005"/>
        <w:gridCol w:w="239"/>
        <w:gridCol w:w="60"/>
        <w:gridCol w:w="125"/>
        <w:gridCol w:w="845"/>
        <w:gridCol w:w="186"/>
      </w:tblGrid>
      <w:tr>
        <w:trPr/>
        <w:tc>
          <w:tcPr>
            <w:tcW w:w="63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3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6" w:type="dxa"/>
            <w:tcBorders/>
            <w:shd w:fill="FFFFFF"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and shares in thousands,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Efficiency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Adjusted noninterest expense (k)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50,259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51,781</w:t>
            </w:r>
          </w:p>
        </w:tc>
        <w:tc>
          <w:tcPr>
            <w:tcW w:w="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49,052</w:t>
            </w:r>
          </w:p>
        </w:tc>
        <w:tc>
          <w:tcPr>
            <w:tcW w:w="186" w:type="dxa"/>
            <w:tcBorders/>
            <w:shd w:fill="FFFFFF" w:val="clear"/>
            <w:vAlign w:val="center"/>
          </w:tcPr>
          <w:p>
            <w:pPr>
              <w:pStyle w:val="TableContents"/>
              <w:bidi w:val="0"/>
              <w:spacing w:before="0" w:after="283"/>
              <w:ind w:left="0" w:right="0" w:hanging="0"/>
              <w:jc w:val="left"/>
              <w:rPr/>
            </w:pPr>
            <w:r>
              <w:rPr/>
              <w:t> </w:t>
            </w:r>
          </w:p>
        </w:tc>
      </w:tr>
      <w:tr>
        <w:trPr/>
        <w:tc>
          <w:tcPr>
            <w:tcW w:w="6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Intangible amortization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w:t>
            </w:r>
          </w:p>
        </w:tc>
        <w:tc>
          <w:tcPr>
            <w:tcW w:w="23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2,710</w:t>
            </w:r>
          </w:p>
        </w:tc>
        <w:tc>
          <w:tcPr>
            <w:tcW w:w="186" w:type="dxa"/>
            <w:tcBorders/>
            <w:shd w:fill="CCEEFF" w:val="clear"/>
            <w:vAlign w:val="center"/>
          </w:tcPr>
          <w:p>
            <w:pPr>
              <w:pStyle w:val="TableContents"/>
              <w:bidi w:val="0"/>
              <w:spacing w:before="0" w:after="0"/>
              <w:jc w:val="left"/>
              <w:rPr/>
            </w:pPr>
            <w:r>
              <w:rPr/>
              <w:t> </w:t>
            </w:r>
          </w:p>
        </w:tc>
      </w:tr>
      <w:tr>
        <w:trPr/>
        <w:tc>
          <w:tcPr>
            <w:tcW w:w="6322"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Adjusted noninterest expense for efficiency ratio (l)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49,399</w:t>
            </w:r>
          </w:p>
        </w:tc>
        <w:tc>
          <w:tcPr>
            <w:tcW w:w="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46,342</w:t>
            </w:r>
          </w:p>
        </w:tc>
        <w:tc>
          <w:tcPr>
            <w:tcW w:w="186" w:type="dxa"/>
            <w:tcBorders/>
            <w:shd w:fill="FFFFFF" w:val="cle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Tax-equivalent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Net 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44,912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45,174</w:t>
            </w:r>
          </w:p>
        </w:tc>
        <w:tc>
          <w:tcPr>
            <w:tcW w:w="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41,157</w:t>
            </w:r>
          </w:p>
        </w:tc>
        <w:tc>
          <w:tcPr>
            <w:tcW w:w="186" w:type="dxa"/>
            <w:tcBorders/>
            <w:shd w:fill="FFFFFF" w:val="cle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Add: Adjusted noninterest income (i)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31,899</w:t>
            </w:r>
          </w:p>
        </w:tc>
        <w:tc>
          <w:tcPr>
            <w:tcW w:w="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27,632</w:t>
            </w:r>
          </w:p>
        </w:tc>
        <w:tc>
          <w:tcPr>
            <w:tcW w:w="186" w:type="dxa"/>
            <w:tcBorders/>
            <w:shd w:fill="CCEEFF" w:val="clear"/>
            <w:vAlign w:val="center"/>
          </w:tcPr>
          <w:p>
            <w:pPr>
              <w:pStyle w:val="TableContents"/>
              <w:bidi w:val="0"/>
              <w:spacing w:before="0" w:after="283"/>
              <w:ind w:left="0" w:right="0" w:hanging="0"/>
              <w:jc w:val="left"/>
              <w:rPr/>
            </w:pPr>
            <w:r>
              <w:rPr/>
              <w:t> </w:t>
            </w:r>
          </w:p>
        </w:tc>
      </w:tr>
      <w:tr>
        <w:trPr/>
        <w:tc>
          <w:tcPr>
            <w:tcW w:w="632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Tax-equivalent adjustment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23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186" w:type="dxa"/>
            <w:tcBorders/>
            <w:shd w:fill="FFFFFF" w:val="clear"/>
            <w:vAlign w:val="center"/>
          </w:tcPr>
          <w:p>
            <w:pPr>
              <w:pStyle w:val="TableContents"/>
              <w:bidi w:val="0"/>
              <w:spacing w:before="0" w:after="0"/>
              <w:ind w:left="0" w:right="0" w:hanging="0"/>
              <w:jc w:val="left"/>
              <w:rPr/>
            </w:pPr>
            <w:r>
              <w:rPr/>
              <w:t> </w:t>
            </w:r>
          </w:p>
        </w:tc>
      </w:tr>
      <w:tr>
        <w:trPr/>
        <w:tc>
          <w:tcPr>
            <w:tcW w:w="6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tax-equivalent revenue (m)</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77,727</w:t>
            </w:r>
          </w:p>
        </w:tc>
        <w:tc>
          <w:tcPr>
            <w:tcW w:w="23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69,309</w:t>
            </w:r>
          </w:p>
        </w:tc>
        <w:tc>
          <w:tcPr>
            <w:tcW w:w="186" w:type="dxa"/>
            <w:tcBorders/>
            <w:shd w:fill="CCEEFF" w:val="clear"/>
            <w:vAlign w:val="center"/>
          </w:tcPr>
          <w:p>
            <w:pPr>
              <w:pStyle w:val="TableContents"/>
              <w:bidi w:val="0"/>
              <w:spacing w:before="0" w:after="0"/>
              <w:ind w:left="0" w:right="0" w:hanging="0"/>
              <w:jc w:val="left"/>
              <w:rPr/>
            </w:pPr>
            <w:r>
              <w:rPr/>
              <w:t> </w:t>
            </w:r>
          </w:p>
        </w:tc>
      </w:tr>
      <w:tr>
        <w:trPr/>
        <w:tc>
          <w:tcPr>
            <w:tcW w:w="632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efficiency ratio (l)/(m)</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63.20</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63.55</w:t>
            </w:r>
          </w:p>
        </w:tc>
        <w:tc>
          <w:tcPr>
            <w:tcW w:w="23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66.86</w:t>
            </w:r>
          </w:p>
        </w:tc>
        <w:tc>
          <w:tcPr>
            <w:tcW w:w="186"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32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(33,050</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13,315</w:t>
            </w:r>
          </w:p>
        </w:tc>
        <w:tc>
          <w:tcPr>
            <w:tcW w:w="186" w:type="dxa"/>
            <w:tcBorders/>
            <w:shd w:fill="FFFFFF" w:val="cle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Adjusted noninterest income items (net of tax) (1) (h)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(54,390</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186" w:type="dxa"/>
            <w:tcBorders/>
            <w:shd w:fill="CCEEFF"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Adjusted noninterest expense items (net of tax) (1) (j)</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2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21,420</w:t>
            </w:r>
          </w:p>
        </w:tc>
        <w:tc>
          <w:tcPr>
            <w:tcW w:w="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14,352</w:t>
            </w:r>
          </w:p>
        </w:tc>
        <w:tc>
          <w:tcPr>
            <w:tcW w:w="186" w:type="dxa"/>
            <w:tcBorders/>
            <w:shd w:fill="CCEEFF"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Return on Average 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total assets (o)</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5,218,515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5,252,046</w:t>
            </w:r>
          </w:p>
        </w:tc>
        <w:tc>
          <w:tcPr>
            <w:tcW w:w="2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5,272,319</w:t>
            </w:r>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return on average total assets (n)/(o)</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Return on Average Tangible Common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21,420</w:t>
            </w:r>
          </w:p>
        </w:tc>
        <w:tc>
          <w:tcPr>
            <w:tcW w:w="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14,352</w:t>
            </w:r>
          </w:p>
        </w:tc>
        <w:tc>
          <w:tcPr>
            <w:tcW w:w="186" w:type="dxa"/>
            <w:tcBorders/>
            <w:shd w:fill="FFFFFF" w:val="cle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Intangible amortization expense (net of tax)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1,882</w:t>
            </w:r>
          </w:p>
        </w:tc>
        <w:tc>
          <w:tcPr>
            <w:tcW w:w="2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w:t>
            </w:r>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excluding intangible amortization (p)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23,302</w:t>
            </w:r>
          </w:p>
        </w:tc>
        <w:tc>
          <w:tcPr>
            <w:tcW w:w="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16,493</w:t>
            </w:r>
          </w:p>
        </w:tc>
        <w:tc>
          <w:tcPr>
            <w:tcW w:w="186" w:type="dxa"/>
            <w:tcBorders/>
            <w:shd w:fill="FFFFFF" w:val="cle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total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566,563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552,106</w:t>
            </w:r>
          </w:p>
        </w:tc>
        <w:tc>
          <w:tcPr>
            <w:tcW w:w="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499,224</w:t>
            </w:r>
          </w:p>
        </w:tc>
        <w:tc>
          <w:tcPr>
            <w:tcW w:w="186" w:type="dxa"/>
            <w:tcBorders/>
            <w:shd w:fill="CCEEFF"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Average 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85,634</w:t>
            </w:r>
          </w:p>
        </w:tc>
        <w:tc>
          <w:tcPr>
            <w:tcW w:w="186" w:type="dxa"/>
            <w:tcBorders/>
            <w:shd w:fill="FFFFFF" w:val="cle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Average other intangible assets (net of tax)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27,270</w:t>
            </w:r>
          </w:p>
        </w:tc>
        <w:tc>
          <w:tcPr>
            <w:tcW w:w="2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33,718</w:t>
            </w:r>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tangible common equity (q)</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455,265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439,202</w:t>
            </w:r>
          </w:p>
        </w:tc>
        <w:tc>
          <w:tcPr>
            <w:tcW w:w="2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379,872</w:t>
            </w:r>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return on average tangible common equity (p)/(q)</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Earnings Per Common Share −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21,420</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14,352</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Dividends and undistributed earnings allocated to participating securities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23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available to common stockholders (r)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21,882</w:t>
            </w:r>
          </w:p>
        </w:tc>
        <w:tc>
          <w:tcPr>
            <w:tcW w:w="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14,306</w:t>
            </w:r>
          </w:p>
        </w:tc>
        <w:tc>
          <w:tcPr>
            <w:tcW w:w="186" w:type="dxa"/>
            <w:tcBorders/>
            <w:shd w:fill="CCEEFF"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for diluted earnings per share (s)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25,710</w:t>
            </w:r>
          </w:p>
        </w:tc>
        <w:tc>
          <w:tcPr>
            <w:tcW w:w="2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25,653</w:t>
            </w:r>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earnings per common share − diluted (r)/(s)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0.85</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0.56</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Charge-Offs (Recoveries) to Average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 (recoveries) (t)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186" w:type="dxa"/>
            <w:tcBorders/>
            <w:shd w:fill="CCEEFF"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total loans (u)</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4,029,719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4,079,084</w:t>
            </w:r>
          </w:p>
        </w:tc>
        <w:tc>
          <w:tcPr>
            <w:tcW w:w="2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4,022,863</w:t>
            </w:r>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 (recoveries) to average loans (t)/(u)</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2"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Margin (on a Tax-Equivalent Basis)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r>
      <w:tr>
        <w:trPr/>
        <w:tc>
          <w:tcPr>
            <w:tcW w:w="6322"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Net interest income (v)</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44,912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45,174</w:t>
            </w:r>
          </w:p>
        </w:tc>
        <w:tc>
          <w:tcPr>
            <w:tcW w:w="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41,157</w:t>
            </w:r>
          </w:p>
        </w:tc>
        <w:tc>
          <w:tcPr>
            <w:tcW w:w="186" w:type="dxa"/>
            <w:tcBorders/>
            <w:shd w:fill="CCEEFF" w:val="clear"/>
            <w:vAlign w:val="center"/>
          </w:tcPr>
          <w:p>
            <w:pPr>
              <w:pStyle w:val="TableContents"/>
              <w:bidi w:val="0"/>
              <w:spacing w:before="0" w:after="283"/>
              <w:ind w:left="0" w:right="0" w:hanging="0"/>
              <w:jc w:val="left"/>
              <w:rPr/>
            </w:pPr>
            <w:r>
              <w:rPr/>
              <w:t> </w:t>
            </w:r>
          </w:p>
        </w:tc>
      </w:tr>
      <w:tr>
        <w:trPr/>
        <w:tc>
          <w:tcPr>
            <w:tcW w:w="632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Tax equivalent adjustment for loans and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2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322"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Net interest income (on a tax-equivalent basis) (1) (w)</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45,531</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45,828</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41,677</w:t>
            </w:r>
          </w:p>
        </w:tc>
        <w:tc>
          <w:tcPr>
            <w:tcW w:w="1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632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earning assets (x)</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4,901,399</w:t>
            </w:r>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4,926,530</w:t>
            </w:r>
          </w:p>
        </w:tc>
        <w:tc>
          <w:tcPr>
            <w:tcW w:w="2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4,949,729</w:t>
            </w:r>
          </w:p>
        </w:tc>
        <w:tc>
          <w:tcPr>
            <w:tcW w:w="1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322"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Net interest margin (on a tax-equivalent basis) (1) (w)/(x)</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186" w:type="dxa"/>
            <w:tcBorders>
              <w:bottom w:val="double" w:sz="6"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5275" w:type="dxa"/>
        <w:jc w:val="left"/>
        <w:tblInd w:w="0" w:type="dxa"/>
        <w:tblLayout w:type="fixed"/>
        <w:tblCellMar>
          <w:top w:w="0" w:type="dxa"/>
          <w:left w:w="0" w:type="dxa"/>
          <w:bottom w:w="0" w:type="dxa"/>
          <w:right w:w="0" w:type="dxa"/>
        </w:tblCellMar>
      </w:tblPr>
      <w:tblGrid>
        <w:gridCol w:w="230"/>
        <w:gridCol w:w="504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5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Items calculated after-tax utilizing a marginal income tax rate of 21.0%.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Discussion and Analysis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income for the three months ended March 31, 2026, was $23.0 million, or $0.89 per diluted common share, a $9.7 million, or 72.5%, increase compared to $13.3 million, or $0.52 per diluted common share, for the three months ended March 31, 2025. Earnings for the first quarter of 2026 compared to the first quarter of 2025 increased primarily due to an increase in net interest income of $3.8 million and a decrease in the provision for (recovery of) credit losses of $5.7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interest income is the difference between interest income and yield related fees earned on assets and interest expense paid on liabilities. Net interest margin is the difference between the yield on interest earning assets and the cost of interest-bearing liabilities as a percentage of interest earning assets. Net interest margin is presented on a tax-equivalent basis, which means that tax-free interest income has been adjusted to a pre-tax-equivalent income, assuming a federal income tax rate of 21% for the three months ended March 31,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interest income for the three months ended March 31, 2026 was $44.9 million, an increase of $3.8 million, or 9.1%, compared to $41.2 million for the three months ended March 31, 2025. The increase in net interest income for the first quarter of 2026 compared to the first quarter of 2025 was primarily due to higher interest income on investment securities following the strategic balance sheet repositioning in the fourth quarter of 2025, partially offset by less purchase accounting accretion. Interest expense decreased $5.0 million, or 18.4%, from the first quarter of 2025, as the average rates paid on deposits and borrowings declined.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interest margin (on a tax-equivalent basis), a non-GAAP financial measure, for the three months ended March 31, 2026 was 3.77%, compared to 3.41% for the same period in 2025. The increase was mainly attributable to lower cost of funds and higher yields on investment securities.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average balance sheet information, interest income, interest expense and the corresponding average yields on assets, average yields earned, and rates paid for the three months ended March 31, 2026 and 2025. The Company derived these yields and rates by dividing income or expense by the average balance of the corresponding assets or liabilities. The Company derived average balances from the daily balances throughout the periods indicated. Average loan balances include loans that have been placed on nonaccrual status, while interest previously accrued on these loans is reversed against interest income. In these tables, adjustments are made to the yields on tax</w:t>
        <w:noBreakHyphen/>
        <w:t>exempt assets in order to present tax</w:t>
        <w:noBreakHyphen/>
        <w:t>exempt income and fully taxable income on a fully taxable equivalent (“FTE”) basis.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65"/>
        <w:gridCol w:w="60"/>
        <w:gridCol w:w="125"/>
        <w:gridCol w:w="845"/>
        <w:gridCol w:w="60"/>
        <w:gridCol w:w="60"/>
        <w:gridCol w:w="126"/>
        <w:gridCol w:w="599"/>
        <w:gridCol w:w="60"/>
        <w:gridCol w:w="60"/>
        <w:gridCol w:w="100"/>
        <w:gridCol w:w="640"/>
        <w:gridCol w:w="185"/>
        <w:gridCol w:w="60"/>
        <w:gridCol w:w="125"/>
        <w:gridCol w:w="845"/>
        <w:gridCol w:w="60"/>
        <w:gridCol w:w="60"/>
        <w:gridCol w:w="126"/>
        <w:gridCol w:w="599"/>
        <w:gridCol w:w="60"/>
        <w:gridCol w:w="60"/>
        <w:gridCol w:w="100"/>
        <w:gridCol w:w="640"/>
        <w:gridCol w:w="185"/>
      </w:tblGrid>
      <w:tr>
        <w:trPr/>
        <w:tc>
          <w:tcPr>
            <w:tcW w:w="4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9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Interest-Earning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deposits with banks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sale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Owner occupied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Construction, land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Multifamily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Non-owner occupied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 − Land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 − Production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First lien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Construction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HELOC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Junior lien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4,029,719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4,022,863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Reserve/FHLB Stock</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22,397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interest-earning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4,901,399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4,949,729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Noninterest-earning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317,116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5,218,515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5,272,319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Interest-Bearing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demand deposits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and savings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 funds purchased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short-term advances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3,739,400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3,835,828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Noninterest-Bearing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noninterest-bearing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566,563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499,224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5,218,515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5,272,319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36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on FTE basis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41,678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36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rate spread on FTE basis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margin on FTE basis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7105" w:type="dxa"/>
        <w:jc w:val="left"/>
        <w:tblInd w:w="0" w:type="dxa"/>
        <w:tblLayout w:type="fixed"/>
        <w:tblCellMar>
          <w:top w:w="0" w:type="dxa"/>
          <w:left w:w="0" w:type="dxa"/>
          <w:bottom w:w="0" w:type="dxa"/>
          <w:right w:w="0" w:type="dxa"/>
        </w:tblCellMar>
      </w:tblPr>
      <w:tblGrid>
        <w:gridCol w:w="230"/>
        <w:gridCol w:w="687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6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Taxable equivalent adjustment was calculated utilizing a marginal income tax rate of 21.0 percent.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Rates and Operating Interest Differential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Increases and decreases in interest income and interest expense result from changes in average balances (volume) of interest earning assets and interest-bearing liabilities, as well as changes in average interest rates. The following table shows the effect that these factors had on the interest earned on interest earning assets and the interest incurred on interest-bearing liabilities. The effect of changes in volume is determined by multiplying the change in volume by the previous period’s average rate. Similarly, the effect of rate changes is calculated by multiplying the change in average rate by the previous period’s volume. </w:t>
      </w:r>
    </w:p>
    <w:p>
      <w:pPr>
        <w:pStyle w:val="TextBody"/>
        <w:bidi w:val="0"/>
        <w:spacing w:before="0" w:after="0"/>
        <w:ind w:left="0" w:right="0" w:hanging="0"/>
        <w:jc w:val="left"/>
        <w:rPr>
          <w:caps w:val="false"/>
          <w:smallCaps w:val="false"/>
        </w:rPr>
      </w:pPr>
      <w:r>
        <w:rPr>
          <w:caps w:val="false"/>
          <w:smallCaps w:val="false"/>
        </w:rPr>
        <w:t> </w:t>
      </w:r>
    </w:p>
    <w:tbl>
      <w:tblPr>
        <w:tblW w:w="6823" w:type="dxa"/>
        <w:jc w:val="left"/>
        <w:tblInd w:w="0" w:type="dxa"/>
        <w:tblLayout w:type="fixed"/>
        <w:tblCellMar>
          <w:top w:w="0" w:type="dxa"/>
          <w:left w:w="0" w:type="dxa"/>
          <w:bottom w:w="0" w:type="dxa"/>
          <w:right w:w="0" w:type="dxa"/>
        </w:tblCellMar>
      </w:tblPr>
      <w:tblGrid>
        <w:gridCol w:w="3575"/>
        <w:gridCol w:w="60"/>
        <w:gridCol w:w="169"/>
        <w:gridCol w:w="741"/>
        <w:gridCol w:w="108"/>
        <w:gridCol w:w="81"/>
        <w:gridCol w:w="169"/>
        <w:gridCol w:w="741"/>
        <w:gridCol w:w="108"/>
        <w:gridCol w:w="81"/>
        <w:gridCol w:w="169"/>
        <w:gridCol w:w="741"/>
        <w:gridCol w:w="80"/>
      </w:tblGrid>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08"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 2026</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08"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Compared with</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0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due to:</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(tax-equivalent basis,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Volume</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Interest-earning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deposits with banks</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 (1)</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1,998</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sale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Construction, land and development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Multifamily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Non-owner occupied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Owner occupied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 − Land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 − Production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First lien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Construction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HELOC</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Junior lien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lineRule="auto" w:line="288"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(1)</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(3,474</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Reserve/FHLB Stock</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income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Interest-bearing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demand deposits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and savings deposits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 funds purchased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short-term advances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(3,609</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net 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Provision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provision for credit losses was comprised of the following components for the periods presented: </w:t>
      </w:r>
    </w:p>
    <w:p>
      <w:pPr>
        <w:pStyle w:val="TextBody"/>
        <w:bidi w:val="0"/>
        <w:spacing w:before="0" w:after="0"/>
        <w:ind w:left="0" w:right="0" w:hanging="0"/>
        <w:jc w:val="left"/>
        <w:rPr>
          <w:caps w:val="false"/>
          <w:smallCaps w:val="false"/>
        </w:rPr>
      </w:pPr>
      <w:r>
        <w:rPr>
          <w:caps w:val="false"/>
          <w:smallCaps w:val="false"/>
        </w:rPr>
        <w:t> </w:t>
      </w:r>
    </w:p>
    <w:tbl>
      <w:tblPr>
        <w:tblW w:w="7064" w:type="dxa"/>
        <w:jc w:val="left"/>
        <w:tblInd w:w="0" w:type="dxa"/>
        <w:tblLayout w:type="fixed"/>
        <w:tblCellMar>
          <w:top w:w="0" w:type="dxa"/>
          <w:left w:w="0" w:type="dxa"/>
          <w:bottom w:w="0" w:type="dxa"/>
          <w:right w:w="0" w:type="dxa"/>
        </w:tblCellMar>
      </w:tblPr>
      <w:tblGrid>
        <w:gridCol w:w="5195"/>
        <w:gridCol w:w="60"/>
        <w:gridCol w:w="146"/>
        <w:gridCol w:w="637"/>
        <w:gridCol w:w="93"/>
        <w:gridCol w:w="70"/>
        <w:gridCol w:w="146"/>
        <w:gridCol w:w="637"/>
        <w:gridCol w:w="80"/>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7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(recovery) for credit losses on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2,407</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(recovery) for credit losses on unfunded commitments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(recovery) for HTM debt securities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(4,888</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recorded a provision release of $4.9 million for the first quarter of 2026, compared to a provision for credit losses of $0.9 million for the first quarter of 2025. The provision release in the first quarter of 2026 was primarily driven by changes to loan balances and loan mix, largely due to decreases in balances in the commercial real estate construction, land and development pool, which is reserved at a higher rate than most other loan pools, in addition to decreases in reserves on individually evaluated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Noninterest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noninterest income is generated from retirement and benefit services, wealth advisory services, mortgage banking, and other general banking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Company’s noninterest income for the three months ended March 31, 2026 and 2025: </w:t>
      </w:r>
    </w:p>
    <w:p>
      <w:pPr>
        <w:pStyle w:val="TextBody"/>
        <w:bidi w:val="0"/>
        <w:spacing w:before="0" w:after="0"/>
        <w:ind w:left="0" w:right="0" w:hanging="0"/>
        <w:jc w:val="left"/>
        <w:rPr>
          <w:caps w:val="false"/>
          <w:smallCaps w:val="false"/>
        </w:rPr>
      </w:pPr>
      <w:r>
        <w:rPr>
          <w:caps w:val="false"/>
          <w:smallCaps w:val="false"/>
        </w:rPr>
        <w:t> </w:t>
      </w:r>
    </w:p>
    <w:tbl>
      <w:tblPr>
        <w:tblW w:w="5038" w:type="dxa"/>
        <w:jc w:val="left"/>
        <w:tblInd w:w="0" w:type="dxa"/>
        <w:tblLayout w:type="fixed"/>
        <w:tblCellMar>
          <w:top w:w="0" w:type="dxa"/>
          <w:left w:w="0" w:type="dxa"/>
          <w:bottom w:w="0" w:type="dxa"/>
          <w:right w:w="0" w:type="dxa"/>
        </w:tblCellMar>
      </w:tblPr>
      <w:tblGrid>
        <w:gridCol w:w="3065"/>
        <w:gridCol w:w="60"/>
        <w:gridCol w:w="129"/>
        <w:gridCol w:w="609"/>
        <w:gridCol w:w="191"/>
        <w:gridCol w:w="61"/>
        <w:gridCol w:w="129"/>
        <w:gridCol w:w="609"/>
        <w:gridCol w:w="185"/>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Retirement and benefit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17,406</w:t>
            </w:r>
          </w:p>
        </w:tc>
        <w:tc>
          <w:tcPr>
            <w:tcW w:w="19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16,106</w:t>
            </w:r>
          </w:p>
        </w:tc>
        <w:tc>
          <w:tcPr>
            <w:tcW w:w="18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Wealth advisory services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7,237</w:t>
            </w:r>
          </w:p>
        </w:tc>
        <w:tc>
          <w:tcPr>
            <w:tcW w:w="19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6,905</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banking</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3,535</w:t>
            </w:r>
          </w:p>
        </w:tc>
        <w:tc>
          <w:tcPr>
            <w:tcW w:w="19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w:t>
            </w:r>
          </w:p>
        </w:tc>
        <w:tc>
          <w:tcPr>
            <w:tcW w:w="18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charges on deposit accounts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w:t>
            </w:r>
          </w:p>
        </w:tc>
        <w:tc>
          <w:tcPr>
            <w:tcW w:w="19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w:t>
            </w:r>
          </w:p>
        </w:tc>
        <w:tc>
          <w:tcPr>
            <w:tcW w:w="1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30,847</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27,632</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 as a % of revenue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noninterest income for the three months ended March 31, 2026 was $30.8 million, an increase of $3.2 million, or 11.6%, from the three months ended March 31, 2025. The increase was driven by an increase in mortgage banking and retirement and benefit services revenues. Mortgage banking revenue increased $2.0 million, or 131.5%, in the first quarter of 2026 compared to the first quarter of 2025, due to an increase in the mortgage servicing asset valuation, as well as increased origination volume and improved gain on sale margin. Retirement and benefit services revenue increased $1.3 million, or 8.1%, in the first quarter of 2026 compared to the first quarter of 2025, primarily driven by both asset-based and transaction-based fees.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See “NOTE 16 Segment Reporting” of the consolidated financial statements and Segment Reporting section below for additional discussion regarding the Company’s business lines.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Noninterest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noninterest expense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6066" w:type="dxa"/>
        <w:jc w:val="left"/>
        <w:tblInd w:w="0" w:type="dxa"/>
        <w:tblLayout w:type="fixed"/>
        <w:tblCellMar>
          <w:top w:w="0" w:type="dxa"/>
          <w:left w:w="0" w:type="dxa"/>
          <w:bottom w:w="0" w:type="dxa"/>
          <w:right w:w="0" w:type="dxa"/>
        </w:tblCellMar>
      </w:tblPr>
      <w:tblGrid>
        <w:gridCol w:w="4220"/>
        <w:gridCol w:w="60"/>
        <w:gridCol w:w="139"/>
        <w:gridCol w:w="658"/>
        <w:gridCol w:w="66"/>
        <w:gridCol w:w="66"/>
        <w:gridCol w:w="139"/>
        <w:gridCol w:w="658"/>
        <w:gridCol w:w="60"/>
      </w:tblGrid>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24,087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22,961</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taxes and benefits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7,762</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 and equipment expense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services, software and technology expense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5,752</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amortization expense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 and assessments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2,996</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business development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Supplies and postage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and lending expenses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50,392</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50,365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noninterest expense for the three months ended March 31, 2026 was $50.4 million, a $27.0 thousand, or 0.1%, increase compared to $50.4 million for the three months ended March 31, 2025. The underlying changes were driven by increases in compensation, professional fees and assessments, and occupancy and equipment expense, offset by decreases in employee taxes and benefits and intangible amortization expense. Compensation increased $1.1 million, or 4.9%, from the first quarter of 2025, primarily due to higher annual bonus expense. Professional fees and assessments increased $0.8 million, or 26.8%, from the first quarter of 2025, primarily due to a reclassification of consulting services and other third-party vendor expenses from business services, software and technology expense to professional fees and assessments. Occupancy and equipment expense increased $0.5 million, or 17.9%, from the first quarter of 2025, primarily driven by facility investments and the strategic realignment of locations from owned to leased space. In the first quarter of 2026, employee taxes and benefits decreased $1.1 million, or 14.5%, from the first quarter of 2025, primarily due to lower claims on group insurance. Intangible amortization expense decreased $0.7 million, or 27.2%, in the first quarter of 2026, primarily due to the annual reset of the $33.5 million core deposit intangible recorded in connection with the HMNF acquisition in the fourth quarter of 2024.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tax expense is an estimate based on the amount the Company expects to owe the applicable taxing authorities, plus the impact of deferred tax items. Accrued taxes represent the net estimated amount due, or to be received from, taxing authorities. In estimating accrued taxes, management assesses the relative merits and risks of the appropriate tax treatment of transactions, taking into account statutory, judicial, and regulatory guidance in the context of the Company’s tax position. If the final resolution of taxes payable differs from the Company’s estimates due to regulatory determination or legislative or judicial actions, adjustments to tax expense may be required.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three months ended March 31, 2026, the Company recognized income tax expense of $7.3 million on $30.3 million of pre-tax income, resulting in an effective tax rate of 24.1%, compared to income tax expense of $4.2 million on $17.6 million of pre-tax income for the three months ended March 31, 2025, resulting in an effective tax rate of 24.2%.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determined reportable segments based on the significance of the services offered, the significance of those services to the Company’s financial condition and operating results, and the Company’s regular review of the operating results of those services. The Company has three operating segments—banking, retirement and benefit services, and wealth advisory services. These segments are components for which financial information is prepared and evaluated regularly by management in deciding how to allocate resources and assess performance.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selected financial information presented for each segment sets forth net interest income, provision for loan losses, noninterest income, and direct and indirect noninterest expense overhead allocations. Corporate administration includes all remaining income and expenses not allocated to the three operating segments. Certain reclassification adjustments have been made between corporate administration and the various lines of business for consistency in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additional financial information on the Company’s segments see “NOTE 16 Segment Reporting” of the Company’s consolidated financial statements.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Banking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banking segment offers a complete line of loan, deposit, cash management, and treasury services through 26 offices in North Dakota, Minnesota, Wisconsin, Iowa, and Arizona, including 13 banking offices acquired in the HMNF transaction. These products and services are supported through web and mobile based applications. The majority of the Company’s assets and liabilities are in the banking segment’s balance sheet.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banking segment income statement, inclusive of corporate administration income, for the three months ended March 31, 2026 and 2025: </w:t>
      </w:r>
    </w:p>
    <w:p>
      <w:pPr>
        <w:pStyle w:val="TextBody"/>
        <w:bidi w:val="0"/>
        <w:spacing w:before="0" w:after="0"/>
        <w:ind w:left="0" w:right="0" w:hanging="0"/>
        <w:jc w:val="left"/>
        <w:rPr>
          <w:caps w:val="false"/>
          <w:smallCaps w:val="false"/>
        </w:rPr>
      </w:pPr>
      <w:r>
        <w:rPr>
          <w:caps w:val="false"/>
          <w:smallCaps w:val="false"/>
        </w:rPr>
        <w:t> </w:t>
      </w:r>
    </w:p>
    <w:tbl>
      <w:tblPr>
        <w:tblW w:w="5033" w:type="dxa"/>
        <w:jc w:val="left"/>
        <w:tblInd w:w="0" w:type="dxa"/>
        <w:tblLayout w:type="fixed"/>
        <w:tblCellMar>
          <w:top w:w="0" w:type="dxa"/>
          <w:left w:w="0" w:type="dxa"/>
          <w:bottom w:w="0" w:type="dxa"/>
          <w:right w:w="0" w:type="dxa"/>
        </w:tblCellMar>
      </w:tblPr>
      <w:tblGrid>
        <w:gridCol w:w="3185"/>
        <w:gridCol w:w="60"/>
        <w:gridCol w:w="137"/>
        <w:gridCol w:w="650"/>
        <w:gridCol w:w="88"/>
        <w:gridCol w:w="66"/>
        <w:gridCol w:w="137"/>
        <w:gridCol w:w="650"/>
        <w:gridCol w:w="6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41,157</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(recovery of) credit losses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 (loss)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6,204</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55,999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44,915</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 (1)</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27,393</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28,606</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100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Noninterest expenses do not include corporate administration expenses. Corporate administration expenses include executive compensation, premises and fixed assets expenses, information technology expenses, and other expenses. These expenses are not specific to any specific segment.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Retirement and Benefit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retirement and benefit services segment provides the following services nationally: record-keeping and administration services to qualified and other types of retirement plans, investment fiduciary services to retirement plans, health savings accounts, flexible spending accounts, and COBRA recordkeeping and administration services.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retirement and benefit services segment income statement for the three months ended March 31, 2026 and 2025: </w:t>
      </w:r>
    </w:p>
    <w:p>
      <w:pPr>
        <w:pStyle w:val="TextBody"/>
        <w:bidi w:val="0"/>
        <w:spacing w:before="0" w:after="0"/>
        <w:ind w:left="0" w:right="0" w:hanging="0"/>
        <w:jc w:val="left"/>
        <w:rPr>
          <w:caps w:val="false"/>
          <w:smallCaps w:val="false"/>
        </w:rPr>
      </w:pPr>
      <w:r>
        <w:rPr>
          <w:caps w:val="false"/>
          <w:smallCaps w:val="false"/>
        </w:rPr>
        <w:t> </w:t>
      </w:r>
    </w:p>
    <w:tbl>
      <w:tblPr>
        <w:tblW w:w="4191" w:type="dxa"/>
        <w:jc w:val="left"/>
        <w:tblInd w:w="0" w:type="dxa"/>
        <w:tblLayout w:type="fixed"/>
        <w:tblCellMar>
          <w:top w:w="0" w:type="dxa"/>
          <w:left w:w="0" w:type="dxa"/>
          <w:bottom w:w="0" w:type="dxa"/>
          <w:right w:w="0" w:type="dxa"/>
        </w:tblCellMar>
      </w:tblPr>
      <w:tblGrid>
        <w:gridCol w:w="2345"/>
        <w:gridCol w:w="60"/>
        <w:gridCol w:w="139"/>
        <w:gridCol w:w="658"/>
        <w:gridCol w:w="66"/>
        <w:gridCol w:w="66"/>
        <w:gridCol w:w="139"/>
        <w:gridCol w:w="658"/>
        <w:gridCol w:w="60"/>
      </w:tblGrid>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Recurring annual income (1)</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14,408</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Transactional income (2)</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1,846</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16,106</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14,609</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Recurring annual income primarily includes asset-based fees, administration fees, record-keeping fees, trust/custody fees, advisory fees, and health and welfare fees. $6.8 million and $6.3 million for the three months ended March 31, 2026 and 2025, respectively, were due to movements in the market. </w:t>
            </w:r>
          </w:p>
        </w:tc>
      </w:tr>
      <w:tr>
        <w:trPr/>
        <w:tc>
          <w:tcPr>
            <w:tcW w:w="196" w:type="dxa"/>
            <w:tcBorders/>
            <w:vAlign w:val="center"/>
          </w:tcPr>
          <w:p>
            <w:pPr>
              <w:pStyle w:val="TableContents"/>
              <w:bidi w:val="0"/>
              <w:spacing w:before="0" w:after="283"/>
              <w:jc w:val="left"/>
              <w:rPr>
                <w:sz w:val="16"/>
              </w:rPr>
            </w:pPr>
            <w:r>
              <w:rPr>
                <w:sz w:val="16"/>
              </w:rPr>
              <w:t>(2)</w:t>
            </w:r>
          </w:p>
        </w:tc>
        <w:tc>
          <w:tcPr>
            <w:tcW w:w="10009" w:type="dxa"/>
            <w:tcBorders/>
            <w:vAlign w:val="center"/>
          </w:tcPr>
          <w:p>
            <w:pPr>
              <w:pStyle w:val="TableContents"/>
              <w:bidi w:val="0"/>
              <w:spacing w:before="0" w:after="283"/>
              <w:jc w:val="left"/>
              <w:rPr>
                <w:sz w:val="16"/>
              </w:rPr>
            </w:pPr>
            <w:r>
              <w:rPr>
                <w:sz w:val="16"/>
              </w:rPr>
              <w:t>Transactional income primarily includes distribution fees.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Wealth Advisory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wealth advisory services segment provides advisory and planning services, investment management, and trust and fiduciary services to clients across the Company’s footprint.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sz w:val="20"/>
        </w:rPr>
      </w:pPr>
      <w:r>
        <w:rPr>
          <w:sz w:val="20"/>
        </w:rPr>
        <w:t xml:space="preserve">The following table presents the wealth advisory services segment income statement for the  three months ended March 31, 2026 and 2025:  </w:t>
      </w:r>
    </w:p>
    <w:p>
      <w:pPr>
        <w:pStyle w:val="TextBody"/>
        <w:bidi w:val="0"/>
        <w:spacing w:before="0" w:after="0"/>
        <w:ind w:left="0" w:right="0" w:firstLine="720"/>
        <w:jc w:val="left"/>
        <w:rPr>
          <w:caps w:val="false"/>
          <w:smallCaps w:val="false"/>
        </w:rPr>
      </w:pPr>
      <w:r>
        <w:rPr>
          <w:caps w:val="false"/>
          <w:smallCaps w:val="false"/>
        </w:rPr>
        <w:t> </w:t>
      </w:r>
    </w:p>
    <w:tbl>
      <w:tblPr>
        <w:tblW w:w="3908" w:type="dxa"/>
        <w:jc w:val="left"/>
        <w:tblInd w:w="0" w:type="dxa"/>
        <w:tblLayout w:type="fixed"/>
        <w:tblCellMar>
          <w:top w:w="0" w:type="dxa"/>
          <w:left w:w="0" w:type="dxa"/>
          <w:bottom w:w="0" w:type="dxa"/>
          <w:right w:w="0" w:type="dxa"/>
        </w:tblCellMar>
      </w:tblPr>
      <w:tblGrid>
        <w:gridCol w:w="2060"/>
        <w:gridCol w:w="60"/>
        <w:gridCol w:w="161"/>
        <w:gridCol w:w="626"/>
        <w:gridCol w:w="77"/>
        <w:gridCol w:w="77"/>
        <w:gridCol w:w="161"/>
        <w:gridCol w:w="626"/>
        <w:gridCol w:w="60"/>
      </w:tblGrid>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management</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w:t>
            </w:r>
          </w:p>
        </w:tc>
        <w:tc>
          <w:tcPr>
            <w:tcW w:w="6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Brokerage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and advisory</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7,237</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6,904</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assets were $5.3 billion as of March 31, 2026, an increase of $57.9 million, or 1.1%, compared to December 31, 2025. The increase was primarily due to an increase of $61.6 million in cash and cash equivalents and an increase of $8.0 million in available-for-sale investment securities, partially offset by a decrease of $13.3 million in loans held for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fair value composition of the Company’s investment securities portfolio as of March 31, 2026 and December 31, 2025: </w:t>
      </w:r>
    </w:p>
    <w:p>
      <w:pPr>
        <w:pStyle w:val="TextBody"/>
        <w:bidi w:val="0"/>
        <w:spacing w:before="0" w:after="0"/>
        <w:ind w:left="0" w:right="0" w:hanging="0"/>
        <w:jc w:val="left"/>
        <w:rPr>
          <w:caps w:val="false"/>
          <w:smallCaps w:val="false"/>
        </w:rPr>
      </w:pPr>
      <w:r>
        <w:rPr>
          <w:caps w:val="false"/>
          <w:smallCaps w:val="false"/>
        </w:rPr>
        <w:t> </w:t>
      </w:r>
    </w:p>
    <w:tbl>
      <w:tblPr>
        <w:tblW w:w="7880" w:type="dxa"/>
        <w:jc w:val="left"/>
        <w:tblInd w:w="0" w:type="dxa"/>
        <w:tblLayout w:type="fixed"/>
        <w:tblCellMar>
          <w:top w:w="0" w:type="dxa"/>
          <w:left w:w="0" w:type="dxa"/>
          <w:bottom w:w="0" w:type="dxa"/>
          <w:right w:w="0" w:type="dxa"/>
        </w:tblCellMar>
      </w:tblPr>
      <w:tblGrid>
        <w:gridCol w:w="3665"/>
        <w:gridCol w:w="60"/>
        <w:gridCol w:w="125"/>
        <w:gridCol w:w="695"/>
        <w:gridCol w:w="60"/>
        <w:gridCol w:w="60"/>
        <w:gridCol w:w="96"/>
        <w:gridCol w:w="778"/>
        <w:gridCol w:w="185"/>
        <w:gridCol w:w="60"/>
        <w:gridCol w:w="138"/>
        <w:gridCol w:w="767"/>
        <w:gridCol w:w="66"/>
        <w:gridCol w:w="66"/>
        <w:gridCol w:w="96"/>
        <w:gridCol w:w="778"/>
        <w:gridCol w:w="185"/>
      </w:tblGrid>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center"/>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85"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Available-for-sale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and agencies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476,746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18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backed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36,929</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available-for-sale investment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514,095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w:t>
            </w:r>
          </w:p>
        </w:tc>
        <w:tc>
          <w:tcPr>
            <w:tcW w:w="18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Held-to-maturity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of state and political agencies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105,405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18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119,431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122,604</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held-to-maturity investment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228,009</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742,526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742,104</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composition of the Company’s investment securities portfolio reflects the Company’s investment strategy of maintaining an appropriate level of liquidity for normal operations while providing an additional source of revenue. The investment portfolio also provides a balance to interest rate risk and credit risk in other categories of the balance sheet, while providing a vehicle for the investment of available funds, furnishing liquidity, and supplying securities to pledge as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investment securities presented in the following table are reported at fair value and by contractual maturity as of March 31, 2026. Actual timing may differ from contractual maturities if borrowers have the right to call or prepay obligations with or without call or prepayment penalties. Additionally, residential mortgage backed securities and collateralized mortgage obligations receive monthly principal payments, which are not reflected below. The yields below are calculated on a tax-equivalent basis, assuming a 21.0% income tax rate.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2"/>
        <w:gridCol w:w="60"/>
        <w:gridCol w:w="130"/>
        <w:gridCol w:w="617"/>
        <w:gridCol w:w="62"/>
        <w:gridCol w:w="62"/>
        <w:gridCol w:w="100"/>
        <w:gridCol w:w="640"/>
        <w:gridCol w:w="185"/>
        <w:gridCol w:w="60"/>
        <w:gridCol w:w="133"/>
        <w:gridCol w:w="632"/>
        <w:gridCol w:w="64"/>
        <w:gridCol w:w="64"/>
        <w:gridCol w:w="100"/>
        <w:gridCol w:w="640"/>
        <w:gridCol w:w="185"/>
        <w:gridCol w:w="60"/>
        <w:gridCol w:w="132"/>
        <w:gridCol w:w="625"/>
        <w:gridCol w:w="63"/>
        <w:gridCol w:w="63"/>
        <w:gridCol w:w="100"/>
        <w:gridCol w:w="640"/>
        <w:gridCol w:w="185"/>
        <w:gridCol w:w="60"/>
        <w:gridCol w:w="125"/>
        <w:gridCol w:w="695"/>
        <w:gridCol w:w="60"/>
        <w:gridCol w:w="60"/>
        <w:gridCol w:w="100"/>
        <w:gridCol w:w="640"/>
        <w:gridCol w:w="191"/>
      </w:tblGrid>
      <w:tr>
        <w:trPr/>
        <w:tc>
          <w:tcPr>
            <w:tcW w:w="2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82" w:type="dxa"/>
            <w:gridSpan w:val="3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Maturity as of March 31, 2026</w:t>
            </w:r>
          </w:p>
        </w:tc>
        <w:tc>
          <w:tcPr>
            <w:tcW w:w="19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One year or less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One to five years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2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Five to ten years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After ten years</w:t>
            </w:r>
          </w:p>
        </w:tc>
        <w:tc>
          <w:tcPr>
            <w:tcW w:w="19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191" w:type="dxa"/>
            <w:tcBorders/>
            <w:vAlign w:val="center"/>
          </w:tcPr>
          <w:p>
            <w:pPr>
              <w:pStyle w:val="TableContents"/>
              <w:bidi w:val="0"/>
              <w:spacing w:before="0" w:after="283"/>
              <w:jc w:val="left"/>
              <w:rPr/>
            </w:pPr>
            <w:r>
              <w:rPr/>
              <w:t> </w:t>
            </w:r>
          </w:p>
        </w:tc>
      </w:tr>
      <w:tr>
        <w:trPr/>
        <w:tc>
          <w:tcPr>
            <w:tcW w:w="2672"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w:t>
            </w:r>
          </w:p>
        </w:tc>
        <w:tc>
          <w:tcPr>
            <w:tcW w:w="19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Available-for-sale</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and agencies</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67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w:t>
            </w:r>
          </w:p>
        </w:tc>
        <w:tc>
          <w:tcPr>
            <w:tcW w:w="191" w:type="dxa"/>
            <w:tcBorders/>
            <w:shd w:fill="FFFFFF" w:val="clear"/>
            <w:vAlign w:val="center"/>
          </w:tcPr>
          <w:p>
            <w:pPr>
              <w:pStyle w:val="TableContents"/>
              <w:bidi w:val="0"/>
              <w:spacing w:before="0" w:after="283"/>
              <w:jc w:val="left"/>
              <w:rPr/>
            </w:pPr>
            <w:r>
              <w:rPr/>
              <w:t> </w:t>
            </w:r>
          </w:p>
        </w:tc>
      </w:tr>
      <w:tr>
        <w:trPr/>
        <w:tc>
          <w:tcPr>
            <w:tcW w:w="267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17"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pPr>
            <w:r>
              <w:rPr/>
              <w:t>—</w:t>
            </w:r>
          </w:p>
        </w:tc>
        <w:tc>
          <w:tcPr>
            <w:tcW w:w="191" w:type="dxa"/>
            <w:tcBorders/>
            <w:shd w:fill="CCEEFF" w:val="clear"/>
            <w:vAlign w:val="center"/>
          </w:tcPr>
          <w:p>
            <w:pPr>
              <w:pStyle w:val="TableContents"/>
              <w:bidi w:val="0"/>
              <w:spacing w:before="0" w:after="283"/>
              <w:jc w:val="left"/>
              <w:rPr/>
            </w:pPr>
            <w:r>
              <w:rPr/>
              <w:t> </w:t>
            </w:r>
          </w:p>
        </w:tc>
      </w:tr>
      <w:tr>
        <w:trPr/>
        <w:tc>
          <w:tcPr>
            <w:tcW w:w="2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backed securities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pPr>
            <w:r>
              <w:rPr/>
              <w:t>—</w:t>
            </w:r>
          </w:p>
        </w:tc>
        <w:tc>
          <w:tcPr>
            <w:tcW w:w="191" w:type="dxa"/>
            <w:tcBorders/>
            <w:shd w:fill="FFFFFF" w:val="clear"/>
            <w:vAlign w:val="center"/>
          </w:tcPr>
          <w:p>
            <w:pPr>
              <w:pStyle w:val="TableContents"/>
              <w:bidi w:val="0"/>
              <w:spacing w:before="0" w:after="283"/>
              <w:jc w:val="left"/>
              <w:rPr/>
            </w:pPr>
            <w:r>
              <w:rPr/>
              <w:t> </w:t>
            </w:r>
          </w:p>
        </w:tc>
      </w:tr>
      <w:tr>
        <w:trPr/>
        <w:tc>
          <w:tcPr>
            <w:tcW w:w="2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37,319</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7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available-for-sale investment securities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49,293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191" w:type="dxa"/>
            <w:tcBorders/>
            <w:shd w:fill="FFFFFF" w:val="clear"/>
            <w:vAlign w:val="center"/>
          </w:tcPr>
          <w:p>
            <w:pPr>
              <w:pStyle w:val="TableContents"/>
              <w:bidi w:val="0"/>
              <w:spacing w:before="0" w:after="283"/>
              <w:jc w:val="left"/>
              <w:rPr/>
            </w:pPr>
            <w:r>
              <w:rPr/>
              <w:t> </w:t>
            </w:r>
          </w:p>
        </w:tc>
      </w:tr>
      <w:tr>
        <w:trPr/>
        <w:tc>
          <w:tcPr>
            <w:tcW w:w="26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Held-to-maturity</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of state and political agencies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191" w:type="dxa"/>
            <w:tcBorders/>
            <w:shd w:fill="FFFFFF" w:val="clear"/>
            <w:vAlign w:val="center"/>
          </w:tcPr>
          <w:p>
            <w:pPr>
              <w:pStyle w:val="TableContents"/>
              <w:bidi w:val="0"/>
              <w:spacing w:before="0" w:after="283"/>
              <w:jc w:val="left"/>
              <w:rPr/>
            </w:pPr>
            <w:r>
              <w:rPr/>
              <w:t> </w:t>
            </w:r>
          </w:p>
        </w:tc>
      </w:tr>
      <w:tr>
        <w:trPr/>
        <w:tc>
          <w:tcPr>
            <w:tcW w:w="2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backed securities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67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agency</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7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held-to-maturity investment securities</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12,701</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52,675</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30,970</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1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7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12,728</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60,935</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80,263</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588,600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loan portfolio represents a broad range of borrowers comprised of commercial and industrial, commercial real estate, agricultural, and consumer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loans outstanding were $4.0 billion as of March 31, 2026, a decrease of $13.3 million, or 0.3%, from December 31, 2025. The decrease was primarily driven by a $28.3 million decrease in consumer loans, partially offset by a $15.1 million increase in commercial loans.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loan portfolio is diversified. The following table presents the balance and percentage of loans outstanding by segment/industry as of the dates presented: </w:t>
      </w:r>
    </w:p>
    <w:p>
      <w:pPr>
        <w:pStyle w:val="TextBody"/>
        <w:bidi w:val="0"/>
        <w:spacing w:before="0" w:after="0"/>
        <w:ind w:left="0" w:right="0" w:hanging="0"/>
        <w:jc w:val="left"/>
        <w:rPr/>
      </w:pPr>
      <w:r>
        <w:rPr/>
        <w:t> </w:t>
      </w:r>
    </w:p>
    <w:tbl>
      <w:tblPr>
        <w:tblW w:w="7800" w:type="dxa"/>
        <w:jc w:val="left"/>
        <w:tblInd w:w="0" w:type="dxa"/>
        <w:tblLayout w:type="fixed"/>
        <w:tblCellMar>
          <w:top w:w="0" w:type="dxa"/>
          <w:left w:w="0" w:type="dxa"/>
          <w:bottom w:w="0" w:type="dxa"/>
          <w:right w:w="0" w:type="dxa"/>
        </w:tblCellMar>
      </w:tblPr>
      <w:tblGrid>
        <w:gridCol w:w="3380"/>
        <w:gridCol w:w="60"/>
        <w:gridCol w:w="125"/>
        <w:gridCol w:w="845"/>
        <w:gridCol w:w="60"/>
        <w:gridCol w:w="60"/>
        <w:gridCol w:w="96"/>
        <w:gridCol w:w="778"/>
        <w:gridCol w:w="185"/>
        <w:gridCol w:w="60"/>
        <w:gridCol w:w="125"/>
        <w:gridCol w:w="847"/>
        <w:gridCol w:w="60"/>
        <w:gridCol w:w="60"/>
        <w:gridCol w:w="96"/>
        <w:gridCol w:w="778"/>
        <w:gridCol w:w="185"/>
      </w:tblGrid>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 and business lending: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business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trade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427,260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Medical office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Medical or nursing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commercial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non-owner occupied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976,339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Agricultural: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Consumer: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First lien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Construction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HELOC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Junior lien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1,222,677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1,251,025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4,034,744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4,048,022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Commercial and industrial loans represent loans for working capital, purchases of equipment and other needs of commercial customers primarily located within the Bank’s geographical footprint. These loans are underwritten individually and represent ongoing relationships based on a thorough knowledge of the customer, the customer’s industry and the customer’s market. While commercial loans are generally secured by the customer’s assets, including real property, inventory, accounts receivable, operating equipment and other property, and may also include personal guarantees of the owners and related parties, the primary source of repayment of the loans is the ongoing cash flow from operations of the customer’s business. In addition, revolving lines of credit are generally governed by a borrowing base. Inherent lending risks are monitored on a continuous basis through interim reporting, covenant testing and annual underwriting.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CRE loans consist of term loans secured by a mortgage lien on real property and include both owner occupied CRE loans as well as non-owner occupied loans. Non-owner occupied CRE loans consist of mortgage loans to finance investments in real property that may include, but are not limited to, multi-family, industrial, office, retail and other specific use properties as well as CRE construction loans that are offered to builders and developers generally within the Bank’s geographical footprint. The primary risk characteristics in the non-owner occupied portfolio include impacts of overall leasing rates, absorption timelines, levels of vacancy rates and operating expenses. The Company requires collateral values in excess of the loan amounts, cash flows in excess of expected debt service requirements and equity investment in the project. The expected cash flows from all significant new or renewed income producing property commitments are stress tested to reflect the risks in varying interest rates, vacancy rates and rental rates. Inherent lending risks are monitored on a continuous basis through quarterly monitoring and the Bank’s annual underwriting process, incorporating an analysis of cash flow, collateral, market conditions and guarantor liquidity, if applicable. CRE loan policies are specific to individual product types and underwriting parameters vary depending on the risk profile of each asset class. CRE loan policies are reviewed no less than semi-annually by management and approved by the Bank’s Board of Directors to ensure they align with current market conditions and the Bank’s moderate risk appetite. Construction loans are monitored monthly and includes on-site inspections. Management reviews all construction loans quarterly to ensure projects are on time and within budget. CRE concentration limits have been established by product type and are monitored quarterly by the Bank’s Credit Governance Committee and Bank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CRE loans may be adversely affected by conditions in the real estate markets or in the general economy. The Company does not monitor the CRE portfolio for attributes such as loan-to-value ratios, occupancy rates or net operating income, as these characteristics are assessed and evaluated on an individual loan basis. Portfolio stress testing is completed based on property type and takes into consideration changes to net operating income and capitalization rates. The Company does not have exposure to the office building sector in central business districts as the office portfolio is generally diversified in suburban markets with strong occupancy levels.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geographical markets of the collateral related to non-owner occupied and multifamily CRE loans for the periods presented: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89"/>
        <w:gridCol w:w="60"/>
        <w:gridCol w:w="125"/>
        <w:gridCol w:w="845"/>
        <w:gridCol w:w="60"/>
        <w:gridCol w:w="60"/>
        <w:gridCol w:w="95"/>
        <w:gridCol w:w="775"/>
        <w:gridCol w:w="185"/>
        <w:gridCol w:w="60"/>
        <w:gridCol w:w="125"/>
        <w:gridCol w:w="846"/>
        <w:gridCol w:w="60"/>
        <w:gridCol w:w="60"/>
        <w:gridCol w:w="95"/>
        <w:gridCol w:w="775"/>
        <w:gridCol w:w="190"/>
      </w:tblGrid>
      <w:tr>
        <w:trPr/>
        <w:tc>
          <w:tcPr>
            <w:tcW w:w="57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90" w:type="dxa"/>
            <w:tcBorders/>
            <w:shd w:fill="FFFFFF" w:val="clear"/>
            <w:vAlign w:val="center"/>
          </w:tcPr>
          <w:p>
            <w:pPr>
              <w:pStyle w:val="TableContents"/>
              <w:bidi w:val="0"/>
              <w:spacing w:before="0" w:after="283"/>
              <w:jc w:val="left"/>
              <w:rPr/>
            </w:pPr>
            <w:r>
              <w:rPr/>
              <w:t> </w:t>
            </w:r>
          </w:p>
        </w:tc>
      </w:tr>
      <w:tr>
        <w:trPr/>
        <w:tc>
          <w:tcPr>
            <w:tcW w:w="5789"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8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Geographical 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r>
      <w:tr>
        <w:trPr/>
        <w:tc>
          <w:tcPr>
            <w:tcW w:w="57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Minnesota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Dakota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190" w:type="dxa"/>
            <w:tcBorders/>
            <w:shd w:fill="CCEEFF" w:val="clear"/>
            <w:vAlign w:val="center"/>
          </w:tcPr>
          <w:p>
            <w:pPr>
              <w:pStyle w:val="TableContents"/>
              <w:bidi w:val="0"/>
              <w:spacing w:before="0" w:after="283"/>
              <w:jc w:val="left"/>
              <w:rPr/>
            </w:pPr>
            <w:r>
              <w:rPr/>
              <w:t> </w:t>
            </w:r>
          </w:p>
        </w:tc>
      </w:tr>
      <w:tr>
        <w:trPr/>
        <w:tc>
          <w:tcPr>
            <w:tcW w:w="57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Arizona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90" w:type="dxa"/>
            <w:tcBorders/>
            <w:shd w:fill="FFFFFF" w:val="clear"/>
            <w:vAlign w:val="center"/>
          </w:tcPr>
          <w:p>
            <w:pPr>
              <w:pStyle w:val="TableContents"/>
              <w:bidi w:val="0"/>
              <w:spacing w:before="0" w:after="283"/>
              <w:jc w:val="left"/>
              <w:rPr/>
            </w:pPr>
            <w:r>
              <w:rPr/>
              <w:t> </w:t>
            </w:r>
          </w:p>
        </w:tc>
      </w:tr>
      <w:tr>
        <w:trPr/>
        <w:tc>
          <w:tcPr>
            <w:tcW w:w="57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Wisconsin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90" w:type="dxa"/>
            <w:tcBorders/>
            <w:shd w:fill="CCEEFF" w:val="clear"/>
            <w:vAlign w:val="center"/>
          </w:tcPr>
          <w:p>
            <w:pPr>
              <w:pStyle w:val="TableContents"/>
              <w:bidi w:val="0"/>
              <w:spacing w:before="0" w:after="283"/>
              <w:jc w:val="left"/>
              <w:rPr/>
            </w:pPr>
            <w:r>
              <w:rPr/>
              <w:t> </w:t>
            </w:r>
          </w:p>
        </w:tc>
      </w:tr>
      <w:tr>
        <w:trPr/>
        <w:tc>
          <w:tcPr>
            <w:tcW w:w="57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Texas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90" w:type="dxa"/>
            <w:tcBorders/>
            <w:shd w:fill="FFFFFF" w:val="clear"/>
            <w:vAlign w:val="center"/>
          </w:tcPr>
          <w:p>
            <w:pPr>
              <w:pStyle w:val="TableContents"/>
              <w:bidi w:val="0"/>
              <w:spacing w:before="0" w:after="283"/>
              <w:jc w:val="left"/>
              <w:rPr/>
            </w:pPr>
            <w:r>
              <w:rPr/>
              <w:t> </w:t>
            </w:r>
          </w:p>
        </w:tc>
      </w:tr>
      <w:tr>
        <w:trPr/>
        <w:tc>
          <w:tcPr>
            <w:tcW w:w="57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Illinois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190" w:type="dxa"/>
            <w:tcBorders/>
            <w:shd w:fill="CCEEFF" w:val="clear"/>
            <w:vAlign w:val="center"/>
          </w:tcPr>
          <w:p>
            <w:pPr>
              <w:pStyle w:val="TableContents"/>
              <w:bidi w:val="0"/>
              <w:spacing w:before="0" w:after="283"/>
              <w:jc w:val="left"/>
              <w:rPr/>
            </w:pPr>
            <w:r>
              <w:rPr/>
              <w:t> </w:t>
            </w:r>
          </w:p>
        </w:tc>
      </w:tr>
      <w:tr>
        <w:trPr/>
        <w:tc>
          <w:tcPr>
            <w:tcW w:w="57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Oregon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90" w:type="dxa"/>
            <w:tcBorders/>
            <w:shd w:fill="FFFFFF" w:val="clear"/>
            <w:vAlign w:val="center"/>
          </w:tcPr>
          <w:p>
            <w:pPr>
              <w:pStyle w:val="TableContents"/>
              <w:bidi w:val="0"/>
              <w:spacing w:before="0" w:after="283"/>
              <w:jc w:val="left"/>
              <w:rPr/>
            </w:pPr>
            <w:r>
              <w:rPr/>
              <w:t> </w:t>
            </w:r>
          </w:p>
        </w:tc>
      </w:tr>
      <w:tr>
        <w:trPr/>
        <w:tc>
          <w:tcPr>
            <w:tcW w:w="57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Colorado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90" w:type="dxa"/>
            <w:tcBorders/>
            <w:shd w:fill="CCEEFF" w:val="clear"/>
            <w:vAlign w:val="center"/>
          </w:tcPr>
          <w:p>
            <w:pPr>
              <w:pStyle w:val="TableContents"/>
              <w:bidi w:val="0"/>
              <w:spacing w:before="0" w:after="283"/>
              <w:jc w:val="left"/>
              <w:rPr/>
            </w:pPr>
            <w:r>
              <w:rPr/>
              <w:t> </w:t>
            </w:r>
          </w:p>
        </w:tc>
      </w:tr>
      <w:tr>
        <w:trPr/>
        <w:tc>
          <w:tcPr>
            <w:tcW w:w="57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Kansas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90" w:type="dxa"/>
            <w:tcBorders/>
            <w:shd w:fill="FFFFFF" w:val="clear"/>
            <w:vAlign w:val="center"/>
          </w:tcPr>
          <w:p>
            <w:pPr>
              <w:pStyle w:val="TableContents"/>
              <w:bidi w:val="0"/>
              <w:spacing w:before="0" w:after="283"/>
              <w:jc w:val="left"/>
              <w:rPr/>
            </w:pPr>
            <w:r>
              <w:rPr/>
              <w:t> </w:t>
            </w:r>
          </w:p>
        </w:tc>
      </w:tr>
      <w:tr>
        <w:trPr/>
        <w:tc>
          <w:tcPr>
            <w:tcW w:w="57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Missouri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90" w:type="dxa"/>
            <w:tcBorders/>
            <w:shd w:fill="CCEEFF" w:val="clear"/>
            <w:vAlign w:val="center"/>
          </w:tcPr>
          <w:p>
            <w:pPr>
              <w:pStyle w:val="TableContents"/>
              <w:bidi w:val="0"/>
              <w:spacing w:before="0" w:after="283"/>
              <w:jc w:val="left"/>
              <w:rPr/>
            </w:pPr>
            <w:r>
              <w:rPr/>
              <w:t> </w:t>
            </w:r>
          </w:p>
        </w:tc>
      </w:tr>
      <w:tr>
        <w:trPr/>
        <w:tc>
          <w:tcPr>
            <w:tcW w:w="57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Georgia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90" w:type="dxa"/>
            <w:tcBorders/>
            <w:shd w:fill="FFFFFF" w:val="clear"/>
            <w:vAlign w:val="center"/>
          </w:tcPr>
          <w:p>
            <w:pPr>
              <w:pStyle w:val="TableContents"/>
              <w:bidi w:val="0"/>
              <w:spacing w:before="0" w:after="283"/>
              <w:jc w:val="left"/>
              <w:rPr/>
            </w:pPr>
            <w:r>
              <w:rPr/>
              <w:t> </w:t>
            </w:r>
          </w:p>
        </w:tc>
      </w:tr>
      <w:tr>
        <w:trPr/>
        <w:tc>
          <w:tcPr>
            <w:tcW w:w="57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Virginia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90" w:type="dxa"/>
            <w:tcBorders/>
            <w:shd w:fill="CCEEFF" w:val="clear"/>
            <w:vAlign w:val="center"/>
          </w:tcPr>
          <w:p>
            <w:pPr>
              <w:pStyle w:val="TableContents"/>
              <w:bidi w:val="0"/>
              <w:spacing w:before="0" w:after="283"/>
              <w:jc w:val="left"/>
              <w:rPr/>
            </w:pPr>
            <w:r>
              <w:rPr/>
              <w:t> </w:t>
            </w:r>
          </w:p>
        </w:tc>
      </w:tr>
      <w:tr>
        <w:trPr/>
        <w:tc>
          <w:tcPr>
            <w:tcW w:w="578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Iowa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w:t>
            </w:r>
          </w:p>
        </w:tc>
        <w:tc>
          <w:tcPr>
            <w:tcW w:w="190" w:type="dxa"/>
            <w:tcBorders/>
            <w:shd w:fill="FFFFFF" w:val="clear"/>
            <w:vAlign w:val="center"/>
          </w:tcPr>
          <w:p>
            <w:pPr>
              <w:pStyle w:val="TableContents"/>
              <w:bidi w:val="0"/>
              <w:spacing w:before="0" w:after="283"/>
              <w:jc w:val="left"/>
              <w:rPr/>
            </w:pPr>
            <w:r>
              <w:rPr/>
              <w:t> </w:t>
            </w:r>
          </w:p>
        </w:tc>
      </w:tr>
      <w:tr>
        <w:trPr/>
        <w:tc>
          <w:tcPr>
            <w:tcW w:w="57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Dakota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90" w:type="dxa"/>
            <w:tcBorders/>
            <w:shd w:fill="CCEEFF" w:val="clear"/>
            <w:vAlign w:val="center"/>
          </w:tcPr>
          <w:p>
            <w:pPr>
              <w:pStyle w:val="TableContents"/>
              <w:bidi w:val="0"/>
              <w:spacing w:before="0" w:after="283"/>
              <w:jc w:val="left"/>
              <w:rPr/>
            </w:pPr>
            <w:r>
              <w:rPr/>
              <w:t> </w:t>
            </w:r>
          </w:p>
        </w:tc>
      </w:tr>
      <w:tr>
        <w:trPr/>
        <w:tc>
          <w:tcPr>
            <w:tcW w:w="57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non-owner occupied and multifamily commercial real estate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1,368,436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1,259,367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Bank does not currently monitor owner occupied CRE loans based on geographical markets, as the primary source of repayment for these loans is predicated on the cash flow from the underlying operating entity. These loans are generally located within the Company’s geographical footprint.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Highly competitive conditions continue to prevail in the small- and middle-market commercial segments in which the Company primarily operates. The Company maintains a commitment to generating growth in the Company’s business portfolio in a manner that adheres to its twin goals of maintaining strong asset quality and producing profitable margins. The Company continues to invest in additional personnel, technology and business development resources to further strengthen its capabilities.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Agricultural loans include loans secured by farmland and loans for agricultural production. Farmland includes purposes such as crop and livestock production. Farmland loans are typically written with amortizing payment structures. Collateral values for farmland are determined based upon appraisals and evaluations in accordance with established policy guidelines and maximum loan-to-value ratios at origination are governed by established policy and regulatory guidelines. Agricultural production loans are for the purpose of financing working capital and/or capital investment for agriculture production activities. Collateral generally consists of pledges of business assets including, but not limited to, accounts receivable, inventory, plant and equipment, and/or real estate in applicable. Agricultural production loans are primarily paid by the operating cash flow of the borrower. Agricultural production loans may be secured or unsecured.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Residential real estate (“RRE”) loans represent loans to consumers for the purchase or refinance of a residence. These loans are generally financed over a 15- to 30-year term and, in most cases, are extended to borrowers to finance their primary residence with both fixed-rate and adjustable-rate terms. Real estate construction loans are also offered to consumers who wish to build their own homes and are often structured to be converted to permanent loans at the end of the construction phase, which is typically twelve months. RRE loans also include home equity loans and lines of credit that are secured by a first or second lien on the borrower’s residence. Home equity lines of credit (“HELOC”) consist mainly of revolving lines of credit secured by residential real estate.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consumer loans include loans made to individuals not secured by real estate, including loans secured by automobiles or watercraft, and personal unsecured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originates both fixed and adjustable rate residential real estate loans conforming to the underwriting guidelines of the Federal National Mortgage Association or the Federal Home Loan Mortgage Corporation, as well as home equity loans and lines of credit that are secured by first or junior liens. Most of the Company’s fixed rate residential loans, along with some of the Company’s adjustable rate mortgages are sold to other financial institutions with which the Company has established a correspondent lending relationship.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RRE loans have minimal direct exposure to subprime mortgages as the loans are underwritten to conform to secondary market standards. As of March 31, 2026, the Company’s RRE portfolio was $1.2 billion, representing a $23.8 million, or 2.0%, decrease from December 31, 2025. Market interest rates, expected duration, and the Company’s overall interest rate sensitivity profile continue to be the most significant factors in determining whether the Company chooses to retain versus sell portions of new consumer mortgage originations.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maturities and types of interest rates for the loan portfolio as of March 31, 2026: </w:t>
      </w:r>
    </w:p>
    <w:p>
      <w:pPr>
        <w:pStyle w:val="TextBody"/>
        <w:bidi w:val="0"/>
        <w:spacing w:before="0" w:after="0"/>
        <w:ind w:left="0" w:right="0" w:hanging="0"/>
        <w:jc w:val="left"/>
        <w:rPr>
          <w:caps w:val="false"/>
          <w:smallCaps w:val="false"/>
        </w:rPr>
      </w:pPr>
      <w:r>
        <w:rPr>
          <w:caps w:val="false"/>
          <w:smallCaps w:val="false"/>
        </w:rPr>
        <w:t> </w:t>
      </w:r>
    </w:p>
    <w:tbl>
      <w:tblPr>
        <w:tblW w:w="8143" w:type="dxa"/>
        <w:jc w:val="left"/>
        <w:tblInd w:w="0" w:type="dxa"/>
        <w:tblLayout w:type="fixed"/>
        <w:tblCellMar>
          <w:top w:w="0" w:type="dxa"/>
          <w:left w:w="0" w:type="dxa"/>
          <w:bottom w:w="0" w:type="dxa"/>
          <w:right w:w="0" w:type="dxa"/>
        </w:tblCellMar>
      </w:tblPr>
      <w:tblGrid>
        <w:gridCol w:w="3275"/>
        <w:gridCol w:w="60"/>
        <w:gridCol w:w="110"/>
        <w:gridCol w:w="605"/>
        <w:gridCol w:w="60"/>
        <w:gridCol w:w="60"/>
        <w:gridCol w:w="110"/>
        <w:gridCol w:w="740"/>
        <w:gridCol w:w="60"/>
        <w:gridCol w:w="60"/>
        <w:gridCol w:w="140"/>
        <w:gridCol w:w="779"/>
        <w:gridCol w:w="60"/>
        <w:gridCol w:w="60"/>
        <w:gridCol w:w="119"/>
        <w:gridCol w:w="800"/>
        <w:gridCol w:w="60"/>
        <w:gridCol w:w="60"/>
        <w:gridCol w:w="110"/>
        <w:gridCol w:w="740"/>
        <w:gridCol w:w="75"/>
      </w:tblGrid>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3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March 31, 2026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After one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After five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One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but within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but within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After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6"/>
              </w:rPr>
            </w:pPr>
            <w:r>
              <w:rPr>
                <w:rFonts w:ascii="Times New Roman;Times;serif" w:hAnsi="Times New Roman;Times;serif"/>
                <w:i/>
                <w:caps w:val="false"/>
                <w:smallCaps w:val="false"/>
                <w:sz w:val="16"/>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or less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five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fifteen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fifteen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397,780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747,447</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272,778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97,566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444,276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firstLine="540"/>
              <w:jc w:val="left"/>
              <w:rPr>
                <w:rFonts w:ascii="Times New Roman;Times;serif" w:hAnsi="Times New Roman;Times;serif"/>
                <w:sz w:val="16"/>
              </w:rPr>
            </w:pPr>
            <w:r>
              <w:rPr>
                <w:rFonts w:ascii="Times New Roman;Times;serif" w:hAnsi="Times New Roman;Times;serif"/>
                <w:sz w:val="16"/>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670,558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271,985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1,191,723</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146,897</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Multifamily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236,076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392,097</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Non-owner occupied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129,403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631,937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151,071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63,928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976,339</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258,864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930,312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1,515,333</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Agricultural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Land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54,028</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Production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31,263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50,983</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agricultural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34,755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105,011</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firstLine="36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commercial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486,170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1,634,088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542,893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2,812,067</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Consumer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Residential real estate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First lien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728,446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851,551</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Construction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32,872</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HELOC</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262,131</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Junior lien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17,807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35,783</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972,279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1,182,337</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19,227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40,340</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consumer</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50,576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83,428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114,326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974,347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1,222,677</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536,746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1,717,516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657,219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1,123,263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4,034,744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Loans with fixed interest rates: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321,903</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193,839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28,538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242,430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firstLine="540"/>
              <w:jc w:val="left"/>
              <w:rPr>
                <w:rFonts w:ascii="Times New Roman;Times;serif" w:hAnsi="Times New Roman;Times;serif"/>
                <w:sz w:val="16"/>
              </w:rPr>
            </w:pPr>
            <w:r>
              <w:rPr>
                <w:rFonts w:ascii="Times New Roman;Times;serif" w:hAnsi="Times New Roman;Times;serif"/>
                <w:sz w:val="16"/>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417,239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564,333</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60,351</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Multifamily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187,928</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Non-owner occupied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77,154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341,141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74,537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492,832</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494,363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741,111</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Agricultural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Land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45,994</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Production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16,217</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agricultural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28,628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62,211</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firstLine="36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commercial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940,230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1,367,655</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Consumer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Residential real estate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First lien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416,620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522,608</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Construction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15,266</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HELOC</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9,973</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Junior lien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28,475</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432,846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576,322</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15,958</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consumer</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84,339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433,038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592,280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loans with fixed interest rates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218,887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992,891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299,080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449,077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1,959,935</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Loans with floating interest rates: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425,544</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78,939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69,028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48,866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201,846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firstLine="540"/>
              <w:jc w:val="left"/>
              <w:rPr>
                <w:rFonts w:ascii="Times New Roman;Times;serif" w:hAnsi="Times New Roman;Times;serif"/>
                <w:sz w:val="16"/>
              </w:rPr>
            </w:pPr>
            <w:r>
              <w:rPr>
                <w:rFonts w:ascii="Times New Roman;Times;serif" w:hAnsi="Times New Roman;Times;serif"/>
                <w:sz w:val="16"/>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253,319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170,783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627,390</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86,546</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Multifamily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204,169</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Non-owner occupied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52,249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290,796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76,534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63,928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483,507</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435,949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774,222</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Agricultural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Land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8,034</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Production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30,440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34,766</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agricultural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30,530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4,590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42,800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firstLine="36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commercial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693,858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328,152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1,444,412</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Consumer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Residential real estate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First lien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328,943</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Construction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17,606</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HELOC</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252,158</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Junior lien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7,308</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539,433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606,015</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24,382</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consumer</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28,334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30,767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29,987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541,309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630,397</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loans with floating interest rates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317,859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724,625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358,139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674,186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2,074,809</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expected life of the Company’s loan portfolio will differ from contractual maturities because borrowers may have the right to curtail or prepay their loans with or without penalties. Consequently, the table above includes information limited to contractual maturities of the underlying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Asset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strategy for credit risk management includes well</w:t>
        <w:noBreakHyphen/>
        <w:t>defined, centralized credit policies; uniform underwriting criteria; and ongoing risk monitoring and review processes for all commercial and consumer credit exposures. The strategy also emphasizes diversification on a geographic, industry, and client level; regular credit examinations; and management reviews of loans experiencing deterioration of credit quality. The Company strives to identify potential problem loans early, take necessary charge</w:t>
        <w:noBreakHyphen/>
        <w:t>offs promptly, and maintain adequate reserve levels for credit losses inherent in the portfolio. Management performs ongoing, internal reviews of any problem credits and continually assesses the adequacy of the allowance. The Company utilizes an internal lending division, Special Credit Services, to develop and implement strategies for the management of individual nonperforming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Credit Quality Indicators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Loans are assigned a risk rating and grouped into categories based on relevant information about the ability of borrowers to service their debt, such as: current financial information, historical payment experience, credit documentation, public information, and current economic trends, among other factors. The risk ratings are aligned to pass and criticized categories. The criticized categories include special mention, substandard, and doubtful risk ratings. See “NOTE 4 Loans and Allowance for Credit Losses” of the consolidated financial statements for a definition of each of the risk ratings.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presents criticized loans outstanding by loan portfolio segment as of March 31, 2026 and December 31, 2025: </w:t>
      </w:r>
    </w:p>
    <w:p>
      <w:pPr>
        <w:pStyle w:val="TextBody"/>
        <w:bidi w:val="0"/>
        <w:spacing w:before="0" w:after="0"/>
        <w:ind w:left="0" w:right="0" w:hanging="0"/>
        <w:jc w:val="left"/>
        <w:rPr>
          <w:caps w:val="false"/>
          <w:smallCaps w:val="false"/>
        </w:rPr>
      </w:pPr>
      <w:r>
        <w:rPr>
          <w:caps w:val="false"/>
          <w:smallCaps w:val="false"/>
        </w:rPr>
        <w:t> </w:t>
      </w:r>
    </w:p>
    <w:tbl>
      <w:tblPr>
        <w:tblW w:w="6293" w:type="dxa"/>
        <w:jc w:val="left"/>
        <w:tblInd w:w="0" w:type="dxa"/>
        <w:tblLayout w:type="fixed"/>
        <w:tblCellMar>
          <w:top w:w="0" w:type="dxa"/>
          <w:left w:w="0" w:type="dxa"/>
          <w:bottom w:w="0" w:type="dxa"/>
          <w:right w:w="0" w:type="dxa"/>
        </w:tblCellMar>
      </w:tblPr>
      <w:tblGrid>
        <w:gridCol w:w="3740"/>
        <w:gridCol w:w="60"/>
        <w:gridCol w:w="135"/>
        <w:gridCol w:w="754"/>
        <w:gridCol w:w="185"/>
        <w:gridCol w:w="60"/>
        <w:gridCol w:w="178"/>
        <w:gridCol w:w="996"/>
        <w:gridCol w:w="185"/>
      </w:tblGrid>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33,323</w:t>
            </w:r>
          </w:p>
        </w:tc>
        <w:tc>
          <w:tcPr>
            <w:tcW w:w="18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47,381</w:t>
            </w:r>
          </w:p>
        </w:tc>
        <w:tc>
          <w:tcPr>
            <w:tcW w:w="18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34,201</w:t>
            </w:r>
          </w:p>
        </w:tc>
        <w:tc>
          <w:tcPr>
            <w:tcW w:w="18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28,541</w:t>
            </w:r>
          </w:p>
        </w:tc>
        <w:tc>
          <w:tcPr>
            <w:tcW w:w="18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66,086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80,333</w:t>
            </w:r>
          </w:p>
        </w:tc>
        <w:tc>
          <w:tcPr>
            <w:tcW w:w="18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7,653</w:t>
            </w:r>
          </w:p>
        </w:tc>
        <w:tc>
          <w:tcPr>
            <w:tcW w:w="18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139,029</w:t>
            </w:r>
          </w:p>
        </w:tc>
        <w:tc>
          <w:tcPr>
            <w:tcW w:w="18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2,602</w:t>
            </w:r>
          </w:p>
        </w:tc>
        <w:tc>
          <w:tcPr>
            <w:tcW w:w="18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18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18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9,785</w:t>
            </w:r>
          </w:p>
        </w:tc>
        <w:tc>
          <w:tcPr>
            <w:tcW w:w="18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criticized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132,459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149,162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Criticized loans as a percent of total loans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information regarding nonperforming assets as of March 31, 2026 and December 31, 2025: </w:t>
      </w:r>
    </w:p>
    <w:p>
      <w:pPr>
        <w:pStyle w:val="TextBody"/>
        <w:bidi w:val="0"/>
        <w:spacing w:before="0" w:after="0"/>
        <w:ind w:left="0" w:right="0" w:firstLine="720"/>
        <w:jc w:val="left"/>
        <w:rPr>
          <w:caps w:val="false"/>
          <w:smallCaps w:val="false"/>
        </w:rPr>
      </w:pPr>
      <w:r>
        <w:rPr>
          <w:caps w:val="false"/>
          <w:smallCaps w:val="false"/>
        </w:rPr>
        <w:t> </w:t>
      </w:r>
    </w:p>
    <w:tbl>
      <w:tblPr>
        <w:tblW w:w="7358" w:type="dxa"/>
        <w:jc w:val="left"/>
        <w:tblInd w:w="0" w:type="dxa"/>
        <w:tblLayout w:type="fixed"/>
        <w:tblCellMar>
          <w:top w:w="0" w:type="dxa"/>
          <w:left w:w="0" w:type="dxa"/>
          <w:bottom w:w="0" w:type="dxa"/>
          <w:right w:w="0" w:type="dxa"/>
        </w:tblCellMar>
      </w:tblPr>
      <w:tblGrid>
        <w:gridCol w:w="4805"/>
        <w:gridCol w:w="60"/>
        <w:gridCol w:w="155"/>
        <w:gridCol w:w="734"/>
        <w:gridCol w:w="185"/>
        <w:gridCol w:w="60"/>
        <w:gridCol w:w="204"/>
        <w:gridCol w:w="970"/>
        <w:gridCol w:w="185"/>
      </w:tblGrid>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Nonaccrual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69,065</w:t>
            </w:r>
          </w:p>
        </w:tc>
        <w:tc>
          <w:tcPr>
            <w:tcW w:w="18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Accruing loans 90+ days past due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nonperforming loans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69,065</w:t>
            </w:r>
          </w:p>
        </w:tc>
        <w:tc>
          <w:tcPr>
            <w:tcW w:w="18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OREO and repossessed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nonperforming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69,373</w:t>
            </w:r>
          </w:p>
        </w:tc>
        <w:tc>
          <w:tcPr>
            <w:tcW w:w="18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restructured accruing loans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nonperforming assets and restructured accruing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loans to total loans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assets to total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ACL on loans to nonperforming loans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89.65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income lost on nonaccrual loans was approximately $1.0 million and $1.1 million for the three months ended March 31, 2026 and 2025, respectively. There was no interest income included in net interest income related to nonaccrual loans for the three months ended March 31,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ACL on loans is maintained at a level management believes is sufficient to absorb expected losses in the loan portfolio over the remaining estimated life of loans in the portfolio. Under the Current Expected Credit Loss accounting standard, the ACL is a valuation estimated at each balance sheet date and deducted from the amortized cost basis of loans held for investment to present the net amount expected to be collected. These evaluations are inherently subjective as they require management to make material estimates, all of which may be susceptible to significant change. The allowance is increased by provisions charged to expense and decreased by actual charge</w:t>
        <w:noBreakHyphen/>
        <w:t>offs, net of recoveries.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estimates the ACL using relevant information, from internal and external sources, relating to past events, current conditions, and reasonable and supportable forecasts. Historical loss experience provides the basis for estimation of expected credit losses. Adjustments to historical loss information are made for differences in the current loan-specific risk characteristics such as different underwriting standards, portfolio mix, delinquency level, or life of the loan, as well as changes in environmental conditions, levels of economic activity, unemployment rates, property values and other relevant factors. The calculation also contemplates that the Company may not be able to make or obtain such forecasts for the entire life of the financial assets and requires a reversion to historical loss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Loans that do not share risk characteristics are evaluated on an individual basis. Loans evaluated individually are not also included in the collective evaluation. The ACL on individually evaluated loans is recognized on the basis of the present value of expected future cash flows discounted at the effective interest rate, the fair value of collateral adjusted of estimated costs to sell, or observable market price as of the relevant date.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information concerning the components of the ACL for the periods presented: </w:t>
      </w:r>
    </w:p>
    <w:p>
      <w:pPr>
        <w:pStyle w:val="TextBody"/>
        <w:bidi w:val="0"/>
        <w:spacing w:before="0" w:after="0"/>
        <w:ind w:left="0" w:right="0" w:firstLine="720"/>
        <w:jc w:val="left"/>
        <w:rPr>
          <w:caps w:val="false"/>
          <w:smallCaps w:val="false"/>
        </w:rPr>
      </w:pPr>
      <w:r>
        <w:rPr>
          <w:caps w:val="false"/>
          <w:smallCaps w:val="false"/>
        </w:rPr>
        <w:t> </w:t>
      </w:r>
    </w:p>
    <w:tbl>
      <w:tblPr>
        <w:tblW w:w="7535" w:type="dxa"/>
        <w:jc w:val="left"/>
        <w:tblInd w:w="0" w:type="dxa"/>
        <w:tblLayout w:type="fixed"/>
        <w:tblCellMar>
          <w:top w:w="0" w:type="dxa"/>
          <w:left w:w="0" w:type="dxa"/>
          <w:bottom w:w="0" w:type="dxa"/>
          <w:right w:w="0" w:type="dxa"/>
        </w:tblCellMar>
      </w:tblPr>
      <w:tblGrid>
        <w:gridCol w:w="5105"/>
        <w:gridCol w:w="60"/>
        <w:gridCol w:w="125"/>
        <w:gridCol w:w="845"/>
        <w:gridCol w:w="185"/>
        <w:gridCol w:w="60"/>
        <w:gridCol w:w="125"/>
        <w:gridCol w:w="845"/>
        <w:gridCol w:w="185"/>
      </w:tblGrid>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ACL on loans at the beginning of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59,929</w:t>
            </w:r>
          </w:p>
        </w:tc>
        <w:tc>
          <w:tcPr>
            <w:tcW w:w="18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provision for loan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2,407</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charge-offs (recoveries)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Owner occupied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Construction, land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Multifamily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Non-owner occupied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 − Land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 − Production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First lien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Construction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HELOC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8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Junior lien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charge-offs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ACL on loans at the end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61,929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Components of ACL: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ACL on HTM debt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8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ACL on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61,929</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ACL on off-balance sheet credit exposures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ACL at end of the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54,014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68,050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4,034,744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4,085,483</w:t>
            </w:r>
          </w:p>
        </w:tc>
        <w:tc>
          <w:tcPr>
            <w:tcW w:w="18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total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4,029,719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4,022,863</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ACL on loans to total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ACL on loans to nonaccrual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ACL on loans to nonperforming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93.73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charge-offs/(recoveries) to average total loans (annualized)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8785" w:type="dxa"/>
        <w:jc w:val="left"/>
        <w:tblInd w:w="0" w:type="dxa"/>
        <w:tblLayout w:type="fixed"/>
        <w:tblCellMar>
          <w:top w:w="0" w:type="dxa"/>
          <w:left w:w="0" w:type="dxa"/>
          <w:bottom w:w="0" w:type="dxa"/>
          <w:right w:w="0" w:type="dxa"/>
        </w:tblCellMar>
      </w:tblPr>
      <w:tblGrid>
        <w:gridCol w:w="60"/>
        <w:gridCol w:w="230"/>
        <w:gridCol w:w="849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(1)</w:t>
            </w:r>
          </w:p>
        </w:tc>
        <w:tc>
          <w:tcPr>
            <w:tcW w:w="8495"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Additional information related to net charge-offs (recoveries) is presented in the following table for the periods indicated.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153" w:type="dxa"/>
        <w:jc w:val="left"/>
        <w:tblInd w:w="0" w:type="dxa"/>
        <w:tblLayout w:type="fixed"/>
        <w:tblCellMar>
          <w:top w:w="0" w:type="dxa"/>
          <w:left w:w="0" w:type="dxa"/>
          <w:bottom w:w="0" w:type="dxa"/>
          <w:right w:w="0" w:type="dxa"/>
        </w:tblCellMar>
      </w:tblPr>
      <w:tblGrid>
        <w:gridCol w:w="3740"/>
        <w:gridCol w:w="60"/>
        <w:gridCol w:w="206"/>
        <w:gridCol w:w="804"/>
        <w:gridCol w:w="60"/>
        <w:gridCol w:w="60"/>
        <w:gridCol w:w="256"/>
        <w:gridCol w:w="694"/>
        <w:gridCol w:w="60"/>
        <w:gridCol w:w="60"/>
        <w:gridCol w:w="273"/>
        <w:gridCol w:w="1066"/>
        <w:gridCol w:w="80"/>
        <w:gridCol w:w="60"/>
        <w:gridCol w:w="125"/>
        <w:gridCol w:w="845"/>
        <w:gridCol w:w="60"/>
        <w:gridCol w:w="60"/>
        <w:gridCol w:w="160"/>
        <w:gridCol w:w="1179"/>
        <w:gridCol w:w="245"/>
      </w:tblGrid>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8"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8"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Charge-offs</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Charge-offs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(Recoveries) to</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Charge-offs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(Recoveries)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Loans</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0.57</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lineRule="auto" w:line="288"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 (1)</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923,773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FFFF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2,810,410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0.83</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4,047,566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business lending</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 Owner occupied</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commercial and business lending</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1,044,383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commercial real estate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land and development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Non-owner occupied</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981,601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investor commercial real estate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agricultural</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FFFF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commercial</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2,869,471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real estate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lien</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HELOC</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lien</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24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residential real estate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consumer</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24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4,059,270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allocation of the ACL on loans as of the dates presented:</w:t>
      </w:r>
    </w:p>
    <w:p>
      <w:pPr>
        <w:pStyle w:val="TextBody"/>
        <w:bidi w:val="0"/>
        <w:spacing w:before="0" w:after="0"/>
        <w:ind w:left="0" w:right="0" w:hanging="0"/>
        <w:jc w:val="left"/>
        <w:rPr>
          <w:caps w:val="false"/>
          <w:smallCaps w:val="false"/>
        </w:rPr>
      </w:pPr>
      <w:r>
        <w:rPr>
          <w:caps w:val="false"/>
          <w:smallCaps w:val="false"/>
        </w:rPr>
        <w:t> </w:t>
      </w:r>
    </w:p>
    <w:tbl>
      <w:tblPr>
        <w:tblW w:w="8067" w:type="dxa"/>
        <w:jc w:val="left"/>
        <w:tblInd w:w="0" w:type="dxa"/>
        <w:tblLayout w:type="fixed"/>
        <w:tblCellMar>
          <w:top w:w="0" w:type="dxa"/>
          <w:left w:w="0" w:type="dxa"/>
          <w:bottom w:w="0" w:type="dxa"/>
          <w:right w:w="0" w:type="dxa"/>
        </w:tblCellMar>
      </w:tblPr>
      <w:tblGrid>
        <w:gridCol w:w="3575"/>
        <w:gridCol w:w="60"/>
        <w:gridCol w:w="158"/>
        <w:gridCol w:w="747"/>
        <w:gridCol w:w="60"/>
        <w:gridCol w:w="60"/>
        <w:gridCol w:w="106"/>
        <w:gridCol w:w="859"/>
        <w:gridCol w:w="185"/>
        <w:gridCol w:w="60"/>
        <w:gridCol w:w="161"/>
        <w:gridCol w:w="744"/>
        <w:gridCol w:w="71"/>
        <w:gridCol w:w="71"/>
        <w:gridCol w:w="106"/>
        <w:gridCol w:w="859"/>
        <w:gridCol w:w="185"/>
      </w:tblGrid>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r>
          </w:p>
        </w:tc>
        <w:tc>
          <w:tcPr>
            <w:tcW w:w="185"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Allocated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loans to</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Allocated</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loans to</w:t>
            </w:r>
          </w:p>
        </w:tc>
        <w:tc>
          <w:tcPr>
            <w:tcW w:w="185"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loans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w:t>
            </w:r>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loans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Owner occupied</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Construction, land and development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Multifamily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8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 Non-owner occupied</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18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 − Land</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Agricultural − Production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First lien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18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Construction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HELOC</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RRE − Junior lien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consumer</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61,915</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8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ordinary course of business, the Company enters into commitments to extend credit, including commitments under credit arrangements, commercial letters of credit, and standby letters of credit. Such financial instruments are recorded when they are funded. An ACL on off-balance sheet credit exposures is measured using similar internal and external assumptions as the ACL on loans. This allowance is located in accrued expenses and other liabilities on the consolidated balance sheets. The ACL for unfunded commitments was $3.4 million and $6.0 million as of March 31,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Deposit inflows and outflows are influenced by prevailing market interest rates, competition, local and economic conditions, and fluctuations in the Company’s customers’ own liquidity needs and may also be influenced by recent developments in the financial services industry, including the large-scale deposit withdrawals over a short period of time that resulted in bank failures.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deposits were $4.3 billion as of March 31, 2026, an increase of $155.9 million, or 3.7%, from December 31, 2025. Interest-bearing deposits increased $106.2 million during this period, while noninterest-bearing deposits increased $49.7 million. The increase in total deposits was driven by growth in commercial deposits due to new and expanded client relationships and funding structure diversification through the utilization of callable brokered CDs. This growth was partially offset by outflows from our public funds depositors, which reached a typical seasonal low in the third quarter of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composition of the Company’s deposit portfolio as of March 31, 2026 and December 31, 2025: </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80"/>
        <w:gridCol w:w="60"/>
        <w:gridCol w:w="125"/>
        <w:gridCol w:w="845"/>
        <w:gridCol w:w="60"/>
        <w:gridCol w:w="60"/>
        <w:gridCol w:w="96"/>
        <w:gridCol w:w="778"/>
        <w:gridCol w:w="185"/>
        <w:gridCol w:w="60"/>
        <w:gridCol w:w="125"/>
        <w:gridCol w:w="847"/>
        <w:gridCol w:w="60"/>
        <w:gridCol w:w="60"/>
        <w:gridCol w:w="96"/>
        <w:gridCol w:w="778"/>
        <w:gridCol w:w="185"/>
        <w:gridCol w:w="60"/>
        <w:gridCol w:w="125"/>
        <w:gridCol w:w="695"/>
        <w:gridCol w:w="80"/>
        <w:gridCol w:w="60"/>
        <w:gridCol w:w="90"/>
        <w:gridCol w:w="575"/>
        <w:gridCol w:w="18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demand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demand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18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and savings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570,960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576,542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4,347,882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4,192,003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(1)</w:t>
            </w:r>
          </w:p>
        </w:tc>
        <w:tc>
          <w:tcPr>
            <w:tcW w:w="9928"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Money market and savings deposits included health savings account deposits of $217.9 million and $203.4 million as of March 31, 2026 and December 31, 2025, respectively.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average balances and rates of the Company’s deposit portfolio for the three months ended March 31, 2026 and 2025: </w:t>
      </w:r>
    </w:p>
    <w:p>
      <w:pPr>
        <w:pStyle w:val="TextBody"/>
        <w:bidi w:val="0"/>
        <w:spacing w:before="0" w:after="0"/>
        <w:ind w:left="0" w:right="0" w:firstLine="720"/>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2330"/>
        <w:gridCol w:w="60"/>
        <w:gridCol w:w="125"/>
        <w:gridCol w:w="845"/>
        <w:gridCol w:w="60"/>
        <w:gridCol w:w="60"/>
        <w:gridCol w:w="100"/>
        <w:gridCol w:w="640"/>
        <w:gridCol w:w="185"/>
        <w:gridCol w:w="60"/>
        <w:gridCol w:w="125"/>
        <w:gridCol w:w="845"/>
        <w:gridCol w:w="60"/>
        <w:gridCol w:w="60"/>
        <w:gridCol w:w="100"/>
        <w:gridCol w:w="640"/>
        <w:gridCol w:w="185"/>
      </w:tblGrid>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185"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demand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demand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18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and savings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8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569,065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688,569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4,238,712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4,376,597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composition of the Company’s deposit portfolio by client segment as of March 31, 2026 and December 31, 2025: </w:t>
      </w:r>
    </w:p>
    <w:p>
      <w:pPr>
        <w:pStyle w:val="TextBody"/>
        <w:bidi w:val="0"/>
        <w:spacing w:before="0" w:after="0"/>
        <w:ind w:left="0" w:right="0" w:firstLine="72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3020"/>
        <w:gridCol w:w="60"/>
        <w:gridCol w:w="125"/>
        <w:gridCol w:w="845"/>
        <w:gridCol w:w="60"/>
        <w:gridCol w:w="60"/>
        <w:gridCol w:w="96"/>
        <w:gridCol w:w="778"/>
        <w:gridCol w:w="185"/>
        <w:gridCol w:w="60"/>
        <w:gridCol w:w="125"/>
        <w:gridCol w:w="847"/>
        <w:gridCol w:w="60"/>
        <w:gridCol w:w="60"/>
        <w:gridCol w:w="96"/>
        <w:gridCol w:w="778"/>
        <w:gridCol w:w="185"/>
        <w:gridCol w:w="60"/>
        <w:gridCol w:w="125"/>
        <w:gridCol w:w="695"/>
        <w:gridCol w:w="80"/>
        <w:gridCol w:w="60"/>
        <w:gridCol w:w="90"/>
        <w:gridCol w:w="575"/>
        <w:gridCol w:w="185"/>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18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Synergistic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sz w:val="20"/>
              </w:rPr>
            </w:pPr>
            <w:r>
              <w:rPr>
                <w:rFonts w:ascii="Times New Roman;Times;serif" w:hAnsi="Times New Roman;Times;serif"/>
                <w:sz w:val="20"/>
              </w:rPr>
              <w:t>Retirement and benefit services (3)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Wealth advisory services (4)</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230,856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252,578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2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synergistic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973,285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978,196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20"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4,347,882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4,192,003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(1)</w:t>
            </w:r>
          </w:p>
        </w:tc>
        <w:tc>
          <w:tcPr>
            <w:tcW w:w="9937"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Public deposits primarily represent municipalities, school districts, and other governmental entities that receive public funding. </w:t>
            </w:r>
          </w:p>
        </w:tc>
      </w:tr>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sz w:val="16"/>
              </w:rPr>
            </w:pPr>
            <w:r>
              <w:rPr>
                <w:sz w:val="16"/>
              </w:rPr>
              <w:t>(2)</w:t>
            </w:r>
          </w:p>
        </w:tc>
        <w:tc>
          <w:tcPr>
            <w:tcW w:w="9937" w:type="dxa"/>
            <w:tcBorders/>
            <w:vAlign w:val="center"/>
          </w:tcPr>
          <w:p>
            <w:pPr>
              <w:pStyle w:val="TableContents"/>
              <w:bidi w:val="0"/>
              <w:spacing w:before="0" w:after="283"/>
              <w:jc w:val="left"/>
              <w:rPr>
                <w:sz w:val="16"/>
              </w:rPr>
            </w:pPr>
            <w:r>
              <w:rPr>
                <w:sz w:val="16"/>
              </w:rPr>
              <w:t>Synergistic deposits represent the on-balance sheet money market balances that Alerus Retirement and Benefit Services and Alerus Wealth Advisory Services clients hold in proprietary Alerus money market products. </w:t>
            </w:r>
          </w:p>
        </w:tc>
      </w:tr>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sz w:val="16"/>
              </w:rPr>
            </w:pPr>
            <w:r>
              <w:rPr>
                <w:sz w:val="16"/>
              </w:rPr>
              <w:t>(3)</w:t>
            </w:r>
          </w:p>
        </w:tc>
        <w:tc>
          <w:tcPr>
            <w:tcW w:w="9937" w:type="dxa"/>
            <w:tcBorders/>
            <w:vAlign w:val="center"/>
          </w:tcPr>
          <w:p>
            <w:pPr>
              <w:pStyle w:val="TableContents"/>
              <w:bidi w:val="0"/>
              <w:spacing w:before="0" w:after="283"/>
              <w:jc w:val="left"/>
              <w:rPr>
                <w:sz w:val="16"/>
              </w:rPr>
            </w:pPr>
            <w:r>
              <w:rPr>
                <w:sz w:val="16"/>
              </w:rPr>
              <w:t>$373.1 million and $395.7 million of retirement and benefit services synergistic deposits were indexed as of March 31, 2026 and December 31, 2025, respectively. </w:t>
            </w:r>
          </w:p>
        </w:tc>
      </w:tr>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sz w:val="16"/>
              </w:rPr>
            </w:pPr>
            <w:r>
              <w:rPr>
                <w:sz w:val="16"/>
              </w:rPr>
              <w:t>(4)</w:t>
            </w:r>
          </w:p>
        </w:tc>
        <w:tc>
          <w:tcPr>
            <w:tcW w:w="9937" w:type="dxa"/>
            <w:tcBorders/>
            <w:vAlign w:val="center"/>
          </w:tcPr>
          <w:p>
            <w:pPr>
              <w:pStyle w:val="TableContents"/>
              <w:bidi w:val="0"/>
              <w:spacing w:before="0" w:after="283"/>
              <w:jc w:val="left"/>
              <w:rPr>
                <w:sz w:val="16"/>
              </w:rPr>
            </w:pPr>
            <w:r>
              <w:rPr>
                <w:sz w:val="16"/>
              </w:rPr>
              <w:t>$230.9 million and $252.6 million of wealth advisory services synergistic deposits were indexed as of March 31, 2026 and December 31, 2025, respectively.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contractual maturity of time deposits, including certificate of deposit account registry services and IRA deposits of $250,000 and over, that were outstanding as of March 31, 2026: </w:t>
      </w:r>
    </w:p>
    <w:p>
      <w:pPr>
        <w:pStyle w:val="TextBody"/>
        <w:bidi w:val="0"/>
        <w:spacing w:before="0" w:after="0"/>
        <w:ind w:left="0" w:right="0" w:firstLine="720"/>
        <w:jc w:val="left"/>
        <w:rPr>
          <w:caps w:val="false"/>
          <w:smallCaps w:val="false"/>
        </w:rPr>
      </w:pPr>
      <w:r>
        <w:rPr>
          <w:caps w:val="false"/>
          <w:smallCaps w:val="false"/>
        </w:rPr>
        <w:t> </w:t>
      </w:r>
    </w:p>
    <w:tbl>
      <w:tblPr>
        <w:tblW w:w="2829" w:type="dxa"/>
        <w:jc w:val="left"/>
        <w:tblInd w:w="0" w:type="dxa"/>
        <w:tblLayout w:type="fixed"/>
        <w:tblCellMar>
          <w:top w:w="0" w:type="dxa"/>
          <w:left w:w="0" w:type="dxa"/>
          <w:bottom w:w="0" w:type="dxa"/>
          <w:right w:w="0" w:type="dxa"/>
        </w:tblCellMar>
      </w:tblPr>
      <w:tblGrid>
        <w:gridCol w:w="1820"/>
        <w:gridCol w:w="60"/>
        <w:gridCol w:w="135"/>
        <w:gridCol w:w="754"/>
        <w:gridCol w:w="60"/>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Maturing in:</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months or less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80,745</w:t>
            </w:r>
          </w:p>
        </w:tc>
        <w:tc>
          <w:tcPr>
            <w:tcW w:w="6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months to 6 months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75,619</w:t>
            </w:r>
          </w:p>
        </w:tc>
        <w:tc>
          <w:tcPr>
            <w:tcW w:w="6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 months to 1 year</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28,135</w:t>
            </w:r>
          </w:p>
        </w:tc>
        <w:tc>
          <w:tcPr>
            <w:tcW w:w="6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year or greater</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190,709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total uninsured deposits, which are amounts of deposit accounts that exceed the FDIC insurance limit, currently $250,000, were approximately $1.4 billion at both March 31, 2026 and December 31, 2025. These amounts were estimated based on the same methodologies used for regulatory reporting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Borrowings as of March 31, 2026 and December 31, 2025 were as follows: </w:t>
      </w:r>
    </w:p>
    <w:p>
      <w:pPr>
        <w:pStyle w:val="TextBody"/>
        <w:bidi w:val="0"/>
        <w:spacing w:before="0" w:after="0"/>
        <w:ind w:left="0" w:right="0" w:hanging="0"/>
        <w:jc w:val="left"/>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2570"/>
        <w:gridCol w:w="60"/>
        <w:gridCol w:w="125"/>
        <w:gridCol w:w="695"/>
        <w:gridCol w:w="60"/>
        <w:gridCol w:w="60"/>
        <w:gridCol w:w="96"/>
        <w:gridCol w:w="778"/>
        <w:gridCol w:w="185"/>
        <w:gridCol w:w="60"/>
        <w:gridCol w:w="138"/>
        <w:gridCol w:w="767"/>
        <w:gridCol w:w="66"/>
        <w:gridCol w:w="66"/>
        <w:gridCol w:w="96"/>
        <w:gridCol w:w="778"/>
        <w:gridCol w:w="18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center"/>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w:t>
            </w:r>
          </w:p>
        </w:tc>
        <w:tc>
          <w:tcPr>
            <w:tcW w:w="18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 funds purchased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short-term advances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p>
        </w:tc>
        <w:tc>
          <w:tcPr>
            <w:tcW w:w="18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18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Junior subordinated debentures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9,182</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borrowed funds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259,211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367,982</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equity is influenced primarily by earnings, dividends, the Company’s sales and repurchases of its common stock and changes in accumulated other comprehensive income caused primarily by fluctuations in unrealized gains or losses, net of taxes, on available-for-sale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equity increased $9.8 million, or 1.7%, to $574.7 million as of March 31, 2026, compared to $564.9 million as of December 31, 2025. Tangible common equity to tangible assets, a non-GAAP financial measure, increased to 8.85% as of March 31, 2026, from 7.43% as of December 31, 2025. Common equity tier 1 capital to risk weighted assets increased to 10.60% as of March 31, 2026, from 10.28% as of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strives to maintain an adequate capital base to support the Company’s activities in a safe and sound manner while at the same time attempting to maximize stockholder value. Capital adequacy is assessed against the risk inherent in the Company’s balance sheet, recognizing that unexpected loss is the common denominator of risk, and that common equity has the greatest capacity to absorb unexpected loss.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subject to various regulatory capital requirements both at the Company and at the Bank level. Failure to meet minimum capital requirements could result in certain mandatory and possible additional discretionary actions by regulators that, if undertaken, could have an adverse material effect on the Company’s financial statements. Under capital adequacy guidelines and the regulatory framework for prompt corrective action, specific capital guidelines must be met that involve quantitative measures of assets, liabilities, and certain off-balance sheet items as calculated under regulatory accounting policies. The Company has consistently maintained regulatory capital ratios at or above the well-capitalized standards.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March 31, 2026 and December 31, 2025, the Company met all the capital adequacy requirements to which the Company was subject. The table below presents the Company’s and the Bank’s regulatory capital ratios and the Company’s tangible common equity to tangible assets ratio as of March 31, 2026 and December 31, 2025: </w:t>
      </w:r>
    </w:p>
    <w:p>
      <w:pPr>
        <w:pStyle w:val="TextBody"/>
        <w:bidi w:val="0"/>
        <w:spacing w:before="0" w:after="0"/>
        <w:ind w:left="0" w:right="0" w:hanging="0"/>
        <w:jc w:val="left"/>
        <w:rPr>
          <w:caps w:val="false"/>
          <w:smallCaps w:val="false"/>
        </w:rPr>
      </w:pPr>
      <w:r>
        <w:rPr>
          <w:caps w:val="false"/>
          <w:smallCaps w:val="false"/>
        </w:rPr>
        <w:t> </w:t>
      </w:r>
    </w:p>
    <w:tbl>
      <w:tblPr>
        <w:tblW w:w="6818" w:type="dxa"/>
        <w:jc w:val="left"/>
        <w:tblInd w:w="0" w:type="dxa"/>
        <w:tblLayout w:type="fixed"/>
        <w:tblCellMar>
          <w:top w:w="0" w:type="dxa"/>
          <w:left w:w="0" w:type="dxa"/>
          <w:bottom w:w="0" w:type="dxa"/>
          <w:right w:w="0" w:type="dxa"/>
        </w:tblCellMar>
      </w:tblPr>
      <w:tblGrid>
        <w:gridCol w:w="4265"/>
        <w:gridCol w:w="60"/>
        <w:gridCol w:w="96"/>
        <w:gridCol w:w="793"/>
        <w:gridCol w:w="185"/>
        <w:gridCol w:w="60"/>
        <w:gridCol w:w="128"/>
        <w:gridCol w:w="1046"/>
        <w:gridCol w:w="185"/>
      </w:tblGrid>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 Ratios</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Alerus Financial Corporation Consolidated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equity tier 1 capital to risk weighted assets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risk weighted assets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to risk weighted assets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average assets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common equity to tangible assets (1)</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Alerus Financial, National Association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equity tier 1 capital to risk weighted assets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risk weighted assets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to risk weighted assets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capital to average assets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9925" w:type="dxa"/>
        <w:jc w:val="left"/>
        <w:tblInd w:w="0" w:type="dxa"/>
        <w:tblLayout w:type="fixed"/>
        <w:tblCellMar>
          <w:top w:w="0" w:type="dxa"/>
          <w:left w:w="0" w:type="dxa"/>
          <w:bottom w:w="0" w:type="dxa"/>
          <w:right w:w="0" w:type="dxa"/>
        </w:tblCellMar>
      </w:tblPr>
      <w:tblGrid>
        <w:gridCol w:w="230"/>
        <w:gridCol w:w="969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9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Represents a non-GAAP financial measure. See “Non-GAAP to GAAP Reconciliations and Calculation of Non-GAAP Financial Measures.”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regulatory capital ratios for the Company and the Bank, as of March 31, 2026, as shown in the above table, were at levels above the regulatory minimums to be considered “well capitalized.” See “NOTE 19 Regulatory Matters” of the consolidated financial statements for additional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Off</w:t>
      </w:r>
      <w:r>
        <w:rPr>
          <w:rFonts w:ascii="Times New Roman" w:hAnsi="Times New Roman"/>
          <w:caps w:val="false"/>
          <w:smallCaps w:val="false"/>
          <w:sz w:val="20"/>
        </w:rPr>
        <w:noBreakHyphen/>
      </w:r>
      <w:r>
        <w:rPr>
          <w:rFonts w:ascii="Times New Roman" w:hAnsi="Times New Roman"/>
          <w:b/>
          <w:i/>
          <w:caps w:val="false"/>
          <w:smallCaps w:val="false"/>
          <w:sz w:val="20"/>
        </w:rPr>
        <w:t>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a party to financial instruments with off</w:t>
        <w:noBreakHyphen/>
        <w:t>balance sheet risk in the normal course of business to meet the financing needs of the Company’s customers. These financial instruments consist primarily of commitments to extend credit and standby letters of credit. Commitments to extend credit are agreements to lend to customers, generally having fixed expiration dates or other termination clauses that may require payment of a fee. These commitments consist principally of unused commercial and consumer credit lines. Standby letters of credit generally are contingent upon the failure of the customer to perform according to the terms of an underlying contract with a third party. The credit risks associated with commitments to extend credit and standby letters of credit are essentially the same as that involved with extending loans to customers and are subject to normal credit policies. Collateral may be required based on management’s assessment of the customer’s creditworthiness. The fair value of these commitments is considered immaterial for disclosure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of the contractual amounts of the Company’s exposure to off</w:t>
        <w:noBreakHyphen/>
        <w:t>balance sheet agreements as of March 31, 2026 and December 31, 2025, was as follows: </w:t>
      </w:r>
    </w:p>
    <w:p>
      <w:pPr>
        <w:pStyle w:val="TextBody"/>
        <w:bidi w:val="0"/>
        <w:spacing w:before="0" w:after="0"/>
        <w:ind w:left="0" w:right="0" w:hanging="0"/>
        <w:jc w:val="left"/>
        <w:rPr>
          <w:caps w:val="false"/>
          <w:smallCaps w:val="false"/>
        </w:rPr>
      </w:pPr>
      <w:r>
        <w:rPr>
          <w:caps w:val="false"/>
          <w:smallCaps w:val="false"/>
        </w:rPr>
        <w:t> </w:t>
      </w:r>
    </w:p>
    <w:tbl>
      <w:tblPr>
        <w:tblW w:w="4864" w:type="dxa"/>
        <w:jc w:val="left"/>
        <w:tblInd w:w="0" w:type="dxa"/>
        <w:tblLayout w:type="fixed"/>
        <w:tblCellMar>
          <w:top w:w="0" w:type="dxa"/>
          <w:left w:w="0" w:type="dxa"/>
          <w:bottom w:w="0" w:type="dxa"/>
          <w:right w:w="0" w:type="dxa"/>
        </w:tblCellMar>
      </w:tblPr>
      <w:tblGrid>
        <w:gridCol w:w="2480"/>
        <w:gridCol w:w="60"/>
        <w:gridCol w:w="125"/>
        <w:gridCol w:w="845"/>
        <w:gridCol w:w="60"/>
        <w:gridCol w:w="60"/>
        <w:gridCol w:w="151"/>
        <w:gridCol w:w="1023"/>
        <w:gridCol w:w="60"/>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to extend credit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1,038,347</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Standby letters of credit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1,019,401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1,052,740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Liquidity management is the process by which the Company manages the flow of funds necessary to meet the Company’s financial commitments on a timely basis and at a reasonable cost and to take advantage of earnings enhancement opportunities. These financial commitments include withdrawals by depositors, credit commitments to borrowers, expenses of the Company’s operations, and capital expenditures. Liquidity is monitored and closely managed by the Company’s asset and liability committee (the “ALCO”), a group of senior officers from the finance, enterprise risk management, deposit, investment, treasury, and lending areas. It is the ALCO’s responsibility to ensure the Company has the necessary level of funds available for normal operations as well as maintain a contingency funding policy to ensure that potential liquidity stress events are planned for, quickly identified, and that management has plans in place to respond. The ALCO has created policies which establish limits and require measurements to monitor liquidity trends, including modeling and management reporting that identifies the amounts and costs of all available funding 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March 31, 2026, the Company had on balance sheet liquidity of $413.2 million, compared to $568.8 million as of December 31, 2025. On balance sheet liquidity includes cash and cash equivalents, federal funds sold, unencumbered securities available</w:t>
        <w:noBreakHyphen/>
        <w:t>for</w:t>
        <w:noBreakHyphen/>
        <w:t>sale, and over collateralized securities pledging positions available-for-sale.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March 31, 2026, the Company had off balance sheet liquidity of $2.3 billion, compared to $2.2 billion as of December 31, 2025. Off balance sheet liquidity includes FHLB borrowing capacity, federal funds lines, and brokered deposit capacity.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Bank is a member of the FHLB, which provides short</w:t>
        <w:noBreakHyphen/>
        <w:t xml:space="preserve"> and long</w:t>
        <w:noBreakHyphen/>
        <w:t>term funding to its members through advances collateralized by real estate related assets and other select collateral, most typically in the form of debt securities. Actual borrowing capacity is contingent on the amount of collateral available to be pledged to the FHLB. As of March 31, 2026, the Company did not have any federal funds purchased, and had $200.0 million in short-term borrowings from the FHLB. As of March 31, 2026, the Company had $2.1 billion of collateral pledged to the FHLB and, based on this collateral, the Company was eligible to borrow up to an additional $1.1 billion from the FHLB. In addition, the Company can borrow up to $127.0 million through the unsecured lines of credit the Company has established with five other correspondent banks.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because the Bank is “well capitalized,” the Company can accept wholesale deposits up to 20.0% of total assets based on current policy limits, or $1.1 billion, as of March 31, 2026. Management believed that the Company had adequate resources to fund all of the Company’s commitments as of March 31, 2026 and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primary sources of liquidity include liquid assets, as well as unencumbered securities that can be used to collateralize additional funding.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Though remote, the possibility of a funding crisis exists at all financial institutions. Management has addressed this issue by formulating a liquidity contingency plan, which has been reviewed and approved by both the Bank’s Board of Directors and the ALCO. The plan addresses the actions that the Company would take in response to both a short</w:t>
        <w:noBreakHyphen/>
        <w:t>term and long</w:t>
        <w:noBreakHyphen/>
        <w:t>term funding crisis.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short</w:t>
        <w:noBreakHyphen/>
        <w:t>term funding crisis would most likely result from a shock to the financial system, either internal or external, which disrupts orderly short</w:t>
        <w:noBreakHyphen/>
        <w:t>term funding operations. Such a crisis would likely be temporary in nature and would not involve a change in credit ratings. A long</w:t>
        <w:noBreakHyphen/>
        <w:t>term funding crisis would most likely be the result of both external and internal factors and would most likely result in drastic credit deterioration. Management believes that both potential circumstances have been fully addressed through detailed action plans and the establishment of trigger points for monitoring such events.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0" w:name="qqdmr"/>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Market risk is the risk of loss arising from adverse changes in the fair value of financial instruments due to changes in interest rates. Interest rate risk is the risk to earnings and equity value arising from changes in market interest rates and arises in the normal course of business to the extent that there is a divergence between the amount of interest earning assets and the amount of interest</w:t>
        <w:noBreakHyphen/>
        <w:t>bearing liabilities that are prepaid/withdrawn, re</w:t>
        <w:noBreakHyphen/>
        <w:t>price, or mature in specified periods. The Company seeks to achieve consistent growth in net interest income and equity while managing volatility arising from shifts in market interest rates. The ALCO oversees market risk management, monitoring risk measures, limits, and policy guidelines for managing the amount of interest rate risk and its effect on net interest income and capital. The Bank’s Board of Directors approves policy limits with respect to interest rate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Rate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rate risk management is an active process that encompasses monitoring loan and deposit flows complemented by investment and funding activities. Effective interest rate risk management begins with understanding the dynamic characteristics of assets and liabilities and determining the appropriate interest rate risk position given business activities, management objectives, market expectations and ALCO policy limits and guidelines.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rate risk can come in a variety of forms, including repricing risk, basis risk, yield curve risk and option risk. Repricing risk is the risk of adverse consequences from a change in interest rates that arises because of differences in the timing of when those interest rate changes impact the Company’s assets and liabilities. Basis risk is the risk of adverse consequence resulting from unequal change in the spread between two or more rates for different instruments with the same maturity. Yield curve risk is the risk of adverse consequences resulting from unequal changes in the spread between two or more rates for different maturities for the same or different instruments. Option risk in financial instruments arises from embedded options such as options provided to borrowers to make unscheduled loan prepayments, options provided to debt issuers to exercise call options prior to maturity, and depositor options to make withdrawals and early redemptions.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regularly reviews the Company’s exposure to changes in interest rates. Among the factors considered are changes in the mix of interest earning assets and interest</w:t>
        <w:noBreakHyphen/>
        <w:t>bearing liabilities, interest rate spreads and repricing periods. The ALCO reviews, on at least a quarterly basis, the interest rate risk position.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interest</w:t>
        <w:noBreakHyphen/>
        <w:t>rate risk position is measured and monitored at the Bank using net interest income simulation models and economic value of equity sensitivity analysis that capture both short</w:t>
        <w:noBreakHyphen/>
        <w:t>term and long</w:t>
        <w:noBreakHyphen/>
        <w:t>term interest</w:t>
        <w:noBreakHyphen/>
        <w:t>rate risk exposure.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Modeling the sensitivity of net interest income and the economic value of equity to changes in market interest rates is highly dependent on numerous assumptions incorporated into the modeling process. The models used for these measurements rely on estimates of the potential impact that changes in interest rates may have on the value and prepayment speeds on all components of the Company’s loan portfolio, investment portfolio, as well as embedded options and cash flows of other assets and liabilities. The balance sheet composition and size are assumed to remain static in the simulation modeling process. The analysis provides a framework as to what the Company’s overall sensitivity position is as of the Company’s most recent reported position and the impact that potential changes in interest rates may have on net interest income and the economic value of the Company’s 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interest income simulation involves forecasting net interest income under a variety of interest rate scenarios including instantaneous shocks.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estimated impact on the Company’s net interest income as of March 31, 2026 and December 31, 2025, assuming immediate parallel moves in interest rates, is presented in the table below: </w:t>
      </w:r>
    </w:p>
    <w:p>
      <w:pPr>
        <w:pStyle w:val="TextBody"/>
        <w:bidi w:val="0"/>
        <w:spacing w:before="0" w:after="0"/>
        <w:ind w:left="0" w:right="0" w:hanging="0"/>
        <w:jc w:val="left"/>
        <w:rPr>
          <w:caps w:val="false"/>
          <w:smallCaps w:val="false"/>
        </w:rPr>
      </w:pPr>
      <w:r>
        <w:rPr>
          <w:caps w:val="false"/>
          <w:smallCaps w:val="false"/>
        </w:rPr>
        <w:t> </w:t>
      </w:r>
    </w:p>
    <w:tbl>
      <w:tblPr>
        <w:tblW w:w="6182" w:type="dxa"/>
        <w:jc w:val="left"/>
        <w:tblInd w:w="0" w:type="dxa"/>
        <w:tblLayout w:type="fixed"/>
        <w:tblCellMar>
          <w:top w:w="0" w:type="dxa"/>
          <w:left w:w="0" w:type="dxa"/>
          <w:bottom w:w="0" w:type="dxa"/>
          <w:right w:w="0" w:type="dxa"/>
        </w:tblCellMar>
      </w:tblPr>
      <w:tblGrid>
        <w:gridCol w:w="1475"/>
        <w:gridCol w:w="60"/>
        <w:gridCol w:w="134"/>
        <w:gridCol w:w="755"/>
        <w:gridCol w:w="219"/>
        <w:gridCol w:w="71"/>
        <w:gridCol w:w="106"/>
        <w:gridCol w:w="783"/>
        <w:gridCol w:w="185"/>
        <w:gridCol w:w="60"/>
        <w:gridCol w:w="134"/>
        <w:gridCol w:w="755"/>
        <w:gridCol w:w="280"/>
        <w:gridCol w:w="91"/>
        <w:gridCol w:w="121"/>
        <w:gridCol w:w="768"/>
        <w:gridCol w:w="18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18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Following</w:t>
            </w:r>
          </w:p>
        </w:tc>
        <w:tc>
          <w:tcPr>
            <w:tcW w:w="219"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Following</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Following</w:t>
            </w:r>
          </w:p>
        </w:tc>
        <w:tc>
          <w:tcPr>
            <w:tcW w:w="28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Following</w:t>
            </w:r>
          </w:p>
        </w:tc>
        <w:tc>
          <w:tcPr>
            <w:tcW w:w="18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 months</w:t>
            </w:r>
          </w:p>
        </w:tc>
        <w:tc>
          <w:tcPr>
            <w:tcW w:w="219"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24 months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 months</w:t>
            </w:r>
          </w:p>
        </w:tc>
        <w:tc>
          <w:tcPr>
            <w:tcW w:w="28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24 months</w:t>
            </w:r>
          </w:p>
        </w:tc>
        <w:tc>
          <w:tcPr>
            <w:tcW w:w="18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+400 basis points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+300 basis points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+200 basis points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+100 basis points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100 basis points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200 basis points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300 basis points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400 basis points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strategies may impact future reporting periods, as actual results may differ from simulated results due to the timing, magnitude, and frequency of interest rate changes, the difference between actual experience and the characteristics assumed, as well as changes in market conditions. Market-based prepayment speeds are factored into the analysis for loan and securities portfolios. Rate sensitivity for transactional deposit accounts is modeled based on both historical experience and external industry studies.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uses an economic value of equity sensitivity analysis to understand the impact of interest rate changes on long</w:t>
        <w:noBreakHyphen/>
        <w:t>term cash flows, income, and capital. Economic value of equity is based on discounting the cash flows for all balance sheet instruments under different interest rate scenarios. Deposit premiums are based on external industry studies and utilizing historical experience.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presents the change in the economic value of equity as of March 31, 2026 and December 31, 2025, assuming immediate parallel shifts in interest rates: </w:t>
      </w:r>
    </w:p>
    <w:p>
      <w:pPr>
        <w:pStyle w:val="TextBody"/>
        <w:bidi w:val="0"/>
        <w:spacing w:before="0" w:after="0"/>
        <w:ind w:left="0" w:right="0" w:hanging="0"/>
        <w:jc w:val="left"/>
        <w:rPr>
          <w:caps w:val="false"/>
          <w:smallCaps w:val="false"/>
        </w:rPr>
      </w:pPr>
      <w:r>
        <w:rPr>
          <w:caps w:val="false"/>
          <w:smallCaps w:val="false"/>
        </w:rPr>
        <w:t> </w:t>
      </w:r>
    </w:p>
    <w:tbl>
      <w:tblPr>
        <w:tblW w:w="4029" w:type="dxa"/>
        <w:jc w:val="left"/>
        <w:tblInd w:w="0" w:type="dxa"/>
        <w:tblLayout w:type="fixed"/>
        <w:tblCellMar>
          <w:top w:w="0" w:type="dxa"/>
          <w:left w:w="0" w:type="dxa"/>
          <w:bottom w:w="0" w:type="dxa"/>
          <w:right w:w="0" w:type="dxa"/>
        </w:tblCellMar>
      </w:tblPr>
      <w:tblGrid>
        <w:gridCol w:w="1475"/>
        <w:gridCol w:w="60"/>
        <w:gridCol w:w="105"/>
        <w:gridCol w:w="784"/>
        <w:gridCol w:w="185"/>
        <w:gridCol w:w="60"/>
        <w:gridCol w:w="141"/>
        <w:gridCol w:w="1034"/>
        <w:gridCol w:w="18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+400 basis points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+300 basis points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+200 basis points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+100 basis points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100 basis points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200 basis points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300 basis points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400 basis points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Operational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Operational risk is the risk of loss due to human behavior, inadequate or failed internal systems and controls, and external influences such as market conditions, fraudulent activities, disasters, and security risks. Management continuously strives to strengthen its system of internal controls, enterprise risk management, operating processes and employee awareness to assess the impact on earnings and capital and to improve the oversight of the Company’s operational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Compliance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Compliance risk represents the risk of regulatory sanctions, reputational impact or financial loss resulting from failure to comply with rules and regulations issued by the various banking agencies and standards of good banking practice. Activities which may expose the Company to compliance risk include, but are not limited to, those dealing with the prevention of money laundering, privacy and data protection, community reinvestment initiatives, fair lending challenges resulting from the expansion of the Company’s banking center network, employment and tax matters.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Strategic and Reputation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Strategic and reputation risk represents the risk of loss due to impairment of reputation, failure to fully develop and execute business plans, failure to assess current and new opportunities in business, markets and products, and any other event not identified in the defined risk types mentioned previously. Mitigation of the various risk elements that represent strategic and/or reputation risk is achieved through initiatives to help management better understand and report on various risks, including those related to the development of new products and business initiatives.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1" w:name="cps"/>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management, including the President and Chief Executive Officer and the Chief Financial Officer, have evaluated the effectiveness of the Company’s “disclosure controls and procedures” (as defined in Rule 13a</w:t>
        <w:noBreakHyphen/>
        <w:t>15(e) under the Securities Exchange Act of 1934, or the Exchange Act) as of the end of the period covered by this report. Based on such evaluation, the President and Chief Executive Officer and the Chief Financial Officer have concluded that, as of the end of such period, the Company’s disclosure controls and procedures were effective as of that date to provide reasonable assurance that the information required to be disclosed by the Company in the reports it files or submits under the Exchange Act is recorded, processed, summarized and reported within the time periods specified in the rules and forms of the SEC and that information required to be disclosed by the Company in the reports it files or submits under the Exchange Act is accumulated and communicated to the Company’s management, including its President and Chief Executive Officer and its Chief Financial Officer, as appropriate, to allow timely decisions regarding required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has been no change in the Company's internal control over financial reporting (as such term is defined in Rule 13a-15(f) under the Exchange Act) that occurred during the period covered by this Quarterly Report on Form 10-Q that has materially affected, or is reasonably likely to materially affect, the Company's internal control over financial reporting.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2" w:name="partii"/>
      <w:bookmarkEnd w:id="12"/>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w:t>
      </w:r>
      <w:r>
        <w:rPr>
          <w:rFonts w:ascii="Times New Roman" w:hAnsi="Times New Roman"/>
          <w:caps w:val="false"/>
          <w:smallCaps w:val="false"/>
          <w:sz w:val="20"/>
        </w:rPr>
        <w:t>—</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legal"/>
      <w:bookmarkEnd w:id="1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information regarding litigation, other disputes and regulatory proceedings see the section “Legal Contingencies” in “NOTE 12 Commitments and Contingencies” of the consolidated financial statements.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risks"/>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 </w:t>
      </w: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the risk factors disclosed in the Company’s Annual Report on Form 10-K filed with the SEC on March 4, 2026.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5" w:name="uses"/>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2 </w:t>
      </w:r>
      <w:r>
        <w:rPr>
          <w:rFonts w:ascii="Times New Roman" w:hAnsi="Times New Roman"/>
          <w:caps w:val="false"/>
          <w:smallCaps w:val="false"/>
          <w:sz w:val="20"/>
        </w:rPr>
        <w:t xml:space="preserve">– </w:t>
      </w:r>
      <w:r>
        <w:rPr>
          <w:rFonts w:ascii="Times New Roman" w:hAnsi="Times New Roman"/>
          <w:b/>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Repurchases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information related to repurchases of shares of the Company’s common stock for each calendar month in the first quarter of 2026: </w:t>
      </w:r>
    </w:p>
    <w:p>
      <w:pPr>
        <w:pStyle w:val="TextBody"/>
        <w:bidi w:val="0"/>
        <w:spacing w:before="0" w:after="0"/>
        <w:ind w:left="0" w:right="0" w:hanging="0"/>
        <w:jc w:val="left"/>
        <w:rPr>
          <w:caps w:val="false"/>
          <w:smallCaps w:val="false"/>
        </w:rPr>
      </w:pPr>
      <w:r>
        <w:rPr>
          <w:caps w:val="false"/>
          <w:smallCaps w:val="false"/>
        </w:rPr>
        <w:t> </w:t>
      </w:r>
    </w:p>
    <w:tbl>
      <w:tblPr>
        <w:tblW w:w="9861" w:type="dxa"/>
        <w:jc w:val="left"/>
        <w:tblInd w:w="0" w:type="dxa"/>
        <w:tblLayout w:type="fixed"/>
        <w:tblCellMar>
          <w:top w:w="0" w:type="dxa"/>
          <w:left w:w="0" w:type="dxa"/>
          <w:bottom w:w="0" w:type="dxa"/>
          <w:right w:w="0" w:type="dxa"/>
        </w:tblCellMar>
      </w:tblPr>
      <w:tblGrid>
        <w:gridCol w:w="3665"/>
        <w:gridCol w:w="60"/>
        <w:gridCol w:w="96"/>
        <w:gridCol w:w="1123"/>
        <w:gridCol w:w="60"/>
        <w:gridCol w:w="60"/>
        <w:gridCol w:w="184"/>
        <w:gridCol w:w="720"/>
        <w:gridCol w:w="60"/>
        <w:gridCol w:w="60"/>
        <w:gridCol w:w="137"/>
        <w:gridCol w:w="1607"/>
        <w:gridCol w:w="60"/>
        <w:gridCol w:w="60"/>
        <w:gridCol w:w="122"/>
        <w:gridCol w:w="1727"/>
        <w:gridCol w:w="60"/>
      </w:tblGrid>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 Number of</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Purchased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that May</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of 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Yet be Purchased</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(dollars in thousands,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Announced Plans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 the Plan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1-31, 2026</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6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7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1,000,000</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1-28, 2026</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6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7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1,000,000</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1-31, 2026</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257,620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(1)</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Includes shares of the Company’s common stock purchased by the Company’s Employee Stock Ownership Plan in open market purchases and shares surrendered by employees to the Company to pay withholding taxes on the vesting of restricted stock awards.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(2)</w:t>
            </w:r>
          </w:p>
        </w:tc>
        <w:tc>
          <w:tcPr>
            <w:tcW w:w="10025"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On December 12, 2023, the Board of Directors of the Company approved a stock repurchase program (the “Program”), which authorized the Company to repurchase up to 1,000,000 shares of its common stock, subject to certain limitations and conditions. The Program became effective on February 18, 2024, and replaced a prior stock repurchase program. The Program will expire on February 18, 2027. The Program does not obligate the Company to repurchase any shares of its common stock and there is no assurance that the Company will do so. For the three months ended March 31, 2026, the Company repurchased 250,000 shares of common stock under the Program. Does not include shares that may be purchased by the Company’s Employee Stock Ownership Plan.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Proceeds from 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6" w:name="duss"/>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msd"/>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 </w:t>
      </w:r>
    </w:p>
    <w:p>
      <w:pPr>
        <w:pStyle w:val="TextBody"/>
        <w:bidi w:val="0"/>
        <w:spacing w:before="0" w:after="283"/>
        <w:jc w:val="left"/>
        <w:rPr/>
      </w:pPr>
      <w:r>
        <w:rPr/>
        <w:t xml:space="preserve">  </w:t>
      </w:r>
    </w:p>
    <w:p>
      <w:pPr>
        <w:pStyle w:val="TextBody"/>
        <w:bidi w:val="0"/>
        <w:spacing w:before="0" w:after="0"/>
        <w:ind w:left="0" w:right="0" w:hanging="0"/>
        <w:jc w:val="left"/>
        <w:rPr/>
      </w:pPr>
      <w:bookmarkStart w:id="18" w:name="otherinfo"/>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xml:space="preserve"> –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fiscal quarter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none of the Company’s directors or executive officers adopted or terminated any contract, instruction or written plan for the purchase or sale of Company securities that was intended to satisfy the affirmative defense conditions of </w:t>
      </w:r>
      <w:r>
        <w:rPr>
          <w:rStyle w:val="Emphasis"/>
          <w:rFonts w:ascii="Times New Roman" w:hAnsi="Times New Roman"/>
          <w:caps w:val="false"/>
          <w:smallCaps w:val="false"/>
          <w:sz w:val="20"/>
        </w:rPr>
        <w:t>Rule10b5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9" w:name="exhibits"/>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r>
        <w:rPr>
          <w:rFonts w:ascii="Times New Roman" w:hAnsi="Times New Roman"/>
          <w:caps w:val="false"/>
          <w:smallCaps w:val="false"/>
          <w:sz w:val="20"/>
        </w:rPr>
        <w:t xml:space="preserve"> – </w:t>
      </w:r>
      <w:r>
        <w:rPr>
          <w:rFonts w:ascii="Times New Roman" w:hAnsi="Times New Roman"/>
          <w:b/>
          <w:caps w:val="false"/>
          <w:smallCaps w:val="false"/>
          <w:sz w:val="20"/>
        </w:rPr>
        <w:t>Exhibits</w:t>
      </w:r>
    </w:p>
    <w:tbl>
      <w:tblPr>
        <w:tblW w:w="10205" w:type="dxa"/>
        <w:jc w:val="left"/>
        <w:tblInd w:w="0" w:type="dxa"/>
        <w:tblLayout w:type="fixed"/>
        <w:tblCellMar>
          <w:top w:w="0" w:type="dxa"/>
          <w:left w:w="0" w:type="dxa"/>
          <w:bottom w:w="0" w:type="dxa"/>
          <w:right w:w="0" w:type="dxa"/>
        </w:tblCellMar>
      </w:tblPr>
      <w:tblGrid>
        <w:gridCol w:w="980"/>
        <w:gridCol w:w="60"/>
        <w:gridCol w:w="9165"/>
      </w:tblGrid>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vAlign w:val="center"/>
          </w:tcPr>
          <w:p>
            <w:pPr>
              <w:pStyle w:val="TableContents"/>
              <w:bidi w:val="0"/>
              <w:spacing w:before="0" w:after="283"/>
              <w:jc w:val="left"/>
              <w:rPr/>
            </w:pPr>
            <w:r>
              <w:rPr/>
              <w:t> </w:t>
            </w:r>
          </w:p>
        </w:tc>
        <w:tc>
          <w:tcPr>
            <w:tcW w:w="91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rPr>
                <w:t>Third Amended and Restated Certificate of Incorporation of Alerus Financial Corporation (incorporated herein by reference to Exhibit 3.1 on Form S-1 filed on August 16, 2019).</w:t>
              </w:r>
            </w:hyperlink>
            <w:r>
              <w:rPr>
                <w:rFonts w:ascii="Times New Roman" w:hAnsi="Times New Roman"/>
                <w:caps w:val="false"/>
                <w:smallCaps w:val="false"/>
                <w:sz w:val="20"/>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3.2</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hyperlink r:id="rId3">
              <w:r>
                <w:rPr>
                  <w:rStyle w:val="InternetLink"/>
                </w:rPr>
                <w:t>Amendment to Third Amended and Restated Certificate of Incorporation (incorporated herein by reference to Exhibit 3.1 on Form 8-K filed on May 12, 2025).</w:t>
              </w:r>
            </w:hyperlink>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Second Amended and Restated Bylaws of Alerus Financial Corporation (incorporated herein by reference to Exhibit 3.2 on Form S-1 filed on August 16, 2019).</w:t>
              </w:r>
            </w:hyperlink>
            <w:r>
              <w:rPr>
                <w:rFonts w:ascii="Times New Roman" w:hAnsi="Times New Roman"/>
                <w:caps w:val="false"/>
                <w:smallCaps w:val="false"/>
                <w:sz w:val="20"/>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hyperlink r:id="rId5">
              <w:r>
                <w:rPr>
                  <w:rStyle w:val="InternetLink"/>
                </w:rPr>
                <w:t>Modification Agreement by and between Alerus Financial Corporation and the Bank of North Dakota, dated March 30, 2026 (incorporated by reference to Exhibit 10.1 on Form 8-K filed on March 31, 2026.</w:t>
              </w:r>
            </w:hyperlink>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pPr>
            <w:hyperlink w:anchor="ex_929307.htm">
              <w:r>
                <w:rPr>
                  <w:rStyle w:val="InternetLink"/>
                  <w:rFonts w:ascii="Times New Roman" w:hAnsi="Times New Roman"/>
                  <w:caps w:val="false"/>
                  <w:smallCaps w:val="false"/>
                  <w:sz w:val="20"/>
                </w:rPr>
                <w:t>Chief Executive Officer’s Certifications required by Rule 13(a)</w:t>
                <w:noBreakHyphen/>
                <w:t>14(a) – filed herewith.</w:t>
              </w:r>
            </w:hyperlink>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pPr>
            <w:hyperlink w:anchor="ex_929308.htm">
              <w:r>
                <w:rPr>
                  <w:rStyle w:val="InternetLink"/>
                  <w:rFonts w:ascii="Times New Roman" w:hAnsi="Times New Roman"/>
                  <w:caps w:val="false"/>
                  <w:smallCaps w:val="false"/>
                  <w:sz w:val="20"/>
                </w:rPr>
                <w:t>Chief Financial Officer’s Certifications required by Rule 13(a)</w:t>
                <w:noBreakHyphen/>
                <w:t>14(a) – filed herewith.</w:t>
              </w:r>
            </w:hyperlink>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pPr>
            <w:hyperlink w:anchor="ex_929309.htm">
              <w:r>
                <w:rPr>
                  <w:rStyle w:val="InternetLink"/>
                  <w:rFonts w:ascii="Times New Roman" w:hAnsi="Times New Roman"/>
                  <w:caps w:val="false"/>
                  <w:smallCaps w:val="false"/>
                  <w:sz w:val="20"/>
                </w:rPr>
                <w:t>Chief Executive Officer Certifications pursuant to 18 U.S.C. Section 1350, as adopted pursuant to Section 906 of the Sarbanes-Oxley Act of 2002 – filed herewith.</w:t>
              </w:r>
            </w:hyperlink>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pPr>
            <w:hyperlink w:anchor="ex_929310.htm">
              <w:r>
                <w:rPr>
                  <w:rStyle w:val="InternetLink"/>
                  <w:rFonts w:ascii="Times New Roman" w:hAnsi="Times New Roman"/>
                  <w:caps w:val="false"/>
                  <w:smallCaps w:val="false"/>
                  <w:sz w:val="20"/>
                </w:rPr>
                <w:t>Chief Financial Officer Certifications pursuant to 18 U.S.C. Section 1350, as adopted pursuant to Section 906 of the Sarbanes-Oxley Act of 2002 – filed herewith.</w:t>
              </w:r>
            </w:hyperlink>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iXBRL Instance Document</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iXBRL Taxonomy Extension Schema</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iXBRL Taxonomy Extension Calculation Linkbase</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iXBRL Taxonomy Extension Definition Linkbase</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iXBRL Taxonomy Extension Label Linkbase</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iXBRL Taxonomy Extension Presentation Linkbase</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Inline XBRL and contained in Exhibits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0" w:name="sigs"/>
      <w:bookmarkEnd w:id="20"/>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9195" w:type="dxa"/>
        <w:jc w:val="left"/>
        <w:tblInd w:w="0" w:type="dxa"/>
        <w:tblLayout w:type="fixed"/>
        <w:tblCellMar>
          <w:top w:w="0" w:type="dxa"/>
          <w:left w:w="0" w:type="dxa"/>
          <w:bottom w:w="0" w:type="dxa"/>
          <w:right w:w="0" w:type="dxa"/>
        </w:tblCellMar>
      </w:tblPr>
      <w:tblGrid>
        <w:gridCol w:w="1535"/>
        <w:gridCol w:w="320"/>
        <w:gridCol w:w="7340"/>
      </w:tblGrid>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766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ALERUS FINANCIAL CORPORATION</w:t>
            </w:r>
          </w:p>
        </w:tc>
      </w:tr>
      <w:tr>
        <w:trPr/>
        <w:tc>
          <w:tcPr>
            <w:tcW w:w="1535" w:type="dxa"/>
            <w:tcBorders/>
            <w:vAlign w:val="center"/>
          </w:tcPr>
          <w:p>
            <w:pPr>
              <w:pStyle w:val="TableContents"/>
              <w:bidi w:val="0"/>
              <w:spacing w:before="0" w:after="283"/>
              <w:jc w:val="left"/>
              <w:rPr/>
            </w:pPr>
            <w:r>
              <w:rPr/>
              <w:t> </w:t>
            </w:r>
          </w:p>
        </w:tc>
        <w:tc>
          <w:tcPr>
            <w:tcW w:w="7660" w:type="dxa"/>
            <w:gridSpan w:val="2"/>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Date: May 1,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734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 Katie A. Lorenson</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Katie A. Lorenson</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President and Chief Executive Officer (Principal Executive Officer)</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Date: May 1,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734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 Alan A. Villalon</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Alan A. Villalon</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Executive Vice President and Chief Financial Officer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64 </w:t>
      </w:r>
    </w:p>
    <w:p>
      <w:pPr>
        <w:pStyle w:val="TextBody"/>
        <w:bidi w:val="0"/>
        <w:spacing w:before="0" w:after="0"/>
        <w:ind w:left="0" w:right="0" w:hanging="0"/>
        <w:jc w:val="right"/>
        <w:rPr>
          <w:rFonts w:ascii="Times New Roman" w:hAnsi="Times New Roman"/>
          <w:b/>
          <w:caps w:val="false"/>
          <w:smallCaps w:val="false"/>
          <w:sz w:val="20"/>
        </w:rPr>
      </w:pPr>
      <w:bookmarkStart w:id="21" w:name="ex_929307.htm"/>
      <w:bookmarkStart w:id="22" w:name="ksex_929307"/>
      <w:bookmarkEnd w:id="21"/>
      <w:bookmarkEnd w:id="22"/>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Executive Officer Pursuant to Exchange Act Rule 13a-14(a)/15d-14(a) as</w:t>
      </w:r>
      <w:r>
        <w:rPr>
          <w:rFonts w:ascii="Times New Roman" w:hAnsi="Times New Roman"/>
          <w:caps w:val="false"/>
          <w:smallCaps w:val="false"/>
          <w:sz w:val="20"/>
        </w:rPr>
        <w:br/>
      </w:r>
      <w:r>
        <w:rPr>
          <w:rFonts w:ascii="Times New Roman" w:hAnsi="Times New Roman"/>
          <w:b/>
          <w:caps w:val="false"/>
          <w:smallCaps w:val="false"/>
          <w:sz w:val="20"/>
        </w:rPr>
        <w:t>Adopted Pursuant to</w:t>
      </w:r>
      <w:r>
        <w:rPr>
          <w:rFonts w:ascii="Times New Roman" w:hAnsi="Times New Roman"/>
          <w:caps w:val="false"/>
          <w:smallCaps w:val="false"/>
          <w:sz w:val="20"/>
        </w:rPr>
        <w:br/>
      </w:r>
      <w:r>
        <w:rPr>
          <w:rFonts w:ascii="Times New Roman" w:hAnsi="Times New Roman"/>
          <w:b/>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Katie A. Lorenson, certify that:</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70"/>
        <w:gridCol w:w="959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(the “Report”) of Alerus Financial Corporation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055"/>
        <w:gridCol w:w="3080"/>
      </w:tblGrid>
      <w:tr>
        <w:trPr/>
        <w:tc>
          <w:tcPr>
            <w:tcW w:w="105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Alerus Financial Corporation</w:t>
            </w:r>
          </w:p>
        </w:tc>
      </w:tr>
      <w:tr>
        <w:trPr/>
        <w:tc>
          <w:tcPr>
            <w:tcW w:w="105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23" w:name="led605903F20248171726585371768"/>
            <w:bookmarkEnd w:id="23"/>
            <w:r>
              <w:rPr>
                <w:rFonts w:ascii="Times New Roman" w:hAnsi="Times New Roman"/>
                <w:caps w:val="false"/>
                <w:smallCaps w:val="false"/>
                <w:sz w:val="20"/>
              </w:rPr>
              <w:t>May 1, 2026</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Katie A. Lorenson</w:t>
            </w:r>
          </w:p>
        </w:tc>
      </w:tr>
      <w:tr>
        <w:trPr/>
        <w:tc>
          <w:tcPr>
            <w:tcW w:w="105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Katie A. Lorenson</w:t>
              <w:br/>
              <w:t>President and Chief Executive Officer</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4" w:name="ex_929308.htm"/>
      <w:bookmarkStart w:id="25" w:name="ksex_929308"/>
      <w:bookmarkEnd w:id="24"/>
      <w:bookmarkEnd w:id="2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Financial Officer Pursuant to Exchange Act Rule 13a-14(a)/15d-14(a) as</w:t>
      </w:r>
      <w:r>
        <w:rPr>
          <w:rFonts w:ascii="Times New Roman" w:hAnsi="Times New Roman"/>
          <w:caps w:val="false"/>
          <w:smallCaps w:val="false"/>
          <w:sz w:val="20"/>
        </w:rPr>
        <w:br/>
      </w:r>
      <w:r>
        <w:rPr>
          <w:rFonts w:ascii="Times New Roman" w:hAnsi="Times New Roman"/>
          <w:b/>
          <w:caps w:val="false"/>
          <w:smallCaps w:val="false"/>
          <w:sz w:val="20"/>
        </w:rPr>
        <w:t>Adopted Pursuant to</w:t>
      </w:r>
      <w:r>
        <w:rPr>
          <w:rFonts w:ascii="Times New Roman" w:hAnsi="Times New Roman"/>
          <w:caps w:val="false"/>
          <w:smallCaps w:val="false"/>
          <w:sz w:val="20"/>
        </w:rPr>
        <w:br/>
      </w:r>
      <w:r>
        <w:rPr>
          <w:rFonts w:ascii="Times New Roman" w:hAnsi="Times New Roman"/>
          <w:b/>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Alan A. Villalon, certify that:</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70"/>
        <w:gridCol w:w="959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(the “Report”) of Alerus Financial Corporation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055"/>
        <w:gridCol w:w="4310"/>
      </w:tblGrid>
      <w:tr>
        <w:trPr/>
        <w:tc>
          <w:tcPr>
            <w:tcW w:w="1055"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Alerus Financial Corporation</w:t>
            </w:r>
          </w:p>
        </w:tc>
      </w:tr>
      <w:tr>
        <w:trPr/>
        <w:tc>
          <w:tcPr>
            <w:tcW w:w="1055"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26" w:name="led605903F20248171726585502870"/>
            <w:bookmarkEnd w:id="26"/>
            <w:r>
              <w:rPr>
                <w:rFonts w:ascii="Times New Roman" w:hAnsi="Times New Roman"/>
                <w:caps w:val="false"/>
                <w:smallCaps w:val="false"/>
                <w:sz w:val="20"/>
              </w:rPr>
              <w:t>May 1, 2026</w:t>
            </w:r>
          </w:p>
        </w:tc>
        <w:tc>
          <w:tcPr>
            <w:tcW w:w="4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A. Villalon</w:t>
            </w:r>
          </w:p>
        </w:tc>
      </w:tr>
      <w:tr>
        <w:trPr/>
        <w:tc>
          <w:tcPr>
            <w:tcW w:w="1055"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A. Villalon</w:t>
              <w:br/>
              <w:t>Executive Vice President and Chief Financial Officer</w:t>
              <w:b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929309.htm"/>
      <w:bookmarkStart w:id="28" w:name="ksex_929309"/>
      <w:bookmarkEnd w:id="27"/>
      <w:bookmarkEnd w:id="2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Executive Officer</w:t>
      </w:r>
      <w:r>
        <w:rPr>
          <w:rFonts w:ascii="Times New Roman" w:hAnsi="Times New Roman"/>
          <w:caps w:val="false"/>
          <w:smallCaps w:val="false"/>
          <w:sz w:val="20"/>
        </w:rPr>
        <w:br/>
      </w:r>
      <w:r>
        <w:rPr>
          <w:rFonts w:ascii="Times New Roman" w:hAnsi="Times New Roman"/>
          <w:b/>
          <w:caps w:val="false"/>
          <w:smallCaps w:val="false"/>
          <w:sz w:val="20"/>
        </w:rPr>
        <w:t>Pursuant to 18 U.S.C. Section 1350 as Adopted</w:t>
      </w:r>
      <w:r>
        <w:rPr>
          <w:rFonts w:ascii="Times New Roman" w:hAnsi="Times New Roman"/>
          <w:caps w:val="false"/>
          <w:smallCaps w:val="false"/>
          <w:sz w:val="20"/>
        </w:rPr>
        <w:br/>
      </w:r>
      <w:r>
        <w:rPr>
          <w:rFonts w:ascii="Times New Roman" w:hAnsi="Times New Roman"/>
          <w:b/>
          <w:caps w:val="false"/>
          <w:smallCaps w:val="false"/>
          <w:sz w:val="20"/>
        </w:rPr>
        <w:t>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Katie A. Lorenson, President and Chief Executive Officer of Alerus Financial Corporation (the “Company”) hereby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Quarterly Report on Form 10-Q of the Company for the quarterly period ended </w:t>
            </w:r>
            <w:bookmarkStart w:id="29" w:name="led605903F20248171726585585599"/>
            <w:bookmarkEnd w:id="29"/>
            <w:r>
              <w:rPr>
                <w:rFonts w:ascii="Times New Roman" w:hAnsi="Times New Roman"/>
                <w:caps w:val="false"/>
                <w:smallCaps w:val="false"/>
                <w:sz w:val="20"/>
              </w:rPr>
              <w:t>March 31, 2026 (the “Report”) fully complies with the requirements of Sections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055"/>
        <w:gridCol w:w="3080"/>
      </w:tblGrid>
      <w:tr>
        <w:trPr/>
        <w:tc>
          <w:tcPr>
            <w:tcW w:w="105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Alerus Financial Corporation</w:t>
            </w:r>
          </w:p>
        </w:tc>
      </w:tr>
      <w:tr>
        <w:trPr/>
        <w:tc>
          <w:tcPr>
            <w:tcW w:w="105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30" w:name="led605903F20248171726585573089"/>
            <w:bookmarkEnd w:id="30"/>
            <w:r>
              <w:rPr>
                <w:rFonts w:ascii="Times New Roman" w:hAnsi="Times New Roman"/>
                <w:caps w:val="false"/>
                <w:smallCaps w:val="false"/>
                <w:sz w:val="20"/>
              </w:rPr>
              <w:t>May 1, 2026</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Katie A. Lorenson</w:t>
            </w:r>
          </w:p>
        </w:tc>
      </w:tr>
      <w:tr>
        <w:trPr/>
        <w:tc>
          <w:tcPr>
            <w:tcW w:w="105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Katie A. Lorenson</w:t>
              <w:br/>
              <w:t>President and Chief Executive Officer</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1" w:name="ex_929310.htm"/>
      <w:bookmarkStart w:id="32" w:name="ksex_929310"/>
      <w:bookmarkEnd w:id="31"/>
      <w:bookmarkEnd w:id="32"/>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Financial Officer</w:t>
      </w:r>
      <w:r>
        <w:rPr>
          <w:rFonts w:ascii="Times New Roman" w:hAnsi="Times New Roman"/>
          <w:caps w:val="false"/>
          <w:smallCaps w:val="false"/>
          <w:sz w:val="20"/>
        </w:rPr>
        <w:br/>
      </w:r>
      <w:r>
        <w:rPr>
          <w:rFonts w:ascii="Times New Roman" w:hAnsi="Times New Roman"/>
          <w:b/>
          <w:caps w:val="false"/>
          <w:smallCaps w:val="false"/>
          <w:sz w:val="20"/>
        </w:rPr>
        <w:t>Pursuant to 18 U.S.C. Section 1350 as Adopted</w:t>
      </w:r>
      <w:r>
        <w:rPr>
          <w:rFonts w:ascii="Times New Roman" w:hAnsi="Times New Roman"/>
          <w:caps w:val="false"/>
          <w:smallCaps w:val="false"/>
          <w:sz w:val="20"/>
        </w:rPr>
        <w:br/>
      </w:r>
      <w:r>
        <w:rPr>
          <w:rFonts w:ascii="Times New Roman" w:hAnsi="Times New Roman"/>
          <w:b/>
          <w:caps w:val="false"/>
          <w:smallCaps w:val="false"/>
          <w:sz w:val="20"/>
        </w:rPr>
        <w:t>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Alan A. Villalon, Executive Vice President and Chief Financial Officer of Alerus Financial Corporation (the “Company”) hereby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Quarterly Report on Form 10-Q of the Company for the quarterly period ended </w:t>
            </w:r>
            <w:bookmarkStart w:id="33" w:name="led605903F20248171726585680800"/>
            <w:bookmarkEnd w:id="33"/>
            <w:r>
              <w:rPr>
                <w:rFonts w:ascii="Times New Roman" w:hAnsi="Times New Roman"/>
                <w:caps w:val="false"/>
                <w:smallCaps w:val="false"/>
                <w:sz w:val="20"/>
              </w:rPr>
              <w:t>March 31, 2026 (the “Report”) fully complies with the requirements of Sections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055"/>
        <w:gridCol w:w="4310"/>
      </w:tblGrid>
      <w:tr>
        <w:trPr/>
        <w:tc>
          <w:tcPr>
            <w:tcW w:w="1055"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Alerus Financial Corporation</w:t>
            </w:r>
          </w:p>
        </w:tc>
      </w:tr>
      <w:tr>
        <w:trPr/>
        <w:tc>
          <w:tcPr>
            <w:tcW w:w="1055"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34" w:name="led605903F20248171726585656781"/>
            <w:bookmarkEnd w:id="34"/>
            <w:r>
              <w:rPr>
                <w:rFonts w:ascii="Times New Roman" w:hAnsi="Times New Roman"/>
                <w:caps w:val="false"/>
                <w:smallCaps w:val="false"/>
                <w:sz w:val="20"/>
              </w:rPr>
              <w:t>May 1, 2026</w:t>
            </w:r>
          </w:p>
        </w:tc>
        <w:tc>
          <w:tcPr>
            <w:tcW w:w="4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A. Villalon</w:t>
            </w:r>
          </w:p>
        </w:tc>
      </w:tr>
      <w:tr>
        <w:trPr/>
        <w:tc>
          <w:tcPr>
            <w:tcW w:w="1055"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A. Villalon</w:t>
              <w:br/>
              <w:t>Executive Vice President and Chief Financial Officer</w:t>
              <w:b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03419/000104746919004787/a2239413zex-3_1.htm" TargetMode="External"/><Relationship Id="rId3" Type="http://schemas.openxmlformats.org/officeDocument/2006/relationships/hyperlink" Target="http://www.sec.gov/Archives/edgar/data/903419/000143774925016117/ex_815343.htm" TargetMode="External"/><Relationship Id="rId4" Type="http://schemas.openxmlformats.org/officeDocument/2006/relationships/hyperlink" Target="http://www.sec.gov/Archives/edgar/data/903419/000104746919004787/a2239413zex-3_2.htm" TargetMode="External"/><Relationship Id="rId5" Type="http://schemas.openxmlformats.org/officeDocument/2006/relationships/hyperlink" Target="http://www.sec.gov/Archives/edgar/data/903419/000143774925027938/ex_857367.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34850</Words>
  <Characters>190645</Characters>
  <CharactersWithSpaces>238326</CharactersWithSpaces>
  <Paragraphs>32051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