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207645</wp:posOffset>
            </wp:positionH>
            <wp:positionV relativeFrom="page">
              <wp:posOffset>478790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537845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19"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73" w:lineRule="exact"/>
        <w:rPr>
          <w:sz w:val="24"/>
          <w:szCs w:val="24"/>
          <w:color w:val="auto"/>
        </w:rPr>
      </w:pPr>
    </w:p>
    <w:p>
      <w:pPr>
        <w:jc w:val="center"/>
        <w:ind w:right="-1100"/>
        <w:spacing w:after="0"/>
        <w:rPr>
          <w:sz w:val="20"/>
          <w:szCs w:val="20"/>
          <w:color w:val="auto"/>
        </w:rPr>
      </w:pPr>
      <w:r>
        <w:rPr>
          <w:rFonts w:ascii="Arial" w:cs="Arial" w:eastAsia="Arial" w:hAnsi="Arial"/>
          <w:sz w:val="21"/>
          <w:szCs w:val="21"/>
          <w:b w:val="1"/>
          <w:bCs w:val="1"/>
          <w:color w:val="auto"/>
        </w:rPr>
        <w:t>SCHEDULE 14A</w:t>
      </w:r>
    </w:p>
    <w:p>
      <w:pPr>
        <w:spacing w:after="0" w:line="25" w:lineRule="exact"/>
        <w:rPr>
          <w:sz w:val="24"/>
          <w:szCs w:val="24"/>
          <w:color w:val="auto"/>
        </w:rPr>
      </w:pPr>
    </w:p>
    <w:p>
      <w:pPr>
        <w:jc w:val="center"/>
        <w:ind w:right="-1100"/>
        <w:spacing w:after="0" w:line="184" w:lineRule="exact"/>
        <w:rPr>
          <w:sz w:val="20"/>
          <w:szCs w:val="20"/>
          <w:color w:val="auto"/>
        </w:rPr>
      </w:pPr>
      <w:r>
        <w:rPr>
          <w:rFonts w:ascii="Arial" w:cs="Arial" w:eastAsia="Arial" w:hAnsi="Arial"/>
          <w:sz w:val="16"/>
          <w:szCs w:val="16"/>
          <w:b w:val="1"/>
          <w:bCs w:val="1"/>
          <w:color w:val="auto"/>
        </w:rPr>
        <w:t>(RULE 14a</w:t>
      </w:r>
      <w:r>
        <w:rPr>
          <w:rFonts w:ascii="MS PGothic" w:cs="MS PGothic" w:eastAsia="MS PGothic" w:hAnsi="MS PGothic"/>
          <w:sz w:val="16"/>
          <w:szCs w:val="16"/>
          <w:color w:val="auto"/>
        </w:rPr>
        <w:t>‑</w:t>
      </w:r>
      <w:r>
        <w:rPr>
          <w:rFonts w:ascii="Arial" w:cs="Arial" w:eastAsia="Arial" w:hAnsi="Arial"/>
          <w:sz w:val="16"/>
          <w:szCs w:val="16"/>
          <w:b w:val="1"/>
          <w:bCs w:val="1"/>
          <w:color w:val="auto"/>
        </w:rPr>
        <w:t>101)</w:t>
      </w:r>
    </w:p>
    <w:p>
      <w:pPr>
        <w:spacing w:after="0" w:line="18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SCHEDULE 14A INFORMATION</w:t>
      </w:r>
    </w:p>
    <w:p>
      <w:pPr>
        <w:spacing w:after="0" w:line="17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Proxy Statement Pursuant to Section 14(a) of</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the Securities Exchange Act of 1934</w:t>
      </w:r>
    </w:p>
    <w:p>
      <w:pPr>
        <w:spacing w:after="0" w:line="13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 w:lineRule="exact"/>
        <w:rPr>
          <w:sz w:val="24"/>
          <w:szCs w:val="24"/>
          <w:color w:val="auto"/>
        </w:rPr>
      </w:pPr>
    </w:p>
    <w:p>
      <w:pPr>
        <w:ind w:left="320" w:hanging="313"/>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ind w:left="320" w:hanging="313"/>
        <w:spacing w:after="0" w:line="201" w:lineRule="exact"/>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w:t>
      </w:r>
      <w:r>
        <w:rPr>
          <w:rFonts w:ascii="MS PGothic" w:cs="MS PGothic" w:eastAsia="MS PGothic" w:hAnsi="MS PGothic"/>
          <w:sz w:val="18"/>
          <w:szCs w:val="18"/>
          <w:color w:val="auto"/>
        </w:rPr>
        <w:t>‑</w:t>
      </w:r>
      <w:r>
        <w:rPr>
          <w:rFonts w:ascii="Arial" w:cs="Arial" w:eastAsia="Arial" w:hAnsi="Arial"/>
          <w:sz w:val="18"/>
          <w:szCs w:val="18"/>
          <w:b w:val="1"/>
          <w:bCs w:val="1"/>
          <w:color w:val="auto"/>
        </w:rPr>
        <w:t>6(e)(2))</w:t>
      </w:r>
    </w:p>
    <w:p>
      <w:pPr>
        <w:spacing w:after="0" w:line="201"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20" w:hanging="313"/>
        <w:spacing w:after="0" w:line="232"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ind w:left="320" w:hanging="313"/>
        <w:spacing w:after="0" w:line="207" w:lineRule="exact"/>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37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ALERUS FINANCIAL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(Name of Registrant as Specified In Its Charter)</w:t>
      </w:r>
    </w:p>
    <w:p>
      <w:pPr>
        <w:spacing w:after="0" w:line="391"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ind w:left="320" w:hanging="313"/>
        <w:spacing w:after="0" w:line="237" w:lineRule="auto"/>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ind w:left="320" w:hanging="313"/>
        <w:spacing w:after="0" w:line="237" w:lineRule="auto"/>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ind w:left="320" w:hanging="313"/>
        <w:spacing w:after="0"/>
        <w:tabs>
          <w:tab w:leader="none" w:pos="3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487680</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1113"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529590</wp:posOffset>
            </wp:positionV>
            <wp:extent cx="7196455" cy="96081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96455" cy="96081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5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1821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821815"/>
                    </a:xfrm>
                    <a:prstGeom prst="rect">
                      <a:avLst/>
                    </a:prstGeom>
                    <a:noFill/>
                  </pic:spPr>
                </pic:pic>
              </a:graphicData>
            </a:graphic>
          </wp:anchor>
        </w:drawing>
        <w:t>April 1, 2026</w:t>
      </w:r>
    </w:p>
    <w:p>
      <w:pPr>
        <w:ind w:left="580"/>
        <w:spacing w:after="0" w:line="238" w:lineRule="auto"/>
        <w:rPr>
          <w:sz w:val="20"/>
          <w:szCs w:val="20"/>
          <w:color w:val="auto"/>
        </w:rPr>
      </w:pPr>
      <w:r>
        <w:rPr>
          <w:rFonts w:ascii="Times New Roman" w:cs="Times New Roman" w:eastAsia="Times New Roman" w:hAnsi="Times New Roman"/>
          <w:sz w:val="32"/>
          <w:szCs w:val="32"/>
          <w:color w:val="FFFFFF"/>
        </w:rPr>
        <w:t>Notice of Annual</w:t>
      </w:r>
    </w:p>
    <w:tbl>
      <w:tblPr>
        <w:tblLayout w:type="fixed"/>
        <w:tblInd w:w="520" w:type="dxa"/>
        <w:tblCellMar>
          <w:top w:w="0" w:type="dxa"/>
          <w:left w:w="0" w:type="dxa"/>
          <w:bottom w:w="0" w:type="dxa"/>
          <w:right w:w="0" w:type="dxa"/>
        </w:tblCellMar>
      </w:tblPr>
      <w:tr>
        <w:trPr>
          <w:trHeight w:val="172"/>
        </w:trPr>
        <w:tc>
          <w:tcPr>
            <w:tcW w:w="3640" w:type="dxa"/>
            <w:vAlign w:val="bottom"/>
            <w:gridSpan w:val="2"/>
            <w:vMerge w:val="restart"/>
          </w:tcPr>
          <w:p>
            <w:pPr>
              <w:ind w:left="60"/>
              <w:spacing w:after="0"/>
              <w:rPr>
                <w:sz w:val="20"/>
                <w:szCs w:val="20"/>
                <w:color w:val="auto"/>
              </w:rPr>
            </w:pPr>
            <w:r>
              <w:rPr>
                <w:rFonts w:ascii="Times New Roman" w:cs="Times New Roman" w:eastAsia="Times New Roman" w:hAnsi="Times New Roman"/>
                <w:sz w:val="32"/>
                <w:szCs w:val="32"/>
                <w:color w:val="FFFFFF"/>
              </w:rPr>
              <w:t>Meeting of Stockholders</w:t>
            </w:r>
          </w:p>
        </w:tc>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80" w:type="dxa"/>
            <w:vAlign w:val="bottom"/>
          </w:tcPr>
          <w:p>
            <w:pPr>
              <w:jc w:val="right"/>
              <w:ind w:right="340"/>
              <w:spacing w:after="0" w:line="171" w:lineRule="exact"/>
              <w:rPr>
                <w:sz w:val="20"/>
                <w:szCs w:val="20"/>
                <w:color w:val="auto"/>
              </w:rPr>
            </w:pPr>
            <w:r>
              <w:rPr>
                <w:rFonts w:ascii="Arial" w:cs="Arial" w:eastAsia="Arial" w:hAnsi="Arial"/>
                <w:sz w:val="16"/>
                <w:szCs w:val="16"/>
                <w:color w:val="FFFFFF"/>
              </w:rPr>
              <w:t>401 Demers Avenue</w:t>
            </w:r>
          </w:p>
        </w:tc>
        <w:tc>
          <w:tcPr>
            <w:tcW w:w="0" w:type="dxa"/>
            <w:vAlign w:val="bottom"/>
          </w:tcPr>
          <w:p>
            <w:pPr>
              <w:spacing w:after="0"/>
              <w:rPr>
                <w:sz w:val="1"/>
                <w:szCs w:val="1"/>
                <w:color w:val="auto"/>
              </w:rPr>
            </w:pPr>
          </w:p>
        </w:tc>
      </w:tr>
      <w:tr>
        <w:trPr>
          <w:trHeight w:val="201"/>
        </w:trPr>
        <w:tc>
          <w:tcPr>
            <w:tcW w:w="3640" w:type="dxa"/>
            <w:vAlign w:val="bottom"/>
            <w:gridSpan w:val="2"/>
            <w:vMerge w:val="continue"/>
          </w:tcPr>
          <w:p>
            <w:pPr>
              <w:spacing w:after="0"/>
              <w:rPr>
                <w:sz w:val="17"/>
                <w:szCs w:val="17"/>
                <w:color w:val="auto"/>
              </w:rPr>
            </w:pPr>
          </w:p>
        </w:tc>
        <w:tc>
          <w:tcPr>
            <w:tcW w:w="3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80" w:type="dxa"/>
            <w:vAlign w:val="bottom"/>
          </w:tcPr>
          <w:p>
            <w:pPr>
              <w:jc w:val="right"/>
              <w:ind w:right="340"/>
              <w:spacing w:after="0"/>
              <w:rPr>
                <w:sz w:val="20"/>
                <w:szCs w:val="20"/>
                <w:color w:val="auto"/>
              </w:rPr>
            </w:pPr>
            <w:r>
              <w:rPr>
                <w:rFonts w:ascii="Arial" w:cs="Arial" w:eastAsia="Arial" w:hAnsi="Arial"/>
                <w:sz w:val="16"/>
                <w:szCs w:val="16"/>
                <w:color w:val="FFFFFF"/>
              </w:rPr>
              <w:t>Grand Forks, North Dakota 58201</w:t>
            </w:r>
          </w:p>
        </w:tc>
        <w:tc>
          <w:tcPr>
            <w:tcW w:w="0" w:type="dxa"/>
            <w:vAlign w:val="bottom"/>
          </w:tcPr>
          <w:p>
            <w:pPr>
              <w:spacing w:after="0"/>
              <w:rPr>
                <w:sz w:val="1"/>
                <w:szCs w:val="1"/>
                <w:color w:val="auto"/>
              </w:rPr>
            </w:pPr>
          </w:p>
        </w:tc>
      </w:tr>
      <w:tr>
        <w:trPr>
          <w:trHeight w:val="187"/>
        </w:trPr>
        <w:tc>
          <w:tcPr>
            <w:tcW w:w="3200" w:type="dxa"/>
            <w:vAlign w:val="bottom"/>
            <w:shd w:val="clear" w:color="auto" w:fill="062B48"/>
          </w:tcPr>
          <w:p>
            <w:pPr>
              <w:spacing w:after="0"/>
              <w:rPr>
                <w:sz w:val="16"/>
                <w:szCs w:val="16"/>
                <w:color w:val="auto"/>
              </w:rPr>
            </w:pPr>
          </w:p>
        </w:tc>
        <w:tc>
          <w:tcPr>
            <w:tcW w:w="4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1"/>
        </w:trPr>
        <w:tc>
          <w:tcPr>
            <w:tcW w:w="3200" w:type="dxa"/>
            <w:vAlign w:val="bottom"/>
            <w:shd w:val="clear" w:color="auto" w:fill="062B48"/>
          </w:tcPr>
          <w:p>
            <w:pPr>
              <w:jc w:val="center"/>
              <w:spacing w:after="0"/>
              <w:rPr>
                <w:sz w:val="20"/>
                <w:szCs w:val="20"/>
                <w:color w:val="auto"/>
              </w:rPr>
            </w:pPr>
            <w:r>
              <w:rPr>
                <w:rFonts w:ascii="Arial" w:cs="Arial" w:eastAsia="Arial" w:hAnsi="Arial"/>
                <w:sz w:val="16"/>
                <w:szCs w:val="16"/>
                <w:color w:val="1AB2D2"/>
                <w:w w:val="99"/>
              </w:rPr>
              <w:t>TIME &amp; DATE</w:t>
            </w:r>
          </w:p>
        </w:tc>
        <w:tc>
          <w:tcPr>
            <w:tcW w:w="440" w:type="dxa"/>
            <w:vAlign w:val="bottom"/>
            <w:shd w:val="clear" w:color="auto" w:fill="062B48"/>
          </w:tcPr>
          <w:p>
            <w:pPr>
              <w:spacing w:after="0"/>
              <w:rPr>
                <w:sz w:val="24"/>
                <w:szCs w:val="24"/>
                <w:color w:val="auto"/>
              </w:rPr>
            </w:pPr>
          </w:p>
        </w:tc>
        <w:tc>
          <w:tcPr>
            <w:tcW w:w="3420" w:type="dxa"/>
            <w:vAlign w:val="bottom"/>
            <w:shd w:val="clear" w:color="auto" w:fill="062B48"/>
          </w:tcPr>
          <w:p>
            <w:pPr>
              <w:jc w:val="center"/>
              <w:spacing w:after="0"/>
              <w:rPr>
                <w:sz w:val="20"/>
                <w:szCs w:val="20"/>
                <w:color w:val="auto"/>
              </w:rPr>
            </w:pPr>
            <w:r>
              <w:rPr>
                <w:rFonts w:ascii="Arial" w:cs="Arial" w:eastAsia="Arial" w:hAnsi="Arial"/>
                <w:sz w:val="16"/>
                <w:szCs w:val="16"/>
                <w:color w:val="1AB2D2"/>
              </w:rPr>
              <w:t>ACCESS</w:t>
            </w:r>
          </w:p>
        </w:tc>
        <w:tc>
          <w:tcPr>
            <w:tcW w:w="180" w:type="dxa"/>
            <w:vAlign w:val="bottom"/>
            <w:shd w:val="clear" w:color="auto" w:fill="062B48"/>
          </w:tcPr>
          <w:p>
            <w:pPr>
              <w:spacing w:after="0"/>
              <w:rPr>
                <w:sz w:val="24"/>
                <w:szCs w:val="24"/>
                <w:color w:val="auto"/>
              </w:rPr>
            </w:pPr>
          </w:p>
        </w:tc>
        <w:tc>
          <w:tcPr>
            <w:tcW w:w="3480" w:type="dxa"/>
            <w:vAlign w:val="bottom"/>
            <w:shd w:val="clear" w:color="auto" w:fill="062B48"/>
          </w:tcPr>
          <w:p>
            <w:pPr>
              <w:jc w:val="right"/>
              <w:ind w:right="1300"/>
              <w:spacing w:after="0"/>
              <w:rPr>
                <w:sz w:val="20"/>
                <w:szCs w:val="20"/>
                <w:color w:val="auto"/>
              </w:rPr>
            </w:pPr>
            <w:r>
              <w:rPr>
                <w:rFonts w:ascii="Arial" w:cs="Arial" w:eastAsia="Arial" w:hAnsi="Arial"/>
                <w:sz w:val="16"/>
                <w:szCs w:val="16"/>
                <w:color w:val="1AB2D2"/>
              </w:rPr>
              <w:t>RECORD DATE</w:t>
            </w:r>
          </w:p>
        </w:tc>
        <w:tc>
          <w:tcPr>
            <w:tcW w:w="0" w:type="dxa"/>
            <w:vAlign w:val="bottom"/>
          </w:tcPr>
          <w:p>
            <w:pPr>
              <w:spacing w:after="0"/>
              <w:rPr>
                <w:sz w:val="1"/>
                <w:szCs w:val="1"/>
                <w:color w:val="auto"/>
              </w:rPr>
            </w:pPr>
          </w:p>
        </w:tc>
      </w:tr>
      <w:tr>
        <w:trPr>
          <w:trHeight w:val="293"/>
        </w:trPr>
        <w:tc>
          <w:tcPr>
            <w:tcW w:w="3200" w:type="dxa"/>
            <w:vAlign w:val="bottom"/>
            <w:vMerge w:val="restart"/>
            <w:shd w:val="clear" w:color="auto" w:fill="062B48"/>
          </w:tcPr>
          <w:p>
            <w:pPr>
              <w:jc w:val="center"/>
              <w:spacing w:after="0"/>
              <w:rPr>
                <w:sz w:val="20"/>
                <w:szCs w:val="20"/>
                <w:color w:val="auto"/>
              </w:rPr>
            </w:pPr>
            <w:r>
              <w:rPr>
                <w:rFonts w:ascii="Arial" w:cs="Arial" w:eastAsia="Arial" w:hAnsi="Arial"/>
                <w:sz w:val="18"/>
                <w:szCs w:val="18"/>
                <w:color w:val="FFFFFF"/>
                <w:w w:val="97"/>
              </w:rPr>
              <w:t>Thursday, May 14, 2026</w:t>
            </w:r>
          </w:p>
        </w:tc>
        <w:tc>
          <w:tcPr>
            <w:tcW w:w="440" w:type="dxa"/>
            <w:vAlign w:val="bottom"/>
            <w:shd w:val="clear" w:color="auto" w:fill="062B48"/>
          </w:tcPr>
          <w:p>
            <w:pPr>
              <w:spacing w:after="0"/>
              <w:rPr>
                <w:sz w:val="24"/>
                <w:szCs w:val="24"/>
                <w:color w:val="auto"/>
              </w:rPr>
            </w:pPr>
          </w:p>
        </w:tc>
        <w:tc>
          <w:tcPr>
            <w:tcW w:w="3420" w:type="dxa"/>
            <w:vAlign w:val="bottom"/>
            <w:shd w:val="clear" w:color="auto" w:fill="062B48"/>
          </w:tcPr>
          <w:p>
            <w:pPr>
              <w:jc w:val="center"/>
              <w:spacing w:after="0"/>
              <w:rPr>
                <w:sz w:val="20"/>
                <w:szCs w:val="20"/>
                <w:color w:val="auto"/>
              </w:rPr>
            </w:pPr>
            <w:r>
              <w:rPr>
                <w:rFonts w:ascii="Arial" w:cs="Arial" w:eastAsia="Arial" w:hAnsi="Arial"/>
                <w:sz w:val="16"/>
                <w:szCs w:val="16"/>
                <w:color w:val="FFFFFF"/>
              </w:rPr>
              <w:t>Virtually at</w:t>
            </w:r>
          </w:p>
        </w:tc>
        <w:tc>
          <w:tcPr>
            <w:tcW w:w="180" w:type="dxa"/>
            <w:vAlign w:val="bottom"/>
            <w:shd w:val="clear" w:color="auto" w:fill="062B48"/>
          </w:tcPr>
          <w:p>
            <w:pPr>
              <w:spacing w:after="0"/>
              <w:rPr>
                <w:sz w:val="24"/>
                <w:szCs w:val="24"/>
                <w:color w:val="auto"/>
              </w:rPr>
            </w:pPr>
          </w:p>
        </w:tc>
        <w:tc>
          <w:tcPr>
            <w:tcW w:w="348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200" w:type="dxa"/>
            <w:vAlign w:val="bottom"/>
            <w:vMerge w:val="continue"/>
            <w:shd w:val="clear" w:color="auto" w:fill="062B48"/>
          </w:tcPr>
          <w:p>
            <w:pPr>
              <w:spacing w:after="0"/>
              <w:rPr>
                <w:sz w:val="9"/>
                <w:szCs w:val="9"/>
                <w:color w:val="auto"/>
              </w:rPr>
            </w:pPr>
          </w:p>
        </w:tc>
        <w:tc>
          <w:tcPr>
            <w:tcW w:w="440" w:type="dxa"/>
            <w:vAlign w:val="bottom"/>
            <w:shd w:val="clear" w:color="auto" w:fill="062B48"/>
          </w:tcPr>
          <w:p>
            <w:pPr>
              <w:spacing w:after="0"/>
              <w:rPr>
                <w:sz w:val="9"/>
                <w:szCs w:val="9"/>
                <w:color w:val="auto"/>
              </w:rPr>
            </w:pPr>
          </w:p>
        </w:tc>
        <w:tc>
          <w:tcPr>
            <w:tcW w:w="3420" w:type="dxa"/>
            <w:vAlign w:val="bottom"/>
            <w:vMerge w:val="restart"/>
            <w:shd w:val="clear" w:color="auto" w:fill="062B48"/>
          </w:tcPr>
          <w:p>
            <w:pPr>
              <w:jc w:val="center"/>
              <w:spacing w:after="0" w:line="201" w:lineRule="exact"/>
              <w:rPr>
                <w:sz w:val="20"/>
                <w:szCs w:val="20"/>
                <w:color w:val="auto"/>
              </w:rPr>
            </w:pPr>
            <w:r>
              <w:rPr>
                <w:rFonts w:ascii="Arial" w:cs="Arial" w:eastAsia="Arial" w:hAnsi="Arial"/>
                <w:sz w:val="18"/>
                <w:szCs w:val="18"/>
                <w:color w:val="FFFFFF"/>
                <w:w w:val="98"/>
              </w:rPr>
              <w:t>https://edge.media-</w:t>
            </w:r>
          </w:p>
        </w:tc>
        <w:tc>
          <w:tcPr>
            <w:tcW w:w="180" w:type="dxa"/>
            <w:vAlign w:val="bottom"/>
            <w:shd w:val="clear" w:color="auto" w:fill="062B48"/>
          </w:tcPr>
          <w:p>
            <w:pPr>
              <w:spacing w:after="0"/>
              <w:rPr>
                <w:sz w:val="9"/>
                <w:szCs w:val="9"/>
                <w:color w:val="auto"/>
              </w:rPr>
            </w:pPr>
          </w:p>
        </w:tc>
        <w:tc>
          <w:tcPr>
            <w:tcW w:w="3480" w:type="dxa"/>
            <w:vAlign w:val="bottom"/>
            <w:vMerge w:val="restart"/>
            <w:shd w:val="clear" w:color="auto" w:fill="062B48"/>
          </w:tcPr>
          <w:p>
            <w:pPr>
              <w:jc w:val="right"/>
              <w:ind w:right="1000"/>
              <w:spacing w:after="0"/>
              <w:rPr>
                <w:sz w:val="20"/>
                <w:szCs w:val="20"/>
                <w:color w:val="auto"/>
              </w:rPr>
            </w:pPr>
            <w:r>
              <w:rPr>
                <w:rFonts w:ascii="Arial" w:cs="Arial" w:eastAsia="Arial" w:hAnsi="Arial"/>
                <w:sz w:val="16"/>
                <w:szCs w:val="16"/>
                <w:color w:val="FFFFFF"/>
              </w:rPr>
              <w:t>Monday, March 16, 2026</w:t>
            </w:r>
          </w:p>
        </w:tc>
        <w:tc>
          <w:tcPr>
            <w:tcW w:w="0" w:type="dxa"/>
            <w:vAlign w:val="bottom"/>
          </w:tcPr>
          <w:p>
            <w:pPr>
              <w:spacing w:after="0"/>
              <w:rPr>
                <w:sz w:val="1"/>
                <w:szCs w:val="1"/>
                <w:color w:val="auto"/>
              </w:rPr>
            </w:pPr>
          </w:p>
        </w:tc>
      </w:tr>
      <w:tr>
        <w:trPr>
          <w:trHeight w:val="93"/>
        </w:trPr>
        <w:tc>
          <w:tcPr>
            <w:tcW w:w="3200" w:type="dxa"/>
            <w:vAlign w:val="bottom"/>
            <w:vMerge w:val="restart"/>
            <w:shd w:val="clear" w:color="auto" w:fill="062B48"/>
          </w:tcPr>
          <w:p>
            <w:pPr>
              <w:jc w:val="center"/>
              <w:spacing w:after="0"/>
              <w:rPr>
                <w:sz w:val="20"/>
                <w:szCs w:val="20"/>
                <w:color w:val="auto"/>
              </w:rPr>
            </w:pPr>
            <w:r>
              <w:rPr>
                <w:rFonts w:ascii="Arial" w:cs="Arial" w:eastAsia="Arial" w:hAnsi="Arial"/>
                <w:sz w:val="18"/>
                <w:szCs w:val="18"/>
                <w:color w:val="FFFFFF"/>
                <w:w w:val="98"/>
              </w:rPr>
              <w:t>1:30 p.m., Central Time</w:t>
            </w:r>
          </w:p>
        </w:tc>
        <w:tc>
          <w:tcPr>
            <w:tcW w:w="440" w:type="dxa"/>
            <w:vAlign w:val="bottom"/>
            <w:shd w:val="clear" w:color="auto" w:fill="062B48"/>
          </w:tcPr>
          <w:p>
            <w:pPr>
              <w:spacing w:after="0"/>
              <w:rPr>
                <w:sz w:val="8"/>
                <w:szCs w:val="8"/>
                <w:color w:val="auto"/>
              </w:rPr>
            </w:pPr>
          </w:p>
        </w:tc>
        <w:tc>
          <w:tcPr>
            <w:tcW w:w="3420" w:type="dxa"/>
            <w:vAlign w:val="bottom"/>
            <w:vMerge w:val="continue"/>
            <w:shd w:val="clear" w:color="auto" w:fill="062B48"/>
          </w:tcPr>
          <w:p>
            <w:pPr>
              <w:spacing w:after="0"/>
              <w:rPr>
                <w:sz w:val="8"/>
                <w:szCs w:val="8"/>
                <w:color w:val="auto"/>
              </w:rPr>
            </w:pPr>
          </w:p>
        </w:tc>
        <w:tc>
          <w:tcPr>
            <w:tcW w:w="180" w:type="dxa"/>
            <w:vAlign w:val="bottom"/>
            <w:shd w:val="clear" w:color="auto" w:fill="062B48"/>
          </w:tcPr>
          <w:p>
            <w:pPr>
              <w:spacing w:after="0"/>
              <w:rPr>
                <w:sz w:val="8"/>
                <w:szCs w:val="8"/>
                <w:color w:val="auto"/>
              </w:rPr>
            </w:pPr>
          </w:p>
        </w:tc>
        <w:tc>
          <w:tcPr>
            <w:tcW w:w="3480" w:type="dxa"/>
            <w:vAlign w:val="bottom"/>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200" w:type="dxa"/>
            <w:vAlign w:val="bottom"/>
            <w:vMerge w:val="continue"/>
            <w:shd w:val="clear" w:color="auto" w:fill="062B48"/>
          </w:tcPr>
          <w:p>
            <w:pPr>
              <w:spacing w:after="0"/>
              <w:rPr>
                <w:sz w:val="12"/>
                <w:szCs w:val="12"/>
                <w:color w:val="auto"/>
              </w:rPr>
            </w:pPr>
          </w:p>
        </w:tc>
        <w:tc>
          <w:tcPr>
            <w:tcW w:w="440" w:type="dxa"/>
            <w:vAlign w:val="bottom"/>
            <w:shd w:val="clear" w:color="auto" w:fill="062B48"/>
          </w:tcPr>
          <w:p>
            <w:pPr>
              <w:spacing w:after="0"/>
              <w:rPr>
                <w:sz w:val="12"/>
                <w:szCs w:val="12"/>
                <w:color w:val="auto"/>
              </w:rPr>
            </w:pPr>
          </w:p>
        </w:tc>
        <w:tc>
          <w:tcPr>
            <w:tcW w:w="3420" w:type="dxa"/>
            <w:vAlign w:val="bottom"/>
            <w:vMerge w:val="restart"/>
            <w:shd w:val="clear" w:color="auto" w:fill="062B48"/>
          </w:tcPr>
          <w:p>
            <w:pPr>
              <w:jc w:val="center"/>
              <w:spacing w:after="0"/>
              <w:rPr>
                <w:sz w:val="20"/>
                <w:szCs w:val="20"/>
                <w:color w:val="auto"/>
              </w:rPr>
            </w:pPr>
            <w:r>
              <w:rPr>
                <w:rFonts w:ascii="Arial" w:cs="Arial" w:eastAsia="Arial" w:hAnsi="Arial"/>
                <w:sz w:val="18"/>
                <w:szCs w:val="18"/>
                <w:color w:val="FFFFFF"/>
                <w:w w:val="98"/>
              </w:rPr>
              <w:t>server.com/mmc/p/52pjzmgx</w:t>
            </w:r>
          </w:p>
        </w:tc>
        <w:tc>
          <w:tcPr>
            <w:tcW w:w="180" w:type="dxa"/>
            <w:vAlign w:val="bottom"/>
            <w:shd w:val="clear" w:color="auto" w:fill="062B48"/>
          </w:tcPr>
          <w:p>
            <w:pPr>
              <w:spacing w:after="0"/>
              <w:rPr>
                <w:sz w:val="12"/>
                <w:szCs w:val="12"/>
                <w:color w:val="auto"/>
              </w:rPr>
            </w:pPr>
          </w:p>
        </w:tc>
        <w:tc>
          <w:tcPr>
            <w:tcW w:w="3480" w:type="dxa"/>
            <w:vAlign w:val="bottom"/>
            <w:shd w:val="clear" w:color="auto" w:fill="062B48"/>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3200" w:type="dxa"/>
            <w:vAlign w:val="bottom"/>
            <w:shd w:val="clear" w:color="auto" w:fill="062B48"/>
          </w:tcPr>
          <w:p>
            <w:pPr>
              <w:spacing w:after="0"/>
              <w:rPr>
                <w:sz w:val="8"/>
                <w:szCs w:val="8"/>
                <w:color w:val="auto"/>
              </w:rPr>
            </w:pPr>
          </w:p>
        </w:tc>
        <w:tc>
          <w:tcPr>
            <w:tcW w:w="440" w:type="dxa"/>
            <w:vAlign w:val="bottom"/>
            <w:shd w:val="clear" w:color="auto" w:fill="062B48"/>
          </w:tcPr>
          <w:p>
            <w:pPr>
              <w:spacing w:after="0"/>
              <w:rPr>
                <w:sz w:val="8"/>
                <w:szCs w:val="8"/>
                <w:color w:val="auto"/>
              </w:rPr>
            </w:pPr>
          </w:p>
        </w:tc>
        <w:tc>
          <w:tcPr>
            <w:tcW w:w="3420" w:type="dxa"/>
            <w:vAlign w:val="bottom"/>
            <w:vMerge w:val="continue"/>
            <w:shd w:val="clear" w:color="auto" w:fill="062B48"/>
          </w:tcPr>
          <w:p>
            <w:pPr>
              <w:spacing w:after="0"/>
              <w:rPr>
                <w:sz w:val="8"/>
                <w:szCs w:val="8"/>
                <w:color w:val="auto"/>
              </w:rPr>
            </w:pPr>
          </w:p>
        </w:tc>
        <w:tc>
          <w:tcPr>
            <w:tcW w:w="180" w:type="dxa"/>
            <w:vAlign w:val="bottom"/>
            <w:shd w:val="clear" w:color="auto" w:fill="062B48"/>
          </w:tcPr>
          <w:p>
            <w:pPr>
              <w:spacing w:after="0"/>
              <w:rPr>
                <w:sz w:val="8"/>
                <w:szCs w:val="8"/>
                <w:color w:val="auto"/>
              </w:rPr>
            </w:pPr>
          </w:p>
        </w:tc>
        <w:tc>
          <w:tcPr>
            <w:tcW w:w="3480" w:type="dxa"/>
            <w:vAlign w:val="bottom"/>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3200" w:type="dxa"/>
            <w:vAlign w:val="bottom"/>
            <w:shd w:val="clear" w:color="auto" w:fill="062B48"/>
          </w:tcPr>
          <w:p>
            <w:pPr>
              <w:spacing w:after="0"/>
              <w:rPr>
                <w:sz w:val="4"/>
                <w:szCs w:val="4"/>
                <w:color w:val="auto"/>
              </w:rPr>
            </w:pPr>
          </w:p>
        </w:tc>
        <w:tc>
          <w:tcPr>
            <w:tcW w:w="440" w:type="dxa"/>
            <w:vAlign w:val="bottom"/>
            <w:shd w:val="clear" w:color="auto" w:fill="062B48"/>
          </w:tcPr>
          <w:p>
            <w:pPr>
              <w:spacing w:after="0"/>
              <w:rPr>
                <w:sz w:val="4"/>
                <w:szCs w:val="4"/>
                <w:color w:val="auto"/>
              </w:rPr>
            </w:pPr>
          </w:p>
        </w:tc>
        <w:tc>
          <w:tcPr>
            <w:tcW w:w="3420" w:type="dxa"/>
            <w:vAlign w:val="bottom"/>
            <w:shd w:val="clear" w:color="auto" w:fill="062B48"/>
          </w:tcPr>
          <w:p>
            <w:pPr>
              <w:spacing w:after="0"/>
              <w:rPr>
                <w:sz w:val="4"/>
                <w:szCs w:val="4"/>
                <w:color w:val="auto"/>
              </w:rPr>
            </w:pPr>
          </w:p>
        </w:tc>
        <w:tc>
          <w:tcPr>
            <w:tcW w:w="180" w:type="dxa"/>
            <w:vAlign w:val="bottom"/>
            <w:shd w:val="clear" w:color="auto" w:fill="062B48"/>
          </w:tcPr>
          <w:p>
            <w:pPr>
              <w:spacing w:after="0"/>
              <w:rPr>
                <w:sz w:val="4"/>
                <w:szCs w:val="4"/>
                <w:color w:val="auto"/>
              </w:rPr>
            </w:pPr>
          </w:p>
        </w:tc>
        <w:tc>
          <w:tcPr>
            <w:tcW w:w="3480" w:type="dxa"/>
            <w:vAlign w:val="bottom"/>
            <w:shd w:val="clear" w:color="auto" w:fill="062B48"/>
          </w:tcPr>
          <w:p>
            <w:pPr>
              <w:spacing w:after="0"/>
              <w:rPr>
                <w:sz w:val="4"/>
                <w:szCs w:val="4"/>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NOTICE IS HEREBY GIVEN that the annual meeting of stockholders of Alerus Financial Corporation (the “Company”) will be conducted through virtual means only via live webcast. The annual meeting will take place on Thursday, May 14, 2026, at 1:30 p.m., Central Time.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stockholders will be asked to:</w:t>
      </w:r>
    </w:p>
    <w:p>
      <w:pPr>
        <w:spacing w:after="0" w:line="223" w:lineRule="exact"/>
        <w:rPr>
          <w:sz w:val="20"/>
          <w:szCs w:val="20"/>
          <w:color w:val="auto"/>
        </w:rPr>
      </w:pPr>
    </w:p>
    <w:tbl>
      <w:tblPr>
        <w:tblLayout w:type="fixed"/>
        <w:tblInd w:w="140" w:type="dxa"/>
        <w:tblCellMar>
          <w:top w:w="0" w:type="dxa"/>
          <w:left w:w="0" w:type="dxa"/>
          <w:bottom w:w="0" w:type="dxa"/>
          <w:right w:w="0" w:type="dxa"/>
        </w:tblCellMar>
      </w:tblPr>
      <w:tr>
        <w:trPr>
          <w:trHeight w:val="187"/>
        </w:trPr>
        <w:tc>
          <w:tcPr>
            <w:tcW w:w="880" w:type="dxa"/>
            <w:vAlign w:val="bottom"/>
          </w:tcPr>
          <w:p>
            <w:pPr>
              <w:spacing w:after="0"/>
              <w:rPr>
                <w:sz w:val="16"/>
                <w:szCs w:val="16"/>
                <w:color w:val="auto"/>
              </w:rPr>
            </w:pPr>
          </w:p>
        </w:tc>
        <w:tc>
          <w:tcPr>
            <w:tcW w:w="68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w w:val="89"/>
              </w:rPr>
              <w:t>1</w:t>
            </w:r>
          </w:p>
        </w:tc>
        <w:tc>
          <w:tcPr>
            <w:tcW w:w="1000" w:type="dxa"/>
            <w:vAlign w:val="bottom"/>
            <w:tcBorders>
              <w:bottom w:val="single" w:sz="8" w:color="1AB2D2"/>
            </w:tcBorders>
          </w:tcPr>
          <w:p>
            <w:pPr>
              <w:spacing w:after="0"/>
              <w:rPr>
                <w:sz w:val="16"/>
                <w:szCs w:val="16"/>
                <w:color w:val="auto"/>
              </w:rPr>
            </w:pPr>
          </w:p>
        </w:tc>
        <w:tc>
          <w:tcPr>
            <w:tcW w:w="1020" w:type="dxa"/>
            <w:vAlign w:val="bottom"/>
            <w:tcBorders>
              <w:bottom w:val="single" w:sz="8" w:color="1AB2D2"/>
            </w:tcBorders>
          </w:tcPr>
          <w:p>
            <w:pPr>
              <w:spacing w:after="0"/>
              <w:rPr>
                <w:sz w:val="16"/>
                <w:szCs w:val="16"/>
                <w:color w:val="auto"/>
              </w:rPr>
            </w:pPr>
          </w:p>
        </w:tc>
        <w:tc>
          <w:tcPr>
            <w:tcW w:w="68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rPr>
              <w:t>2</w:t>
            </w:r>
          </w:p>
        </w:tc>
        <w:tc>
          <w:tcPr>
            <w:tcW w:w="1100" w:type="dxa"/>
            <w:vAlign w:val="bottom"/>
            <w:tcBorders>
              <w:bottom w:val="single" w:sz="8" w:color="1AB2D2"/>
            </w:tcBorders>
          </w:tcPr>
          <w:p>
            <w:pPr>
              <w:spacing w:after="0"/>
              <w:rPr>
                <w:sz w:val="16"/>
                <w:szCs w:val="16"/>
                <w:color w:val="auto"/>
              </w:rPr>
            </w:pPr>
          </w:p>
        </w:tc>
        <w:tc>
          <w:tcPr>
            <w:tcW w:w="720" w:type="dxa"/>
            <w:vAlign w:val="bottom"/>
            <w:tcBorders>
              <w:bottom w:val="single" w:sz="8" w:color="1AB2D2"/>
            </w:tcBorders>
          </w:tcPr>
          <w:p>
            <w:pPr>
              <w:spacing w:after="0"/>
              <w:rPr>
                <w:sz w:val="16"/>
                <w:szCs w:val="16"/>
                <w:color w:val="auto"/>
              </w:rPr>
            </w:pPr>
          </w:p>
        </w:tc>
        <w:tc>
          <w:tcPr>
            <w:tcW w:w="68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rPr>
              <w:t>3</w:t>
            </w:r>
          </w:p>
        </w:tc>
        <w:tc>
          <w:tcPr>
            <w:tcW w:w="980" w:type="dxa"/>
            <w:vAlign w:val="bottom"/>
            <w:tcBorders>
              <w:bottom w:val="single" w:sz="8" w:color="1AB2D2"/>
            </w:tcBorders>
          </w:tcPr>
          <w:p>
            <w:pPr>
              <w:spacing w:after="0"/>
              <w:rPr>
                <w:sz w:val="16"/>
                <w:szCs w:val="16"/>
                <w:color w:val="auto"/>
              </w:rPr>
            </w:pPr>
          </w:p>
        </w:tc>
        <w:tc>
          <w:tcPr>
            <w:tcW w:w="1240" w:type="dxa"/>
            <w:vAlign w:val="bottom"/>
            <w:tcBorders>
              <w:bottom w:val="single" w:sz="8" w:color="1AB2D2"/>
            </w:tcBorders>
          </w:tcPr>
          <w:p>
            <w:pPr>
              <w:spacing w:after="0"/>
              <w:rPr>
                <w:sz w:val="16"/>
                <w:szCs w:val="16"/>
                <w:color w:val="auto"/>
              </w:rPr>
            </w:pPr>
          </w:p>
        </w:tc>
        <w:tc>
          <w:tcPr>
            <w:tcW w:w="660" w:type="dxa"/>
            <w:vAlign w:val="bottom"/>
            <w:tcBorders>
              <w:bottom w:val="single" w:sz="8" w:color="062B48"/>
            </w:tcBorders>
            <w:vMerge w:val="restart"/>
            <w:shd w:val="clear" w:color="auto" w:fill="062B48"/>
          </w:tcPr>
          <w:p>
            <w:pPr>
              <w:jc w:val="center"/>
              <w:spacing w:after="0"/>
              <w:rPr>
                <w:sz w:val="20"/>
                <w:szCs w:val="20"/>
                <w:color w:val="auto"/>
              </w:rPr>
            </w:pPr>
            <w:r>
              <w:rPr>
                <w:rFonts w:ascii="Arial" w:cs="Arial" w:eastAsia="Arial" w:hAnsi="Arial"/>
                <w:sz w:val="16"/>
                <w:szCs w:val="16"/>
                <w:color w:val="FFFFFF"/>
              </w:rPr>
              <w:t>4</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880" w:type="dxa"/>
            <w:vAlign w:val="bottom"/>
          </w:tcPr>
          <w:p>
            <w:pPr>
              <w:spacing w:after="0"/>
              <w:rPr>
                <w:sz w:val="7"/>
                <w:szCs w:val="7"/>
                <w:color w:val="auto"/>
              </w:rPr>
            </w:pPr>
          </w:p>
        </w:tc>
        <w:tc>
          <w:tcPr>
            <w:tcW w:w="680" w:type="dxa"/>
            <w:vAlign w:val="bottom"/>
            <w:vMerge w:val="continue"/>
            <w:shd w:val="clear" w:color="auto" w:fill="062B48"/>
          </w:tcPr>
          <w:p>
            <w:pPr>
              <w:spacing w:after="0"/>
              <w:rPr>
                <w:sz w:val="7"/>
                <w:szCs w:val="7"/>
                <w:color w:val="auto"/>
              </w:rPr>
            </w:pPr>
          </w:p>
        </w:tc>
        <w:tc>
          <w:tcPr>
            <w:tcW w:w="10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80" w:type="dxa"/>
            <w:vAlign w:val="bottom"/>
            <w:vMerge w:val="continue"/>
            <w:shd w:val="clear" w:color="auto" w:fill="062B48"/>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shd w:val="clear" w:color="auto" w:fill="062B48"/>
          </w:tcPr>
          <w:p>
            <w:pPr>
              <w:spacing w:after="0"/>
              <w:rPr>
                <w:sz w:val="7"/>
                <w:szCs w:val="7"/>
                <w:color w:val="auto"/>
              </w:rPr>
            </w:pPr>
          </w:p>
        </w:tc>
        <w:tc>
          <w:tcPr>
            <w:tcW w:w="9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60" w:type="dxa"/>
            <w:vAlign w:val="bottom"/>
            <w:vMerge w:val="continue"/>
            <w:shd w:val="clear" w:color="auto" w:fill="062B48"/>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80" w:type="dxa"/>
            <w:vAlign w:val="bottom"/>
          </w:tcPr>
          <w:p>
            <w:pPr>
              <w:spacing w:after="0"/>
              <w:rPr>
                <w:sz w:val="8"/>
                <w:szCs w:val="8"/>
                <w:color w:val="auto"/>
              </w:rPr>
            </w:pPr>
          </w:p>
        </w:tc>
        <w:tc>
          <w:tcPr>
            <w:tcW w:w="680" w:type="dxa"/>
            <w:vAlign w:val="bottom"/>
            <w:shd w:val="clear" w:color="auto" w:fill="062B48"/>
          </w:tcPr>
          <w:p>
            <w:pPr>
              <w:spacing w:after="0"/>
              <w:rPr>
                <w:sz w:val="8"/>
                <w:szCs w:val="8"/>
                <w:color w:val="auto"/>
              </w:rPr>
            </w:pPr>
          </w:p>
        </w:tc>
        <w:tc>
          <w:tcPr>
            <w:tcW w:w="10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80" w:type="dxa"/>
            <w:vAlign w:val="bottom"/>
            <w:shd w:val="clear" w:color="auto" w:fill="062B48"/>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shd w:val="clear" w:color="auto" w:fill="062B48"/>
          </w:tcPr>
          <w:p>
            <w:pPr>
              <w:spacing w:after="0"/>
              <w:rPr>
                <w:sz w:val="8"/>
                <w:szCs w:val="8"/>
                <w:color w:val="auto"/>
              </w:rPr>
            </w:pPr>
          </w:p>
        </w:tc>
        <w:tc>
          <w:tcPr>
            <w:tcW w:w="9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60" w:type="dxa"/>
            <w:vAlign w:val="bottom"/>
            <w:shd w:val="clear" w:color="auto" w:fill="062B48"/>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9"/>
        </w:trPr>
        <w:tc>
          <w:tcPr>
            <w:tcW w:w="256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Elect the nine director nominees</w:t>
            </w:r>
          </w:p>
        </w:tc>
        <w:tc>
          <w:tcPr>
            <w:tcW w:w="2800" w:type="dxa"/>
            <w:vAlign w:val="bottom"/>
            <w:gridSpan w:val="3"/>
          </w:tcPr>
          <w:p>
            <w:pPr>
              <w:jc w:val="center"/>
              <w:ind w:right="60"/>
              <w:spacing w:after="0"/>
              <w:rPr>
                <w:sz w:val="20"/>
                <w:szCs w:val="20"/>
                <w:color w:val="auto"/>
              </w:rPr>
            </w:pPr>
            <w:r>
              <w:rPr>
                <w:rFonts w:ascii="Arial" w:cs="Arial" w:eastAsia="Arial" w:hAnsi="Arial"/>
                <w:sz w:val="16"/>
                <w:szCs w:val="16"/>
                <w:color w:val="auto"/>
                <w:w w:val="99"/>
              </w:rPr>
              <w:t>Approve, on a non-binding advisory</w:t>
            </w:r>
          </w:p>
        </w:tc>
        <w:tc>
          <w:tcPr>
            <w:tcW w:w="2380" w:type="dxa"/>
            <w:vAlign w:val="bottom"/>
            <w:gridSpan w:val="3"/>
          </w:tcPr>
          <w:p>
            <w:pPr>
              <w:jc w:val="center"/>
              <w:ind w:right="300"/>
              <w:spacing w:after="0"/>
              <w:rPr>
                <w:sz w:val="20"/>
                <w:szCs w:val="20"/>
                <w:color w:val="auto"/>
              </w:rPr>
            </w:pPr>
            <w:r>
              <w:rPr>
                <w:rFonts w:ascii="Arial" w:cs="Arial" w:eastAsia="Arial" w:hAnsi="Arial"/>
                <w:sz w:val="16"/>
                <w:szCs w:val="16"/>
                <w:color w:val="auto"/>
                <w:w w:val="99"/>
              </w:rPr>
              <w:t>Ratify the appointment</w:t>
            </w:r>
          </w:p>
        </w:tc>
        <w:tc>
          <w:tcPr>
            <w:tcW w:w="2680" w:type="dxa"/>
            <w:vAlign w:val="bottom"/>
            <w:gridSpan w:val="3"/>
          </w:tcPr>
          <w:p>
            <w:pPr>
              <w:jc w:val="center"/>
              <w:ind w:left="380"/>
              <w:spacing w:after="0"/>
              <w:rPr>
                <w:sz w:val="20"/>
                <w:szCs w:val="20"/>
                <w:color w:val="auto"/>
              </w:rPr>
            </w:pPr>
            <w:r>
              <w:rPr>
                <w:rFonts w:ascii="Arial" w:cs="Arial" w:eastAsia="Arial" w:hAnsi="Arial"/>
                <w:sz w:val="16"/>
                <w:szCs w:val="16"/>
                <w:color w:val="auto"/>
              </w:rPr>
              <w:t>Transact such other</w:t>
            </w:r>
          </w:p>
        </w:tc>
        <w:tc>
          <w:tcPr>
            <w:tcW w:w="0" w:type="dxa"/>
            <w:vAlign w:val="bottom"/>
          </w:tcPr>
          <w:p>
            <w:pPr>
              <w:spacing w:after="0"/>
              <w:rPr>
                <w:sz w:val="1"/>
                <w:szCs w:val="1"/>
                <w:color w:val="auto"/>
              </w:rPr>
            </w:pPr>
          </w:p>
        </w:tc>
      </w:tr>
      <w:tr>
        <w:trPr>
          <w:trHeight w:val="187"/>
        </w:trPr>
        <w:tc>
          <w:tcPr>
            <w:tcW w:w="2560" w:type="dxa"/>
            <w:vAlign w:val="bottom"/>
            <w:gridSpan w:val="3"/>
          </w:tcPr>
          <w:p>
            <w:pPr>
              <w:jc w:val="center"/>
              <w:ind w:right="120"/>
              <w:spacing w:after="0"/>
              <w:rPr>
                <w:sz w:val="20"/>
                <w:szCs w:val="20"/>
                <w:color w:val="auto"/>
              </w:rPr>
            </w:pPr>
            <w:r>
              <w:rPr>
                <w:rFonts w:ascii="Arial" w:cs="Arial" w:eastAsia="Arial" w:hAnsi="Arial"/>
                <w:sz w:val="16"/>
                <w:szCs w:val="16"/>
                <w:color w:val="auto"/>
              </w:rPr>
              <w:t>named in the accompanying proxy</w:t>
            </w:r>
          </w:p>
        </w:tc>
        <w:tc>
          <w:tcPr>
            <w:tcW w:w="2800" w:type="dxa"/>
            <w:vAlign w:val="bottom"/>
            <w:gridSpan w:val="3"/>
          </w:tcPr>
          <w:p>
            <w:pPr>
              <w:jc w:val="center"/>
              <w:ind w:right="60"/>
              <w:spacing w:after="0"/>
              <w:rPr>
                <w:sz w:val="20"/>
                <w:szCs w:val="20"/>
                <w:color w:val="auto"/>
              </w:rPr>
            </w:pPr>
            <w:r>
              <w:rPr>
                <w:rFonts w:ascii="Arial" w:cs="Arial" w:eastAsia="Arial" w:hAnsi="Arial"/>
                <w:sz w:val="16"/>
                <w:szCs w:val="16"/>
                <w:color w:val="auto"/>
              </w:rPr>
              <w:t>basis, the compensation paid to our</w:t>
            </w:r>
          </w:p>
        </w:tc>
        <w:tc>
          <w:tcPr>
            <w:tcW w:w="2380" w:type="dxa"/>
            <w:vAlign w:val="bottom"/>
            <w:gridSpan w:val="3"/>
          </w:tcPr>
          <w:p>
            <w:pPr>
              <w:jc w:val="center"/>
              <w:ind w:right="280"/>
              <w:spacing w:after="0"/>
              <w:rPr>
                <w:sz w:val="20"/>
                <w:szCs w:val="20"/>
                <w:color w:val="auto"/>
              </w:rPr>
            </w:pPr>
            <w:r>
              <w:rPr>
                <w:rFonts w:ascii="Arial" w:cs="Arial" w:eastAsia="Arial" w:hAnsi="Arial"/>
                <w:sz w:val="16"/>
                <w:szCs w:val="16"/>
                <w:color w:val="auto"/>
              </w:rPr>
              <w:t>of RSM US LLP as the</w:t>
            </w:r>
          </w:p>
        </w:tc>
        <w:tc>
          <w:tcPr>
            <w:tcW w:w="2680" w:type="dxa"/>
            <w:vAlign w:val="bottom"/>
            <w:gridSpan w:val="3"/>
          </w:tcPr>
          <w:p>
            <w:pPr>
              <w:jc w:val="center"/>
              <w:ind w:left="380"/>
              <w:spacing w:after="0"/>
              <w:rPr>
                <w:sz w:val="20"/>
                <w:szCs w:val="20"/>
                <w:color w:val="auto"/>
              </w:rPr>
            </w:pPr>
            <w:r>
              <w:rPr>
                <w:rFonts w:ascii="Arial" w:cs="Arial" w:eastAsia="Arial" w:hAnsi="Arial"/>
                <w:sz w:val="16"/>
                <w:szCs w:val="16"/>
                <w:color w:val="auto"/>
              </w:rPr>
              <w:t>business as may properly</w:t>
            </w:r>
          </w:p>
        </w:tc>
        <w:tc>
          <w:tcPr>
            <w:tcW w:w="0" w:type="dxa"/>
            <w:vAlign w:val="bottom"/>
          </w:tcPr>
          <w:p>
            <w:pPr>
              <w:spacing w:after="0"/>
              <w:rPr>
                <w:sz w:val="1"/>
                <w:szCs w:val="1"/>
                <w:color w:val="auto"/>
              </w:rPr>
            </w:pPr>
          </w:p>
        </w:tc>
      </w:tr>
      <w:tr>
        <w:trPr>
          <w:trHeight w:val="187"/>
        </w:trPr>
        <w:tc>
          <w:tcPr>
            <w:tcW w:w="2560" w:type="dxa"/>
            <w:vAlign w:val="bottom"/>
            <w:gridSpan w:val="3"/>
          </w:tcPr>
          <w:p>
            <w:pPr>
              <w:jc w:val="center"/>
              <w:ind w:right="120"/>
              <w:spacing w:after="0"/>
              <w:rPr>
                <w:sz w:val="20"/>
                <w:szCs w:val="20"/>
                <w:color w:val="auto"/>
              </w:rPr>
            </w:pPr>
            <w:r>
              <w:rPr>
                <w:rFonts w:ascii="Arial" w:cs="Arial" w:eastAsia="Arial" w:hAnsi="Arial"/>
                <w:sz w:val="16"/>
                <w:szCs w:val="16"/>
                <w:color w:val="auto"/>
              </w:rPr>
              <w:t>statement to serve on the board of</w:t>
            </w:r>
          </w:p>
        </w:tc>
        <w:tc>
          <w:tcPr>
            <w:tcW w:w="2800" w:type="dxa"/>
            <w:vAlign w:val="bottom"/>
            <w:gridSpan w:val="3"/>
          </w:tcPr>
          <w:p>
            <w:pPr>
              <w:jc w:val="center"/>
              <w:ind w:right="60"/>
              <w:spacing w:after="0"/>
              <w:rPr>
                <w:sz w:val="20"/>
                <w:szCs w:val="20"/>
                <w:color w:val="auto"/>
              </w:rPr>
            </w:pPr>
            <w:r>
              <w:rPr>
                <w:rFonts w:ascii="Arial" w:cs="Arial" w:eastAsia="Arial" w:hAnsi="Arial"/>
                <w:sz w:val="16"/>
                <w:szCs w:val="16"/>
                <w:color w:val="auto"/>
              </w:rPr>
              <w:t>named executive officers,</w:t>
            </w:r>
          </w:p>
        </w:tc>
        <w:tc>
          <w:tcPr>
            <w:tcW w:w="2380" w:type="dxa"/>
            <w:vAlign w:val="bottom"/>
            <w:gridSpan w:val="3"/>
          </w:tcPr>
          <w:p>
            <w:pPr>
              <w:jc w:val="center"/>
              <w:ind w:right="300"/>
              <w:spacing w:after="0"/>
              <w:rPr>
                <w:sz w:val="20"/>
                <w:szCs w:val="20"/>
                <w:color w:val="auto"/>
              </w:rPr>
            </w:pPr>
            <w:r>
              <w:rPr>
                <w:rFonts w:ascii="Arial" w:cs="Arial" w:eastAsia="Arial" w:hAnsi="Arial"/>
                <w:sz w:val="16"/>
                <w:szCs w:val="16"/>
                <w:color w:val="auto"/>
              </w:rPr>
              <w:t>registered</w:t>
            </w:r>
          </w:p>
        </w:tc>
        <w:tc>
          <w:tcPr>
            <w:tcW w:w="2680" w:type="dxa"/>
            <w:vAlign w:val="bottom"/>
            <w:gridSpan w:val="3"/>
          </w:tcPr>
          <w:p>
            <w:pPr>
              <w:jc w:val="center"/>
              <w:ind w:left="380"/>
              <w:spacing w:after="0"/>
              <w:rPr>
                <w:sz w:val="20"/>
                <w:szCs w:val="20"/>
                <w:color w:val="auto"/>
              </w:rPr>
            </w:pPr>
            <w:r>
              <w:rPr>
                <w:rFonts w:ascii="Arial" w:cs="Arial" w:eastAsia="Arial" w:hAnsi="Arial"/>
                <w:sz w:val="16"/>
                <w:szCs w:val="16"/>
                <w:color w:val="auto"/>
              </w:rPr>
              <w:t>be brought before the</w:t>
            </w:r>
          </w:p>
        </w:tc>
        <w:tc>
          <w:tcPr>
            <w:tcW w:w="0" w:type="dxa"/>
            <w:vAlign w:val="bottom"/>
          </w:tcPr>
          <w:p>
            <w:pPr>
              <w:spacing w:after="0"/>
              <w:rPr>
                <w:sz w:val="1"/>
                <w:szCs w:val="1"/>
                <w:color w:val="auto"/>
              </w:rPr>
            </w:pPr>
          </w:p>
        </w:tc>
      </w:tr>
      <w:tr>
        <w:trPr>
          <w:trHeight w:val="187"/>
        </w:trPr>
        <w:tc>
          <w:tcPr>
            <w:tcW w:w="256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directors of the Company,</w:t>
            </w: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gridSpan w:val="3"/>
          </w:tcPr>
          <w:p>
            <w:pPr>
              <w:jc w:val="center"/>
              <w:ind w:right="280"/>
              <w:spacing w:after="0"/>
              <w:rPr>
                <w:sz w:val="20"/>
                <w:szCs w:val="20"/>
                <w:color w:val="auto"/>
              </w:rPr>
            </w:pPr>
            <w:r>
              <w:rPr>
                <w:rFonts w:ascii="Arial" w:cs="Arial" w:eastAsia="Arial" w:hAnsi="Arial"/>
                <w:sz w:val="16"/>
                <w:szCs w:val="16"/>
                <w:color w:val="auto"/>
                <w:w w:val="99"/>
              </w:rPr>
              <w:t>independent public</w:t>
            </w:r>
          </w:p>
        </w:tc>
        <w:tc>
          <w:tcPr>
            <w:tcW w:w="2680" w:type="dxa"/>
            <w:vAlign w:val="bottom"/>
            <w:gridSpan w:val="3"/>
          </w:tcPr>
          <w:p>
            <w:pPr>
              <w:jc w:val="center"/>
              <w:ind w:left="380"/>
              <w:spacing w:after="0"/>
              <w:rPr>
                <w:sz w:val="20"/>
                <w:szCs w:val="20"/>
                <w:color w:val="auto"/>
              </w:rPr>
            </w:pPr>
            <w:r>
              <w:rPr>
                <w:rFonts w:ascii="Arial" w:cs="Arial" w:eastAsia="Arial" w:hAnsi="Arial"/>
                <w:sz w:val="16"/>
                <w:szCs w:val="16"/>
                <w:color w:val="auto"/>
                <w:w w:val="99"/>
              </w:rPr>
              <w:t>annual meeting or any</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gridSpan w:val="3"/>
          </w:tcPr>
          <w:p>
            <w:pPr>
              <w:jc w:val="center"/>
              <w:ind w:right="280"/>
              <w:spacing w:after="0"/>
              <w:rPr>
                <w:sz w:val="20"/>
                <w:szCs w:val="20"/>
                <w:color w:val="auto"/>
              </w:rPr>
            </w:pPr>
            <w:r>
              <w:rPr>
                <w:rFonts w:ascii="Arial" w:cs="Arial" w:eastAsia="Arial" w:hAnsi="Arial"/>
                <w:sz w:val="16"/>
                <w:szCs w:val="16"/>
                <w:color w:val="auto"/>
                <w:w w:val="99"/>
              </w:rPr>
              <w:t>accounting firm for the</w:t>
            </w:r>
          </w:p>
        </w:tc>
        <w:tc>
          <w:tcPr>
            <w:tcW w:w="2680" w:type="dxa"/>
            <w:vAlign w:val="bottom"/>
            <w:gridSpan w:val="3"/>
          </w:tcPr>
          <w:p>
            <w:pPr>
              <w:jc w:val="center"/>
              <w:ind w:left="400"/>
              <w:spacing w:after="0"/>
              <w:rPr>
                <w:sz w:val="20"/>
                <w:szCs w:val="20"/>
                <w:color w:val="auto"/>
              </w:rPr>
            </w:pPr>
            <w:r>
              <w:rPr>
                <w:rFonts w:ascii="Arial" w:cs="Arial" w:eastAsia="Arial" w:hAnsi="Arial"/>
                <w:sz w:val="16"/>
                <w:szCs w:val="16"/>
                <w:color w:val="auto"/>
              </w:rPr>
              <w:t>adjournments or</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gridSpan w:val="3"/>
          </w:tcPr>
          <w:p>
            <w:pPr>
              <w:jc w:val="center"/>
              <w:ind w:right="280"/>
              <w:spacing w:after="0"/>
              <w:rPr>
                <w:sz w:val="20"/>
                <w:szCs w:val="20"/>
                <w:color w:val="auto"/>
              </w:rPr>
            </w:pPr>
            <w:r>
              <w:rPr>
                <w:rFonts w:ascii="Arial" w:cs="Arial" w:eastAsia="Arial" w:hAnsi="Arial"/>
                <w:sz w:val="16"/>
                <w:szCs w:val="16"/>
                <w:color w:val="auto"/>
                <w:w w:val="99"/>
              </w:rPr>
              <w:t>Company for the</w:t>
            </w:r>
          </w:p>
        </w:tc>
        <w:tc>
          <w:tcPr>
            <w:tcW w:w="2680" w:type="dxa"/>
            <w:vAlign w:val="bottom"/>
            <w:gridSpan w:val="3"/>
          </w:tcPr>
          <w:p>
            <w:pPr>
              <w:jc w:val="center"/>
              <w:ind w:left="400"/>
              <w:spacing w:after="0"/>
              <w:rPr>
                <w:sz w:val="20"/>
                <w:szCs w:val="20"/>
                <w:color w:val="auto"/>
              </w:rPr>
            </w:pPr>
            <w:r>
              <w:rPr>
                <w:rFonts w:ascii="Arial" w:cs="Arial" w:eastAsia="Arial" w:hAnsi="Arial"/>
                <w:sz w:val="16"/>
                <w:szCs w:val="16"/>
                <w:color w:val="auto"/>
              </w:rPr>
              <w:t>postponements of the meeting.</w:t>
            </w:r>
          </w:p>
        </w:tc>
        <w:tc>
          <w:tcPr>
            <w:tcW w:w="0" w:type="dxa"/>
            <w:vAlign w:val="bottom"/>
          </w:tcPr>
          <w:p>
            <w:pPr>
              <w:spacing w:after="0"/>
              <w:rPr>
                <w:sz w:val="1"/>
                <w:szCs w:val="1"/>
                <w:color w:val="auto"/>
              </w:rPr>
            </w:pPr>
          </w:p>
        </w:tc>
      </w:tr>
      <w:tr>
        <w:trPr>
          <w:trHeight w:val="187"/>
        </w:trPr>
        <w:tc>
          <w:tcPr>
            <w:tcW w:w="8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380" w:type="dxa"/>
            <w:vAlign w:val="bottom"/>
            <w:gridSpan w:val="3"/>
          </w:tcPr>
          <w:p>
            <w:pPr>
              <w:jc w:val="center"/>
              <w:ind w:right="300"/>
              <w:spacing w:after="0"/>
              <w:rPr>
                <w:sz w:val="20"/>
                <w:szCs w:val="20"/>
                <w:color w:val="auto"/>
              </w:rPr>
            </w:pPr>
            <w:r>
              <w:rPr>
                <w:rFonts w:ascii="Arial" w:cs="Arial" w:eastAsia="Arial" w:hAnsi="Arial"/>
                <w:sz w:val="16"/>
                <w:szCs w:val="16"/>
                <w:color w:val="auto"/>
                <w:w w:val="99"/>
              </w:rPr>
              <w:t>fiscal year ending</w:t>
            </w:r>
          </w:p>
        </w:tc>
        <w:tc>
          <w:tcPr>
            <w:tcW w:w="1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380" w:type="dxa"/>
            <w:vAlign w:val="bottom"/>
            <w:gridSpan w:val="3"/>
          </w:tcPr>
          <w:p>
            <w:pPr>
              <w:jc w:val="center"/>
              <w:ind w:right="300"/>
              <w:spacing w:after="0"/>
              <w:rPr>
                <w:sz w:val="20"/>
                <w:szCs w:val="20"/>
                <w:color w:val="auto"/>
              </w:rPr>
            </w:pPr>
            <w:r>
              <w:rPr>
                <w:rFonts w:ascii="Arial" w:cs="Arial" w:eastAsia="Arial" w:hAnsi="Arial"/>
                <w:sz w:val="16"/>
                <w:szCs w:val="16"/>
                <w:color w:val="auto"/>
                <w:w w:val="99"/>
              </w:rPr>
              <w:t>December 31, 2026, and</w:t>
            </w:r>
          </w:p>
        </w:tc>
        <w:tc>
          <w:tcPr>
            <w:tcW w:w="1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right="460"/>
        <w:spacing w:after="0" w:line="278" w:lineRule="auto"/>
        <w:rPr>
          <w:sz w:val="20"/>
          <w:szCs w:val="20"/>
          <w:color w:val="auto"/>
        </w:rPr>
      </w:pPr>
      <w:r>
        <w:rPr>
          <w:rFonts w:ascii="Arial" w:cs="Arial" w:eastAsia="Arial" w:hAnsi="Arial"/>
          <w:sz w:val="16"/>
          <w:szCs w:val="16"/>
          <w:color w:val="auto"/>
        </w:rPr>
        <w:t>Only stockholders of record as of the close of business on March 16, 2026, will be entitled to notice of, and to vote at, the annual meeting. If there are an insufficient number of votes for a quorum, the meeting may be adjourned or postponed to permit us to continue to solicit proxies.</w:t>
      </w:r>
    </w:p>
    <w:p>
      <w:pPr>
        <w:spacing w:after="0" w:line="98" w:lineRule="exact"/>
        <w:rPr>
          <w:sz w:val="20"/>
          <w:szCs w:val="20"/>
          <w:color w:val="auto"/>
        </w:rPr>
      </w:pPr>
    </w:p>
    <w:p>
      <w:pPr>
        <w:ind w:right="80"/>
        <w:spacing w:after="0" w:line="195" w:lineRule="exact"/>
        <w:rPr>
          <w:sz w:val="20"/>
          <w:szCs w:val="20"/>
          <w:color w:val="auto"/>
        </w:rPr>
      </w:pPr>
      <w:r>
        <w:rPr>
          <w:rFonts w:ascii="Arial" w:cs="Arial" w:eastAsia="Arial" w:hAnsi="Arial"/>
          <w:sz w:val="16"/>
          <w:szCs w:val="16"/>
          <w:color w:val="auto"/>
        </w:rPr>
        <w:t>We are using the Securities and Exchange Commission rule that allows us to furnish our Proxy Statement,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2025, and proxy card to stockholders over the internet. This means our stockholders will receive only a notice containing instructions on how to access proxy materials over the internet. This Proxy Statement, our Annual Report on Form 10-K for the year ended December 31, 2025, and the proxy card are available at investors.alerus.com and http://www.astproxyportal.com/ast/19579/. If you receive the notice but would still like to request paper copies of the proxy materials, please follow the instructions on the notice. By delivering proxy materials electronically to our stockholders, we can reduce the costs of printing and mailing our proxy materials. This notice is first being mailed to stockholders, and we intend to provide access to the proxy materials to the stockholders of record, beginning on or about April 1, 2026.</w:t>
      </w:r>
    </w:p>
    <w:p>
      <w:pPr>
        <w:spacing w:after="0" w:line="167"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Stockholders can participate in and vote during the annual meeting by visiting https://edge.media-server.com/mmc/p/52pjzmgx and entering (i) passcode: alerus2026; and (ii) the unique 11-digit control number found on the proxy card distributed to each stockholder entitled to vote as of the close of business on the record date. Stockholders may also ask questions during the annual meeting by following the instructions available on the meeting website.</w:t>
      </w:r>
    </w:p>
    <w:p>
      <w:pPr>
        <w:spacing w:after="0" w:line="3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3850640</wp:posOffset>
            </wp:positionH>
            <wp:positionV relativeFrom="paragraph">
              <wp:posOffset>133350</wp:posOffset>
            </wp:positionV>
            <wp:extent cx="1423670" cy="279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670" cy="27940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Grand Forks, North Dakota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April 1,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Katie A. Lorenson</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139065</wp:posOffset>
            </wp:positionV>
            <wp:extent cx="7134225" cy="559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55943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340" w:space="720"/>
            <w:col w:w="5180"/>
          </w:cols>
          <w:pgMar w:left="320" w:top="766" w:right="339" w:bottom="1440" w:gutter="0" w:footer="0" w:header="0"/>
          <w:type w:val="continuous"/>
        </w:sect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FFFFFF"/>
        </w:rPr>
        <w:t>YOUR VOTE IS VERY IMPORTANT. PLEASE EXERCISE YOUR STOCKHOLDER RIGHT TO VOTE, REGARDLESS OF</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FFFFFF"/>
        </w:rPr>
        <w:t>WHETHER YOU PLAN TO ATTEND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517525</wp:posOffset>
            </wp:positionV>
            <wp:extent cx="713422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43719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437197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8"/>
          <w:szCs w:val="28"/>
          <w:color w:val="FFFFFF"/>
        </w:rPr>
        <w:t>Table of Contents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80" w:type="dxa"/>
            <w:vAlign w:val="bottom"/>
          </w:tcPr>
          <w:p>
            <w:pPr>
              <w:spacing w:after="0"/>
              <w:rPr>
                <w:sz w:val="19"/>
                <w:szCs w:val="19"/>
                <w:color w:val="auto"/>
              </w:rPr>
            </w:pPr>
          </w:p>
        </w:tc>
        <w:tc>
          <w:tcPr>
            <w:tcW w:w="170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FFFFFF"/>
                <w:w w:val="99"/>
              </w:rPr>
              <w:t>Questions and Answers</w:t>
            </w:r>
          </w:p>
        </w:tc>
        <w:tc>
          <w:tcPr>
            <w:tcW w:w="6480" w:type="dxa"/>
            <w:vAlign w:val="bottom"/>
            <w:gridSpan w:val="10"/>
          </w:tcPr>
          <w:p>
            <w:pPr>
              <w:spacing w:after="0"/>
              <w:rPr>
                <w:sz w:val="19"/>
                <w:szCs w:val="19"/>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3</w:t>
            </w:r>
          </w:p>
        </w:tc>
        <w:tc>
          <w:tcPr>
            <w:tcW w:w="1260" w:type="dxa"/>
            <w:vAlign w:val="bottom"/>
            <w:tcBorders>
              <w:bottom w:val="single" w:sz="8" w:color="062B48"/>
            </w:tcBorders>
            <w:shd w:val="clear" w:color="auto" w:fill="062B48"/>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6"/>
                <w:szCs w:val="16"/>
                <w:color w:val="FFFFFF"/>
                <w:w w:val="99"/>
              </w:rPr>
              <w:t>Proposal 1</w:t>
            </w:r>
          </w:p>
        </w:tc>
        <w:tc>
          <w:tcPr>
            <w:tcW w:w="7400" w:type="dxa"/>
            <w:vAlign w:val="bottom"/>
            <w:gridSpan w:val="12"/>
          </w:tcPr>
          <w:p>
            <w:pPr>
              <w:ind w:left="40"/>
              <w:spacing w:after="0"/>
              <w:rPr>
                <w:sz w:val="20"/>
                <w:szCs w:val="20"/>
                <w:color w:val="auto"/>
              </w:rPr>
            </w:pPr>
            <w:r>
              <w:rPr>
                <w:rFonts w:ascii="Arial" w:cs="Arial" w:eastAsia="Arial" w:hAnsi="Arial"/>
                <w:sz w:val="16"/>
                <w:szCs w:val="16"/>
                <w:color w:val="FFFFFF"/>
              </w:rPr>
              <w:t>— Election of Directors</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7</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38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Arial" w:cs="Arial" w:eastAsia="Arial" w:hAnsi="Arial"/>
                <w:sz w:val="16"/>
                <w:szCs w:val="16"/>
                <w:color w:val="FFFFFF"/>
              </w:rPr>
              <w:t>Corporate Governance and the Board of Directors</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13</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3540" w:type="dxa"/>
            <w:vAlign w:val="bottom"/>
            <w:tcBorders>
              <w:top w:val="single" w:sz="8" w:color="0000EE"/>
            </w:tcBorders>
            <w:gridSpan w:val="10"/>
          </w:tcPr>
          <w:p>
            <w:pPr>
              <w:spacing w:after="0"/>
              <w:rPr>
                <w:sz w:val="20"/>
                <w:szCs w:val="20"/>
                <w:color w:val="auto"/>
              </w:rPr>
            </w:pPr>
            <w:r>
              <w:rPr>
                <w:rFonts w:ascii="Arial" w:cs="Arial" w:eastAsia="Arial" w:hAnsi="Arial"/>
                <w:sz w:val="16"/>
                <w:szCs w:val="16"/>
                <w:color w:val="FFFFFF"/>
              </w:rPr>
              <w:t>Compensation Discussion and Analysis</w:t>
            </w:r>
          </w:p>
        </w:tc>
        <w:tc>
          <w:tcPr>
            <w:tcW w:w="4640" w:type="dxa"/>
            <w:vAlign w:val="bottom"/>
            <w:gridSpan w:val="4"/>
          </w:tcPr>
          <w:p>
            <w:pPr>
              <w:spacing w:after="0"/>
              <w:rPr>
                <w:sz w:val="24"/>
                <w:szCs w:val="24"/>
                <w:color w:val="auto"/>
              </w:rPr>
            </w:pPr>
          </w:p>
        </w:tc>
        <w:tc>
          <w:tcPr>
            <w:tcW w:w="420" w:type="dxa"/>
            <w:vAlign w:val="bottom"/>
            <w:tcBorders>
              <w:top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21</w:t>
            </w:r>
          </w:p>
        </w:tc>
        <w:tc>
          <w:tcPr>
            <w:tcW w:w="1260" w:type="dxa"/>
            <w:vAlign w:val="bottom"/>
            <w:tcBorders>
              <w:top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244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6"/>
                <w:szCs w:val="16"/>
                <w:color w:val="FFFFFF"/>
              </w:rPr>
              <w:t>Compensation Committee Report</w:t>
            </w:r>
          </w:p>
        </w:tc>
        <w:tc>
          <w:tcPr>
            <w:tcW w:w="360" w:type="dxa"/>
            <w:vAlign w:val="bottom"/>
            <w:tcBorders>
              <w:top w:val="single" w:sz="8" w:color="0000EE"/>
            </w:tcBorders>
          </w:tcPr>
          <w:p>
            <w:pPr>
              <w:spacing w:after="0"/>
              <w:rPr>
                <w:sz w:val="24"/>
                <w:szCs w:val="24"/>
                <w:color w:val="auto"/>
              </w:rPr>
            </w:pPr>
          </w:p>
        </w:tc>
        <w:tc>
          <w:tcPr>
            <w:tcW w:w="5380" w:type="dxa"/>
            <w:vAlign w:val="bottom"/>
            <w:gridSpan w:val="6"/>
          </w:tcPr>
          <w:p>
            <w:pPr>
              <w:spacing w:after="0"/>
              <w:rPr>
                <w:sz w:val="24"/>
                <w:szCs w:val="24"/>
                <w:color w:val="auto"/>
              </w:rPr>
            </w:pPr>
          </w:p>
        </w:tc>
        <w:tc>
          <w:tcPr>
            <w:tcW w:w="420" w:type="dxa"/>
            <w:vAlign w:val="bottom"/>
            <w:tcBorders>
              <w:top w:val="single" w:sz="8" w:color="062B48"/>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29</w:t>
            </w:r>
          </w:p>
        </w:tc>
        <w:tc>
          <w:tcPr>
            <w:tcW w:w="1260" w:type="dxa"/>
            <w:vAlign w:val="bottom"/>
            <w:tcBorders>
              <w:top w:val="single" w:sz="8" w:color="062B48"/>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178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FFFFFF"/>
                <w:w w:val="99"/>
              </w:rPr>
              <w:t>Executive Compensation</w:t>
            </w:r>
          </w:p>
        </w:tc>
        <w:tc>
          <w:tcPr>
            <w:tcW w:w="6400" w:type="dxa"/>
            <w:vAlign w:val="bottom"/>
            <w:gridSpan w:val="9"/>
          </w:tcPr>
          <w:p>
            <w:pPr>
              <w:spacing w:after="0"/>
              <w:rPr>
                <w:sz w:val="24"/>
                <w:szCs w:val="24"/>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30</w:t>
            </w:r>
          </w:p>
        </w:tc>
        <w:tc>
          <w:tcPr>
            <w:tcW w:w="1260" w:type="dxa"/>
            <w:vAlign w:val="bottom"/>
            <w:tcBorders>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Arial" w:cs="Arial" w:eastAsia="Arial" w:hAnsi="Arial"/>
                <w:sz w:val="16"/>
                <w:szCs w:val="16"/>
                <w:color w:val="FFFFFF"/>
              </w:rPr>
              <w:t>CEO Pay Ratio</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34</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380" w:type="dxa"/>
            <w:vAlign w:val="bottom"/>
          </w:tcPr>
          <w:p>
            <w:pPr>
              <w:spacing w:after="0"/>
              <w:rPr>
                <w:sz w:val="24"/>
                <w:szCs w:val="24"/>
                <w:color w:val="auto"/>
              </w:rPr>
            </w:pPr>
          </w:p>
        </w:tc>
        <w:tc>
          <w:tcPr>
            <w:tcW w:w="182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FFFFFF"/>
              </w:rPr>
              <w:t>Pay Versus Performance</w:t>
            </w:r>
          </w:p>
        </w:tc>
        <w:tc>
          <w:tcPr>
            <w:tcW w:w="6360" w:type="dxa"/>
            <w:vAlign w:val="bottom"/>
            <w:gridSpan w:val="8"/>
          </w:tcPr>
          <w:p>
            <w:pPr>
              <w:spacing w:after="0"/>
              <w:rPr>
                <w:sz w:val="24"/>
                <w:szCs w:val="24"/>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35</w:t>
            </w:r>
          </w:p>
        </w:tc>
        <w:tc>
          <w:tcPr>
            <w:tcW w:w="1260" w:type="dxa"/>
            <w:vAlign w:val="bottom"/>
            <w:tcBorders>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Arial" w:cs="Arial" w:eastAsia="Arial" w:hAnsi="Arial"/>
                <w:sz w:val="16"/>
                <w:szCs w:val="16"/>
                <w:color w:val="FFFFFF"/>
              </w:rPr>
              <w:t>Security Ownership of Certain Beneficial Owners</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38</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760" w:type="dxa"/>
            <w:vAlign w:val="bottom"/>
            <w:gridSpan w:val="5"/>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38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Arial" w:cs="Arial" w:eastAsia="Arial" w:hAnsi="Arial"/>
                <w:sz w:val="16"/>
                <w:szCs w:val="16"/>
                <w:color w:val="FFFFFF"/>
              </w:rPr>
              <w:t>Certain Relationships and Related Party Transactions</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40</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100" w:type="dxa"/>
            <w:vAlign w:val="bottom"/>
            <w:gridSpan w:val="7"/>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38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FFFFFF"/>
                <w:w w:val="99"/>
              </w:rPr>
              <w:t>Proposal 2</w:t>
            </w:r>
          </w:p>
        </w:tc>
        <w:tc>
          <w:tcPr>
            <w:tcW w:w="4680" w:type="dxa"/>
            <w:vAlign w:val="bottom"/>
            <w:tcBorders>
              <w:bottom w:val="single" w:sz="8" w:color="0000EE"/>
            </w:tcBorders>
            <w:gridSpan w:val="10"/>
          </w:tcPr>
          <w:p>
            <w:pPr>
              <w:ind w:left="40"/>
              <w:spacing w:after="0"/>
              <w:rPr>
                <w:sz w:val="20"/>
                <w:szCs w:val="20"/>
                <w:color w:val="auto"/>
              </w:rPr>
            </w:pPr>
            <w:r>
              <w:rPr>
                <w:rFonts w:ascii="Arial" w:cs="Arial" w:eastAsia="Arial" w:hAnsi="Arial"/>
                <w:sz w:val="16"/>
                <w:szCs w:val="16"/>
                <w:color w:val="FFFFFF"/>
                <w:w w:val="99"/>
              </w:rPr>
              <w:t>— Non-binding Advisory Vote on Executive Officer Compensation</w:t>
            </w:r>
          </w:p>
        </w:tc>
        <w:tc>
          <w:tcPr>
            <w:tcW w:w="2720" w:type="dxa"/>
            <w:vAlign w:val="bottom"/>
            <w:gridSpan w:val="2"/>
          </w:tcPr>
          <w:p>
            <w:pPr>
              <w:spacing w:after="0"/>
              <w:rPr>
                <w:sz w:val="24"/>
                <w:szCs w:val="24"/>
                <w:color w:val="auto"/>
              </w:rPr>
            </w:pPr>
          </w:p>
        </w:tc>
        <w:tc>
          <w:tcPr>
            <w:tcW w:w="420" w:type="dxa"/>
            <w:vAlign w:val="bottom"/>
            <w:tcBorders>
              <w:bottom w:val="single" w:sz="8" w:color="062B48"/>
            </w:tcBorders>
            <w:shd w:val="clear" w:color="auto" w:fill="062B48"/>
          </w:tcPr>
          <w:p>
            <w:pPr>
              <w:jc w:val="right"/>
              <w:spacing w:after="0"/>
              <w:rPr>
                <w:sz w:val="20"/>
                <w:szCs w:val="20"/>
                <w:color w:val="auto"/>
              </w:rPr>
            </w:pPr>
            <w:r>
              <w:rPr>
                <w:rFonts w:ascii="Arial" w:cs="Arial" w:eastAsia="Arial" w:hAnsi="Arial"/>
                <w:sz w:val="16"/>
                <w:szCs w:val="16"/>
                <w:color w:val="FFFFFF"/>
              </w:rPr>
              <w:t>41</w:t>
            </w:r>
          </w:p>
        </w:tc>
        <w:tc>
          <w:tcPr>
            <w:tcW w:w="1260" w:type="dxa"/>
            <w:vAlign w:val="bottom"/>
            <w:tcBorders>
              <w:bottom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1380" w:type="dxa"/>
            <w:vAlign w:val="bottom"/>
          </w:tcPr>
          <w:p>
            <w:pPr>
              <w:spacing w:after="0"/>
              <w:rPr>
                <w:sz w:val="24"/>
                <w:szCs w:val="24"/>
                <w:color w:val="auto"/>
              </w:rPr>
            </w:pPr>
          </w:p>
        </w:tc>
        <w:tc>
          <w:tcPr>
            <w:tcW w:w="780" w:type="dxa"/>
            <w:vAlign w:val="bottom"/>
            <w:gridSpan w:val="2"/>
          </w:tcPr>
          <w:p>
            <w:pPr>
              <w:spacing w:after="0"/>
              <w:rPr>
                <w:sz w:val="20"/>
                <w:szCs w:val="20"/>
                <w:color w:val="auto"/>
              </w:rPr>
            </w:pPr>
            <w:r>
              <w:rPr>
                <w:rFonts w:ascii="Arial" w:cs="Arial" w:eastAsia="Arial" w:hAnsi="Arial"/>
                <w:sz w:val="16"/>
                <w:szCs w:val="16"/>
                <w:color w:val="FFFFFF"/>
                <w:w w:val="99"/>
              </w:rPr>
              <w:t>Proposal 3</w:t>
            </w:r>
          </w:p>
        </w:tc>
        <w:tc>
          <w:tcPr>
            <w:tcW w:w="7400" w:type="dxa"/>
            <w:vAlign w:val="bottom"/>
            <w:gridSpan w:val="12"/>
          </w:tcPr>
          <w:p>
            <w:pPr>
              <w:ind w:left="40"/>
              <w:spacing w:after="0"/>
              <w:rPr>
                <w:sz w:val="20"/>
                <w:szCs w:val="20"/>
                <w:color w:val="auto"/>
              </w:rPr>
            </w:pPr>
            <w:r>
              <w:rPr>
                <w:rFonts w:ascii="Arial" w:cs="Arial" w:eastAsia="Arial" w:hAnsi="Arial"/>
                <w:sz w:val="16"/>
                <w:szCs w:val="16"/>
                <w:color w:val="FFFFFF"/>
              </w:rPr>
              <w:t>— Ratification of the Appointment of RSM US LLP as our Independent Registered Public Accounting</w:t>
            </w:r>
          </w:p>
        </w:tc>
        <w:tc>
          <w:tcPr>
            <w:tcW w:w="420" w:type="dxa"/>
            <w:vAlign w:val="bottom"/>
            <w:vMerge w:val="restart"/>
            <w:shd w:val="clear" w:color="auto" w:fill="062B48"/>
          </w:tcPr>
          <w:p>
            <w:pPr>
              <w:jc w:val="right"/>
              <w:spacing w:after="0"/>
              <w:rPr>
                <w:sz w:val="20"/>
                <w:szCs w:val="20"/>
                <w:color w:val="auto"/>
              </w:rPr>
            </w:pPr>
            <w:r>
              <w:rPr>
                <w:rFonts w:ascii="Arial" w:cs="Arial" w:eastAsia="Arial" w:hAnsi="Arial"/>
                <w:sz w:val="16"/>
                <w:szCs w:val="16"/>
                <w:color w:val="FFFFFF"/>
              </w:rPr>
              <w:t>42</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780" w:type="dxa"/>
            <w:vAlign w:val="bottom"/>
            <w:tcBorders>
              <w:top w:val="single" w:sz="8" w:color="0000EE"/>
            </w:tcBorders>
            <w:gridSpan w:val="2"/>
          </w:tcPr>
          <w:p>
            <w:pPr>
              <w:spacing w:after="0" w:line="167" w:lineRule="exact"/>
              <w:rPr>
                <w:sz w:val="20"/>
                <w:szCs w:val="20"/>
                <w:color w:val="auto"/>
              </w:rPr>
            </w:pPr>
            <w:r>
              <w:rPr>
                <w:rFonts w:ascii="Arial" w:cs="Arial" w:eastAsia="Arial" w:hAnsi="Arial"/>
                <w:sz w:val="16"/>
                <w:szCs w:val="16"/>
                <w:color w:val="FFFFFF"/>
              </w:rPr>
              <w:t>Firm</w:t>
            </w:r>
          </w:p>
        </w:tc>
        <w:tc>
          <w:tcPr>
            <w:tcW w:w="3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360" w:type="dxa"/>
            <w:vAlign w:val="bottom"/>
            <w:tcBorders>
              <w:top w:val="single" w:sz="8" w:color="0000EE"/>
            </w:tcBorders>
          </w:tcPr>
          <w:p>
            <w:pPr>
              <w:spacing w:after="0"/>
              <w:rPr>
                <w:sz w:val="14"/>
                <w:szCs w:val="14"/>
                <w:color w:val="auto"/>
              </w:rPr>
            </w:pPr>
          </w:p>
        </w:tc>
        <w:tc>
          <w:tcPr>
            <w:tcW w:w="6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60" w:type="dxa"/>
            <w:vAlign w:val="bottom"/>
            <w:tcBorders>
              <w:top w:val="single" w:sz="8" w:color="0000EE"/>
            </w:tcBorders>
          </w:tcPr>
          <w:p>
            <w:pPr>
              <w:spacing w:after="0"/>
              <w:rPr>
                <w:sz w:val="14"/>
                <w:szCs w:val="14"/>
                <w:color w:val="auto"/>
              </w:rPr>
            </w:pPr>
          </w:p>
        </w:tc>
        <w:tc>
          <w:tcPr>
            <w:tcW w:w="1660" w:type="dxa"/>
            <w:vAlign w:val="bottom"/>
            <w:tcBorders>
              <w:top w:val="single" w:sz="8" w:color="0000EE"/>
            </w:tcBorders>
          </w:tcPr>
          <w:p>
            <w:pPr>
              <w:spacing w:after="0"/>
              <w:rPr>
                <w:sz w:val="14"/>
                <w:szCs w:val="14"/>
                <w:color w:val="auto"/>
              </w:rPr>
            </w:pPr>
          </w:p>
        </w:tc>
        <w:tc>
          <w:tcPr>
            <w:tcW w:w="2480" w:type="dxa"/>
            <w:vAlign w:val="bottom"/>
            <w:tcBorders>
              <w:top w:val="single" w:sz="8" w:color="0000EE"/>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top w:val="single" w:sz="8" w:color="062B48"/>
            </w:tcBorders>
            <w:vMerge w:val="continue"/>
            <w:shd w:val="clear" w:color="auto" w:fill="062B48"/>
          </w:tcPr>
          <w:p>
            <w:pPr>
              <w:spacing w:after="0"/>
              <w:rPr>
                <w:sz w:val="14"/>
                <w:szCs w:val="14"/>
                <w:color w:val="auto"/>
              </w:rPr>
            </w:pPr>
          </w:p>
        </w:tc>
        <w:tc>
          <w:tcPr>
            <w:tcW w:w="1260" w:type="dxa"/>
            <w:vAlign w:val="bottom"/>
            <w:tcBorders>
              <w:top w:val="single" w:sz="8" w:color="062B48"/>
            </w:tcBorders>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420" w:type="dxa"/>
            <w:vAlign w:val="bottom"/>
            <w:shd w:val="clear" w:color="auto" w:fill="062B48"/>
          </w:tcPr>
          <w:p>
            <w:pPr>
              <w:spacing w:after="0" w:line="20" w:lineRule="exact"/>
              <w:rPr>
                <w:sz w:val="1"/>
                <w:szCs w:val="1"/>
                <w:color w:val="auto"/>
              </w:rPr>
            </w:pPr>
          </w:p>
        </w:tc>
        <w:tc>
          <w:tcPr>
            <w:tcW w:w="126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0"/>
        </w:trPr>
        <w:tc>
          <w:tcPr>
            <w:tcW w:w="1380" w:type="dxa"/>
            <w:vAlign w:val="bottom"/>
          </w:tcPr>
          <w:p>
            <w:pPr>
              <w:spacing w:after="0"/>
              <w:rPr>
                <w:sz w:val="24"/>
                <w:szCs w:val="24"/>
                <w:color w:val="auto"/>
              </w:rPr>
            </w:pPr>
          </w:p>
        </w:tc>
        <w:tc>
          <w:tcPr>
            <w:tcW w:w="8180" w:type="dxa"/>
            <w:vAlign w:val="bottom"/>
            <w:gridSpan w:val="14"/>
          </w:tcPr>
          <w:p>
            <w:pPr>
              <w:spacing w:after="0"/>
              <w:rPr>
                <w:sz w:val="20"/>
                <w:szCs w:val="20"/>
                <w:color w:val="auto"/>
              </w:rPr>
            </w:pPr>
            <w:r>
              <w:rPr>
                <w:rFonts w:ascii="Arial" w:cs="Arial" w:eastAsia="Arial" w:hAnsi="Arial"/>
                <w:sz w:val="16"/>
                <w:szCs w:val="16"/>
                <w:color w:val="FFFFFF"/>
              </w:rPr>
              <w:t>Audit Committee Report</w:t>
            </w:r>
          </w:p>
        </w:tc>
        <w:tc>
          <w:tcPr>
            <w:tcW w:w="420" w:type="dxa"/>
            <w:vAlign w:val="bottom"/>
            <w:shd w:val="clear" w:color="auto" w:fill="062B48"/>
          </w:tcPr>
          <w:p>
            <w:pPr>
              <w:jc w:val="right"/>
              <w:spacing w:after="0"/>
              <w:rPr>
                <w:sz w:val="20"/>
                <w:szCs w:val="20"/>
                <w:color w:val="auto"/>
              </w:rPr>
            </w:pPr>
            <w:r>
              <w:rPr>
                <w:rFonts w:ascii="Arial" w:cs="Arial" w:eastAsia="Arial" w:hAnsi="Arial"/>
                <w:sz w:val="16"/>
                <w:szCs w:val="16"/>
                <w:color w:val="FFFFFF"/>
              </w:rPr>
              <w:t>44</w:t>
            </w:r>
          </w:p>
        </w:tc>
        <w:tc>
          <w:tcPr>
            <w:tcW w:w="126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38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Borders>
              <w:top w:val="single" w:sz="8" w:color="062B48"/>
            </w:tcBorders>
            <w:shd w:val="clear" w:color="auto" w:fill="062B48"/>
          </w:tcPr>
          <w:p>
            <w:pPr>
              <w:spacing w:after="0"/>
              <w:rPr>
                <w:sz w:val="24"/>
                <w:szCs w:val="24"/>
                <w:color w:val="auto"/>
              </w:rPr>
            </w:pPr>
          </w:p>
        </w:tc>
        <w:tc>
          <w:tcPr>
            <w:tcW w:w="1260" w:type="dxa"/>
            <w:vAlign w:val="bottom"/>
            <w:tcBorders>
              <w:top w:val="single" w:sz="8" w:color="062B48"/>
            </w:tcBorders>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1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ind w:left="540"/>
        <w:spacing w:after="0"/>
        <w:rPr>
          <w:sz w:val="20"/>
          <w:szCs w:val="20"/>
          <w:color w:val="auto"/>
        </w:rPr>
      </w:pPr>
      <w:r>
        <w:rPr>
          <w:rFonts w:ascii="Arial" w:cs="Arial" w:eastAsia="Arial" w:hAnsi="Arial"/>
          <w:sz w:val="14"/>
          <w:szCs w:val="14"/>
          <w:b w:val="1"/>
          <w:bCs w:val="1"/>
          <w:color w:val="1AB2D2"/>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982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982980"/>
                    </a:xfrm>
                    <a:prstGeom prst="rect">
                      <a:avLst/>
                    </a:prstGeom>
                    <a:noFill/>
                  </pic:spPr>
                </pic:pic>
              </a:graphicData>
            </a:graphic>
          </wp:anchor>
        </w:drawing>
        <w:t>ALERUS FINANCIAL CORPORATION</w:t>
      </w:r>
    </w:p>
    <w:p>
      <w:pPr>
        <w:spacing w:after="0" w:line="13" w:lineRule="exact"/>
        <w:rPr>
          <w:sz w:val="20"/>
          <w:szCs w:val="20"/>
          <w:color w:val="auto"/>
        </w:rPr>
      </w:pPr>
    </w:p>
    <w:p>
      <w:pPr>
        <w:ind w:left="540"/>
        <w:spacing w:after="0"/>
        <w:rPr>
          <w:sz w:val="20"/>
          <w:szCs w:val="20"/>
          <w:color w:val="auto"/>
        </w:rPr>
      </w:pPr>
      <w:r>
        <w:rPr>
          <w:rFonts w:ascii="Arial" w:cs="Arial" w:eastAsia="Arial" w:hAnsi="Arial"/>
          <w:sz w:val="14"/>
          <w:szCs w:val="14"/>
          <w:b w:val="1"/>
          <w:bCs w:val="1"/>
          <w:color w:val="1AB2D2"/>
        </w:rPr>
        <w:t>PROXY STATEMENT</w:t>
      </w:r>
    </w:p>
    <w:p>
      <w:pPr>
        <w:spacing w:after="0" w:line="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32"/>
          <w:szCs w:val="32"/>
          <w:color w:val="FFFFFF"/>
        </w:rPr>
        <w:t>Annual Meeting of Stockholders</w:t>
      </w:r>
    </w:p>
    <w:p>
      <w:pPr>
        <w:spacing w:after="0" w:line="35" w:lineRule="exact"/>
        <w:rPr>
          <w:sz w:val="20"/>
          <w:szCs w:val="20"/>
          <w:color w:val="auto"/>
        </w:rPr>
      </w:pPr>
    </w:p>
    <w:p>
      <w:pPr>
        <w:ind w:left="540"/>
        <w:spacing w:after="0"/>
        <w:rPr>
          <w:sz w:val="20"/>
          <w:szCs w:val="20"/>
          <w:color w:val="auto"/>
        </w:rPr>
      </w:pPr>
      <w:r>
        <w:rPr>
          <w:rFonts w:ascii="Arial" w:cs="Arial" w:eastAsia="Arial" w:hAnsi="Arial"/>
          <w:sz w:val="16"/>
          <w:szCs w:val="16"/>
          <w:color w:val="FFFFFF"/>
        </w:rPr>
        <w:t>May 14,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This proxy statement (this “</w:t>
      </w:r>
      <w:r>
        <w:rPr>
          <w:rFonts w:ascii="Arial" w:cs="Arial" w:eastAsia="Arial" w:hAnsi="Arial"/>
          <w:sz w:val="16"/>
          <w:szCs w:val="16"/>
          <w:b w:val="1"/>
          <w:bCs w:val="1"/>
          <w:color w:val="auto"/>
        </w:rPr>
        <w:t>Proxy Statement</w:t>
      </w:r>
      <w:r>
        <w:rPr>
          <w:rFonts w:ascii="Arial" w:cs="Arial" w:eastAsia="Arial" w:hAnsi="Arial"/>
          <w:sz w:val="16"/>
          <w:szCs w:val="16"/>
          <w:color w:val="auto"/>
        </w:rPr>
        <w:t>”) is furnished in connection with the solicitation by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Alerus Financial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of proxies to be voted at the annual meeting of stockholders (the “</w:t>
      </w:r>
      <w:r>
        <w:rPr>
          <w:rFonts w:ascii="Arial" w:cs="Arial" w:eastAsia="Arial" w:hAnsi="Arial"/>
          <w:sz w:val="16"/>
          <w:szCs w:val="16"/>
          <w:b w:val="1"/>
          <w:bCs w:val="1"/>
          <w:color w:val="auto"/>
        </w:rPr>
        <w:t>Annual Meeting</w:t>
      </w:r>
      <w:r>
        <w:rPr>
          <w:rFonts w:ascii="Arial" w:cs="Arial" w:eastAsia="Arial" w:hAnsi="Arial"/>
          <w:sz w:val="16"/>
          <w:szCs w:val="16"/>
          <w:color w:val="auto"/>
        </w:rPr>
        <w:t>”) to be held through virtual means only via live webcast on Thursday, May 14, 2026, at 1:30 p.m., Central Time, and at any adjournments or postponements of the Annual Meeting. A complete list of the stockholders entitled to vote at the Annual Meeting will be available for inspection upon request of any stockholder, for a purpose germane to the Annual Meeting, at the Company’s principal executive offices, located at 401 Demers Avenue, Grand Forks, North Dakota 58201, for the ten days prior to the meeting, during ordinary business hours, and also during the Annual Meeting. We are holding the Annual Meeting virtually only. As always, we encourage you to vote your shares prior to the Annual Meeting.</w:t>
      </w:r>
    </w:p>
    <w:p>
      <w:pPr>
        <w:spacing w:after="0" w:line="185"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Company is a Delaware corporation headquartered in Grand Forks, North Dakota. The Company is a registered financial holding company, which owns all the issued and outstanding capital stock of Alerus Financial, National Association, a national banking association with its main office also located in Grand Forks, North Dakota (the “</w:t>
      </w:r>
      <w:r>
        <w:rPr>
          <w:rFonts w:ascii="Arial" w:cs="Arial" w:eastAsia="Arial" w:hAnsi="Arial"/>
          <w:sz w:val="16"/>
          <w:szCs w:val="16"/>
          <w:b w:val="1"/>
          <w:bCs w:val="1"/>
          <w:color w:val="auto"/>
        </w:rPr>
        <w:t>Bank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127635</wp:posOffset>
            </wp:positionV>
            <wp:extent cx="17792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1AB2D2"/>
        </w:rPr>
        <w:t>IMPORTANT NOTICE REGARDING THE AVAILABILITY OF PROXY MATERIALS FOR THE ANNUAL MEETING TO BE HELD ON MAY 14, 2026:</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We are using the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rule that allows us to furnish our Proxy Statement, Annual Report on Form 10-K for the year ended December 31, 2025, and proxy card to stockholders over the internet. This means our stockholders will receive only a notice containing instructions on how to access proxy materials over the internet. If you receive the notice but would still like to request paper copies of the proxy materials, please follow the instructions on the notice. This Proxy Statement and the accompanying proxy card are first being made available to stockholders on or about April 1, 2026.</w:t>
      </w:r>
    </w:p>
    <w:p>
      <w:pPr>
        <w:spacing w:after="0" w:line="143" w:lineRule="exact"/>
        <w:rPr>
          <w:sz w:val="20"/>
          <w:szCs w:val="20"/>
          <w:color w:val="auto"/>
        </w:rPr>
      </w:pPr>
    </w:p>
    <w:p>
      <w:pPr>
        <w:ind w:right="940"/>
        <w:spacing w:after="0" w:line="217" w:lineRule="exact"/>
        <w:rPr>
          <w:sz w:val="20"/>
          <w:szCs w:val="20"/>
          <w:color w:val="auto"/>
        </w:rPr>
      </w:pPr>
      <w:r>
        <w:rPr>
          <w:rFonts w:ascii="Arial" w:cs="Arial" w:eastAsia="Arial" w:hAnsi="Arial"/>
          <w:sz w:val="16"/>
          <w:szCs w:val="16"/>
          <w:color w:val="auto"/>
        </w:rPr>
        <w:t>Our Proxy Statement and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2025 are available online at investors.alerus.com and at http://www.astproxyportal.com/ast/19579/.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146685</wp:posOffset>
            </wp:positionV>
            <wp:extent cx="17792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792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536575</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32"/>
          <w:szCs w:val="32"/>
          <w:color w:val="062B48"/>
        </w:rPr>
        <w:t>Questions and Answers</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information regarding the Annual Meeting and voting process, presented in a question and answer format.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Why did I receive a notice regarding the internet availability of proxy materials instead of paper copies of the proxy materials?</w:t>
      </w:r>
    </w:p>
    <w:p>
      <w:pPr>
        <w:spacing w:after="0" w:line="1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 xml:space="preserve">We are using the SEC’s notice and access rule that allows us to furnish our proxy materials over the internet to our stockholders instead of mailing paper copies of those materials to each stockholder. As a result, beginning on or about April 1, 2026, we sent our stockholders by mail a notice containing instructions on how to access our proxy materials over the internet and vote. </w:t>
      </w:r>
      <w:r>
        <w:rPr>
          <w:rFonts w:ascii="Arial" w:cs="Arial" w:eastAsia="Arial" w:hAnsi="Arial"/>
          <w:sz w:val="16"/>
          <w:szCs w:val="16"/>
          <w:b w:val="1"/>
          <w:bCs w:val="1"/>
          <w:color w:val="auto"/>
        </w:rPr>
        <w:t>This notice is not a proxy card and cannot be used to vote your shares.</w:t>
      </w:r>
      <w:r>
        <w:rPr>
          <w:rFonts w:ascii="Arial" w:cs="Arial" w:eastAsia="Arial" w:hAnsi="Arial"/>
          <w:sz w:val="16"/>
          <w:szCs w:val="16"/>
          <w:color w:val="auto"/>
        </w:rPr>
        <w:t xml:space="preserve"> If you received a notice this year, you will not receive paper copies of the proxy materials unless you request paper copies of the proxy materials by following the instructions on the notice.</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Why are we holding a virtual meeting instead of a physical meeting?</w:t>
      </w:r>
    </w:p>
    <w:p>
      <w:pPr>
        <w:spacing w:after="0" w:line="19"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Board determined that it would be in the best interests of our stockholders for the Company to hold the Annual Meeting virtually only rather than in person. We believe that hosting a virtual meeting will enable more of our stockholders to attend the meeting because it will allow our stockholders to participate from any location with internet access. We will also reduce the cost of printing and mailing our proxy materials.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do I virtually attend the Annual Meeting?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will be a completely virtual meeting of stockholders, which will be conducted exclusively by live webcast. You are entitled to participate in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 Annual Meeting only if you were a stockholder of record as of the close of business on the record date for the Annual Meeting, March 16, 2026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Record Date</w:t>
      </w:r>
      <w:r>
        <w:rPr>
          <w:rFonts w:ascii="Arial" w:cs="Arial" w:eastAsia="Arial" w:hAnsi="Arial"/>
          <w:sz w:val="16"/>
          <w:szCs w:val="16"/>
          <w:color w:val="auto"/>
        </w:rPr>
        <w:t>”), or if you hold a valid proxy for the Annual Meeting. There is no physical location for the Annual Meeting. You will be able to attend the Annual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Meeting online, vote and submit your questions during the meeting by visiting https://edge.media-server.com/mmc/p/52pjzmgx and entering (i) the passcode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alerus2026; and (ii) the unique 11-digit control number found on the proxy card distributed to each stockholder as of the close of business on the Record Date.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If you are not a stockholder of record but hold shares as a beneficial owner in street name, you should follow the instructions for attending the Annual Meeting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provided by your broker or other fiduciary. If you do not comply with the procedures outlined above, you will not be admitted to the virtual Annual Meeting.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Online check-in will start shortly before the meeting, which will begin promptly at 1:30 p.m., Central Time, on May 14, 2026. The virtual meeting platform is fully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supported across major browsers (Microsoft Edge, Firefox, Chrome, and Safari) and devices (desktops, laptops, tablets, and cell phones) running the most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updated version of applicable software and plugins. Participants should ensure that they have a strong internet connection wherever they intend to participate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in the meeting. Participants should also give themselves plenty of time to log-in and ensure that they can hear streaming audio prior to the start of the meeting.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 technical support number will be made available on the webpage during check-in for stockholders who experience technical difficulties accessing the virtual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Annual Meeting. A complete list of the stockholders entitled to vote at the Annual Meeting will be made available for inspection by clicking the designated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stockholder list link that will appear on your screen. The stockholder list may be accessed at any time during the meeting or any adjournment.</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do I ask questions at the Annual Meeting?</w:t>
      </w:r>
    </w:p>
    <w:p>
      <w:pPr>
        <w:spacing w:after="0" w:line="1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order to submit a question at the Annual Meeting, you will need to log into https://edge.media-server.com/mmc/p/52pjzmgx and enter (i) the passcode: alerus2026; and (ii) the unique 11-digit control number found on the proxy card distributed to each record stockholder. If you would like to ask a question during the meeting, you can type your question in the “ask a question” text box that will appear on your screen and click “submit.” We encourage you to submit any questions as soon as possible to ensure your question is received.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Why did I receive access to this Proxy Statement and proxy card?</w:t>
      </w:r>
    </w:p>
    <w:p>
      <w:pPr>
        <w:spacing w:after="0" w:line="19"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have made the proxy materials available to you over the internet because, as of the close of business on the Record Date, you owned shares of the Company’s common stock, $1.00 par value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This Proxy Statement describes the matters that will be presented for consideration by the stockholders at the Annual Meeting. It also gives you information concerning those matters to assist you in making an informed decision.</w:t>
      </w:r>
    </w:p>
    <w:p>
      <w:pPr>
        <w:spacing w:after="0" w:line="183"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Board is asking you to give us your proxy. Giving us your proxy means that you authorize another person or persons to vote your shares of Common Stock at the Annual Meeting in the manner you direct. If you vote using one of the methods described herein, you appoint the proxy holder as your representative at the meeting, who will vote your shares as you instruct, thereby assuring that your shares will be voted whether or not you attend the meeting. Even if you plan to attend the meeting, you should complete, sign and return your proxy card, or vote by internet or telephone, in advance of the meeting, just in case your plans change. If you have signed and returned the proxy card, or voted by internet or telephone, and an issue comes up for a vote at the meeting that is not identified in this Proxy Statement or on the proxy card, the proxy holder will vote your shares, pursuant to your proxy, in accordance with his or her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593090" cy="118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4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340"/>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62B48"/>
        </w:rPr>
        <w:t>What matters will be voted on at the Annual Meeting?</w:t>
      </w:r>
    </w:p>
    <w:p>
      <w:pPr>
        <w:spacing w:after="0" w:line="5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You are being asked to vote on: (1) the election of the nine director nominees named in this Proxy Statement to serve on the Board; (2) the approval, on a non-binding advisory basis, of the compensation paid to our named executive officers (the “</w:t>
      </w:r>
      <w:r>
        <w:rPr>
          <w:rFonts w:ascii="Arial" w:cs="Arial" w:eastAsia="Arial" w:hAnsi="Arial"/>
          <w:sz w:val="16"/>
          <w:szCs w:val="16"/>
          <w:b w:val="1"/>
          <w:bCs w:val="1"/>
          <w:color w:val="auto"/>
        </w:rPr>
        <w:t>say-on-pay proposal</w:t>
      </w:r>
      <w:r>
        <w:rPr>
          <w:rFonts w:ascii="Arial" w:cs="Arial" w:eastAsia="Arial" w:hAnsi="Arial"/>
          <w:sz w:val="16"/>
          <w:szCs w:val="16"/>
          <w:color w:val="auto"/>
        </w:rPr>
        <w:t>”); and (3) the ratification of the appointment of RSM US LLP (“</w:t>
      </w:r>
      <w:r>
        <w:rPr>
          <w:rFonts w:ascii="Arial" w:cs="Arial" w:eastAsia="Arial" w:hAnsi="Arial"/>
          <w:sz w:val="16"/>
          <w:szCs w:val="16"/>
          <w:b w:val="1"/>
          <w:bCs w:val="1"/>
          <w:color w:val="auto"/>
        </w:rPr>
        <w:t>RSM</w:t>
      </w:r>
      <w:r>
        <w:rPr>
          <w:rFonts w:ascii="Arial" w:cs="Arial" w:eastAsia="Arial" w:hAnsi="Arial"/>
          <w:sz w:val="16"/>
          <w:szCs w:val="16"/>
          <w:color w:val="auto"/>
        </w:rPr>
        <w:t>”) as our independent registered public accounting firm for the 2026 fiscal year.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are the Board</w:t>
      </w:r>
      <w:r>
        <w:rPr>
          <w:rFonts w:ascii="Arial" w:cs="Arial" w:eastAsia="Arial" w:hAnsi="Arial"/>
          <w:sz w:val="16"/>
          <w:szCs w:val="16"/>
          <w:color w:val="062B48"/>
        </w:rPr>
        <w:t>’</w:t>
      </w:r>
      <w:r>
        <w:rPr>
          <w:rFonts w:ascii="Arial" w:cs="Arial" w:eastAsia="Arial" w:hAnsi="Arial"/>
          <w:sz w:val="16"/>
          <w:szCs w:val="16"/>
          <w:b w:val="1"/>
          <w:bCs w:val="1"/>
          <w:color w:val="062B48"/>
        </w:rPr>
        <w:t>s voting recommendations?</w:t>
      </w:r>
    </w:p>
    <w:p>
      <w:pPr>
        <w:spacing w:after="0" w:line="56" w:lineRule="exact"/>
        <w:rPr>
          <w:sz w:val="20"/>
          <w:szCs w:val="20"/>
          <w:color w:val="auto"/>
        </w:rPr>
      </w:pPr>
    </w:p>
    <w:p>
      <w:pPr>
        <w:ind w:right="200"/>
        <w:spacing w:after="0" w:line="313" w:lineRule="auto"/>
        <w:rPr>
          <w:sz w:val="20"/>
          <w:szCs w:val="20"/>
          <w:color w:val="auto"/>
        </w:rPr>
      </w:pPr>
      <w:r>
        <w:rPr>
          <w:rFonts w:ascii="Arial" w:cs="Arial" w:eastAsia="Arial" w:hAnsi="Arial"/>
          <w:sz w:val="15"/>
          <w:szCs w:val="15"/>
          <w:color w:val="auto"/>
        </w:rPr>
        <w:t>The Board recommends that you vote your shares “FOR” the election of each of the nine director nominees named in this Proxy Statement, “FOR” the advisory, non-binding “say-on-pay” proposal, and “FOR” the ratification of RSM as our independent registered public accounting firm for the 2026 fiscal year.</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do I vote?</w:t>
      </w:r>
    </w:p>
    <w:p>
      <w:pPr>
        <w:spacing w:after="0" w:line="56"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b w:val="1"/>
          <w:bCs w:val="1"/>
          <w:i w:val="1"/>
          <w:iCs w:val="1"/>
          <w:color w:val="auto"/>
        </w:rPr>
        <w:t>Stockholders of Record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stockholder of record (that is, if your shares are registered in your own name with our transfer agent), you may vote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the proxy card. Voting instructions are provided on the proxy card contained in the proxy materials.</w:t>
      </w:r>
    </w:p>
    <w:p>
      <w:pPr>
        <w:spacing w:after="0" w:line="16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b w:val="1"/>
          <w:bCs w:val="1"/>
          <w:i w:val="1"/>
          <w:iCs w:val="1"/>
          <w:color w:val="auto"/>
        </w:rPr>
        <w:t>Beneficial Owners of Shares Held in Street Name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beneficial owner of shares held in street name (that is, if you hold your shares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bank, broker or other holder of record), you must provide your voting instructions in accordance with the voting instruction form provided by your bank, broker or other holder of record, who will then vote your shares on your behalf. The availability of telephone or internet voting will depend upon your bank’s, broker’s, or other holder of record’s voting process.</w:t>
      </w:r>
    </w:p>
    <w:p>
      <w:pPr>
        <w:spacing w:after="0" w:line="179"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Although you may vote by mail, we ask that you vote instead by internet or telephone, which saves us postage and processing costs. You may vote by telephone by calling the toll-free number specified on your proxy card or vote by internet by accessing the website specified on your proxy card and by following the preprinted instructions on the proxy card. Votes submitted by telephone or internet must be received by 11:59 p.m., Eastern Time, on Wednesday, May 13, 2026. The giving of a proxy by either of these methods will not affect your right to vote in person if you decide to attend the meeting.</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You may also vote online during your attendance at the virtual Annual Meeting using the unique 11-digit control number found on the proxy card.</w:t>
      </w:r>
    </w:p>
    <w:p>
      <w:pPr>
        <w:spacing w:after="0" w:line="216"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b w:val="1"/>
          <w:bCs w:val="1"/>
          <w:color w:val="auto"/>
        </w:rPr>
        <w:t>Please note that if your shares are held in the name of a broker or other fiduciary (i.e., in street name), you will need to follow the instructions provided by your broker or other fiduciary to vote your shares electronically during the virtual Annual Meeting</w:t>
      </w:r>
      <w:r>
        <w:rPr>
          <w:rFonts w:ascii="Arial" w:cs="Arial" w:eastAsia="Arial" w:hAnsi="Arial"/>
          <w:sz w:val="16"/>
          <w:szCs w:val="16"/>
          <w:color w:val="auto"/>
        </w:rPr>
        <w:t>. Even if you plan to attend the virtual</w:t>
      </w:r>
      <w:r>
        <w:rPr>
          <w:rFonts w:ascii="Arial" w:cs="Arial" w:eastAsia="Arial" w:hAnsi="Arial"/>
          <w:sz w:val="16"/>
          <w:szCs w:val="16"/>
          <w:b w:val="1"/>
          <w:bCs w:val="1"/>
          <w:color w:val="auto"/>
        </w:rPr>
        <w:t xml:space="preserve"> </w:t>
      </w:r>
      <w:r>
        <w:rPr>
          <w:rFonts w:ascii="Arial" w:cs="Arial" w:eastAsia="Arial" w:hAnsi="Arial"/>
          <w:sz w:val="16"/>
          <w:szCs w:val="16"/>
          <w:color w:val="auto"/>
        </w:rPr>
        <w:t>Annual Meeting, you should complete, sign and return your proxy card, or vote by telephone or internet, in advance of the Annual Meeting just in case your plans change.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happens if I do not give specific voting instructions?</w:t>
      </w:r>
    </w:p>
    <w:p>
      <w:pPr>
        <w:spacing w:after="0" w:line="56"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b w:val="1"/>
          <w:bCs w:val="1"/>
          <w:i w:val="1"/>
          <w:iCs w:val="1"/>
          <w:color w:val="auto"/>
        </w:rPr>
        <w:t>Stockholders of Record</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stockholder of record and you: (i) indicate when voting on the internet or by telephone that you wish to vote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recommended by the Board; or (ii) sign and return a proxy card without giving specific voting instructions, then the persons named as proxy holders will vote your shares in the manner recommended by the Board on all matters presented in this Proxy Statement and as the proxy holders may determine in their judgment with respect to any other matters properly presented for a vote at the Annual Meeting.</w:t>
      </w:r>
    </w:p>
    <w:p>
      <w:pPr>
        <w:spacing w:after="0" w:line="179" w:lineRule="exact"/>
        <w:rPr>
          <w:sz w:val="20"/>
          <w:szCs w:val="20"/>
          <w:color w:val="auto"/>
        </w:rPr>
      </w:pPr>
    </w:p>
    <w:p>
      <w:pPr>
        <w:ind w:right="100"/>
        <w:spacing w:after="0" w:line="196" w:lineRule="exact"/>
        <w:rPr>
          <w:sz w:val="20"/>
          <w:szCs w:val="20"/>
          <w:color w:val="auto"/>
        </w:rPr>
      </w:pPr>
      <w:r>
        <w:rPr>
          <w:rFonts w:ascii="Arial" w:cs="Arial" w:eastAsia="Arial" w:hAnsi="Arial"/>
          <w:sz w:val="16"/>
          <w:szCs w:val="16"/>
          <w:b w:val="1"/>
          <w:bCs w:val="1"/>
          <w:i w:val="1"/>
          <w:iCs w:val="1"/>
          <w:color w:val="auto"/>
        </w:rPr>
        <w:t>Beneficial Owners of Shares Held in Street Name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you are a beneficial owner of shares held in street name and do not provide the bank, broker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of record that holds your shares with specific voting instructions, then, under applicable rules, the bank, broker or other holder of record that holds your shares may generally vote on “routine” matters but cannot vote on “non-routine” matters. If the bank, broker or other holder of record that holds your shares does not receive instructions from you on how to vote your shares on a non-routine matter, that bank, broker or other holder of record will inform the inspector of election that it does not have the authority to vote on this matter with respect to your shares. This is generally referred to as a “broker non</w:t>
      </w:r>
      <w:r>
        <w:rPr>
          <w:rFonts w:ascii="MS PGothic" w:cs="MS PGothic" w:eastAsia="MS PGothic" w:hAnsi="MS PGothic"/>
          <w:sz w:val="16"/>
          <w:szCs w:val="16"/>
          <w:color w:val="auto"/>
        </w:rPr>
        <w:t>‑</w:t>
      </w:r>
      <w:r>
        <w:rPr>
          <w:rFonts w:ascii="Arial" w:cs="Arial" w:eastAsia="Arial" w:hAnsi="Arial"/>
          <w:sz w:val="16"/>
          <w:szCs w:val="16"/>
          <w:color w:val="auto"/>
        </w:rPr>
        <w:t>vote.”</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At the meeting, the election of directors and the say-on-pay proposal are considered non-routine matters, while the ratification of the appointment of RSM as our independent registered public accounting firm is considered a routine matter. This means that, if you hold your shares in street name and do not instruct the bank, broker or other holder of record that holds your shares with specific voting instructions, then the bank broker or other holder of record that holds your shares will not have the authority to vote on the election of directors or the say-on-pay proposal, but will have the authority to vote on the ratification of the appointment of RSM as our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593090" cy="1187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40" w:type="dxa"/>
            <w:vAlign w:val="bottom"/>
          </w:tcPr>
          <w:p>
            <w:pPr>
              <w:jc w:val="right"/>
              <w:spacing w:after="0"/>
              <w:rPr>
                <w:sz w:val="20"/>
                <w:szCs w:val="20"/>
                <w:color w:val="auto"/>
              </w:rPr>
            </w:pPr>
            <w:r>
              <w:rPr>
                <w:rFonts w:ascii="Arial" w:cs="Arial" w:eastAsia="Arial" w:hAnsi="Arial"/>
                <w:sz w:val="12"/>
                <w:szCs w:val="12"/>
                <w:color w:val="auto"/>
              </w:rPr>
              <w:t>4</w:t>
            </w:r>
          </w:p>
        </w:tc>
      </w:tr>
      <w:tr>
        <w:trPr>
          <w:trHeight w:val="340"/>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62B48"/>
        </w:rPr>
        <w:t>What should I do if some or all of my shares are held by the Company</w:t>
      </w:r>
      <w:r>
        <w:rPr>
          <w:rFonts w:ascii="Arial" w:cs="Arial" w:eastAsia="Arial" w:hAnsi="Arial"/>
          <w:sz w:val="16"/>
          <w:szCs w:val="16"/>
          <w:color w:val="062B48"/>
        </w:rPr>
        <w:t>’</w:t>
      </w:r>
      <w:r>
        <w:rPr>
          <w:rFonts w:ascii="Arial" w:cs="Arial" w:eastAsia="Arial" w:hAnsi="Arial"/>
          <w:sz w:val="16"/>
          <w:szCs w:val="16"/>
          <w:b w:val="1"/>
          <w:bCs w:val="1"/>
          <w:color w:val="062B48"/>
        </w:rPr>
        <w:t>s Employee Stock Ownership Plan?</w:t>
      </w:r>
    </w:p>
    <w:p>
      <w:pPr>
        <w:spacing w:after="0" w:line="5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If you hold shares of Common Stock as a participant in the Alerus Financial Corporation Employee Stock Ownership Plan (the “</w:t>
      </w:r>
      <w:r>
        <w:rPr>
          <w:rFonts w:ascii="Arial" w:cs="Arial" w:eastAsia="Arial" w:hAnsi="Arial"/>
          <w:sz w:val="16"/>
          <w:szCs w:val="16"/>
          <w:b w:val="1"/>
          <w:bCs w:val="1"/>
          <w:color w:val="auto"/>
        </w:rPr>
        <w:t>ESOP</w:t>
      </w:r>
      <w:r>
        <w:rPr>
          <w:rFonts w:ascii="Arial" w:cs="Arial" w:eastAsia="Arial" w:hAnsi="Arial"/>
          <w:sz w:val="16"/>
          <w:szCs w:val="16"/>
          <w:color w:val="auto"/>
        </w:rPr>
        <w:t>”), you will receive separate voting instructions from Alerus’ transfer agent, Equiniti Trust Company, LLC. If you do not vote your shares of Common Stock held as a participant in the ESOP pursuant to these separate voting instructions, the trustee of the ESOP (the “</w:t>
      </w:r>
      <w:r>
        <w:rPr>
          <w:rFonts w:ascii="Arial" w:cs="Arial" w:eastAsia="Arial" w:hAnsi="Arial"/>
          <w:sz w:val="16"/>
          <w:szCs w:val="16"/>
          <w:b w:val="1"/>
          <w:bCs w:val="1"/>
          <w:color w:val="auto"/>
        </w:rPr>
        <w:t>ESOP Trustee</w:t>
      </w:r>
      <w:r>
        <w:rPr>
          <w:rFonts w:ascii="Arial" w:cs="Arial" w:eastAsia="Arial" w:hAnsi="Arial"/>
          <w:sz w:val="16"/>
          <w:szCs w:val="16"/>
          <w:color w:val="auto"/>
        </w:rPr>
        <w:t>”) will vote such shares in a manner that is consistent with and proportionate to the voting instructions received from those ESOP participants and beneficiaries who did provide voting direction to the ESOP Trustee. If you have any questions regarding these procedures, you should contact the ESOP Trustee directly.</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if I change my mind after I return my proxy?</w:t>
      </w:r>
    </w:p>
    <w:p>
      <w:pPr>
        <w:spacing w:after="0" w:line="56"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If you hold your shares in your own name, you may revoke your proxy and change your vote at any time before the polls close at the Annual Meeting. You may do this by:</w:t>
      </w:r>
    </w:p>
    <w:p>
      <w:pPr>
        <w:spacing w:after="0" w:line="161" w:lineRule="exact"/>
        <w:rPr>
          <w:sz w:val="20"/>
          <w:szCs w:val="20"/>
          <w:color w:val="auto"/>
        </w:rPr>
      </w:pPr>
    </w:p>
    <w:p>
      <w:pPr>
        <w:ind w:left="320" w:right="240" w:hanging="313"/>
        <w:spacing w:after="0" w:line="254" w:lineRule="auto"/>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signing another proxy card with a later date and returning that proxy card to Attn: EQ - Automated Scanning Team, 1110 Centre Point Curve, Suite 101, Mendota Heights, Minnesota 55120-4100;</w:t>
      </w:r>
    </w:p>
    <w:p>
      <w:pPr>
        <w:ind w:left="320" w:hanging="313"/>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timely submitting another proxy via telephone or internet; or</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voting in person at the virtual Annual Meeting.</w:t>
      </w:r>
    </w:p>
    <w:p>
      <w:pPr>
        <w:spacing w:after="0" w:line="200"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color w:val="auto"/>
        </w:rPr>
        <w:t>If you hold your shares in the name of your broker or the ESOP, and desire to change your vote, you will need to contact your broker or the ESOP Trustee to do so.</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is the quorum required to hold the Annual Meeting and conduct business?</w:t>
      </w:r>
    </w:p>
    <w:p>
      <w:pPr>
        <w:spacing w:after="0" w:line="56"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holders of shares of stock having a majority of the votes that could be cast by the holders of all outstanding shares of stock entitled to vote at the Annual Meeting as of the close of business on the Record Date must be present in person or by proxy at the Annual Meeting in order to hold the Annual Meeting and conduct business. Virtual attendance at the Annual Meeting constitutes presence “in person” for purposes of determining a quorum at the Annual Meeting. Shares are counted as present at the meeting if the stockholder either:</w:t>
      </w:r>
    </w:p>
    <w:p>
      <w:pPr>
        <w:spacing w:after="0" w:line="179"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is present and votes in person at the meeting; or</w:t>
      </w:r>
    </w:p>
    <w:p>
      <w:pPr>
        <w:spacing w:after="0" w:line="18" w:lineRule="exact"/>
        <w:rPr>
          <w:rFonts w:ascii="Arial" w:cs="Arial" w:eastAsia="Arial" w:hAnsi="Arial"/>
          <w:sz w:val="16"/>
          <w:szCs w:val="16"/>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has properly submitted a signed proxy card or other proxy, including voting by telephone or internet.</w:t>
      </w:r>
    </w:p>
    <w:p>
      <w:pPr>
        <w:spacing w:after="0" w:line="20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As of the close of business on the Record Date there were 25,560,231 shares of Common Stock issued and outstanding, which is the only class of voting stock of the Company outstanding. Therefore, at least 12,780,116 shares need to be represented in order to constitute a quorum. Broker non-votes will count for purposes of determining whether or not a quorum is present since a routine matter (the ratification of the appointment of RSM as our independent registered public accounting firm) is on the proxy ballot. Similarly, abstentions will be considered in determining the presence of a quorum. Only the holders of record of Common Stock as of the close of business on the Record Date are entitled to receive notice of the Annual Meeting and to vote on such matters as may come before the Annual Meeting. Each share of Common Stock is entitled to one vote per share.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happens if a director nominee is unable to stand for election?</w:t>
      </w:r>
    </w:p>
    <w:p>
      <w:pPr>
        <w:spacing w:after="0" w:line="56"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The Board may, by resolution, provide for a lesser number of directors or designate a substitute nominee. In the latter case, shares represented by proxies may be voted for a substitute nominee. You cannot vote for more than nine director nominees. The Board has no reason to believe that any nominee will be unable to stand for election.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How many votes may I cast?</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You are entitled to cast one vote for each share of Common Stock you owned as of the close of business on the Record Date. The proxy card included with this Proxy Statement indicates the number of shares owned by an account attributable to you at such time. Stockholders do not have cumulative voting rights with respect to the election of directors.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What options do I have in voting on each of the proposals?</w:t>
      </w:r>
    </w:p>
    <w:p>
      <w:pPr>
        <w:spacing w:after="0" w:line="56"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 the election of directors, you may vote “FOR” or “WITHHOLD AUTHORITY TO VOTE FOR” each nominee. There is no cumulative voting for the election of directors.</w:t>
      </w:r>
    </w:p>
    <w:p>
      <w:pPr>
        <w:spacing w:after="0" w:line="161"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For the approval on a non-binding advisory basis of the say-on-pay proposal and the ratification of the appointment of RSM as our independent registered public accounting firm, you may vote “FOR,” “AGAINST” or “ABSTAIN” with respect to such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593090" cy="1187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4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340"/>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062B48"/>
        </w:rPr>
        <w:t>How many votes are needed for each proposal?</w:t>
      </w:r>
    </w:p>
    <w:p>
      <w:pPr>
        <w:spacing w:after="0" w:line="65"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Proposal 1 (Election of Directors) – The nine individuals receiving the highest number of votes cast “FOR” their election will be elected as directors of the Company. In an uncontested election, all director nominees will be elected if they receive at least one vote “FOR” their election. Abstentions, votes to “withhold” and broker non-votes, if any, will not affect the outcome of the election.</w:t>
      </w:r>
    </w:p>
    <w:p>
      <w:pPr>
        <w:spacing w:after="0" w:line="174"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Proposal 2 (Say-on-Pay Proposal) – The affirmative vote of the majority of shares of Common Stock present in person or represented by proxy at the Annual Meeting and entitled to vote on the matter is required to approve the say-on-pay proposal, on a non-binding advisory basis. Abstentions will have the same legal effect as a vote “against” this proposal, while broker non-votes, because they will not be counted as entitled to vote, will not affect the voting on this proposal. Please note that, because the say-on-pay proposal is non-binding and advisory, the outcome of this vote will not be binding on the Board.</w:t>
      </w:r>
    </w:p>
    <w:p>
      <w:pPr>
        <w:spacing w:after="0" w:line="179"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Proposal 3 (Ratification of RSM) – The affirmative vote of the majority of shares of Common Stock present in person or represented by proxy at the Annual Meeting and entitled to vote on the matter is required to ratify the appointment of RSM as our independent registered public accounting firm for the fiscal year ending December 31, 2026. Abstentions will have the same legal effect as a vote “against” this proposal, while broker non-votes will not affect the voting on this proposal.</w:t>
      </w:r>
    </w:p>
    <w:p>
      <w:pPr>
        <w:spacing w:after="0" w:line="179" w:lineRule="exact"/>
        <w:rPr>
          <w:sz w:val="20"/>
          <w:szCs w:val="20"/>
          <w:color w:val="auto"/>
        </w:rPr>
      </w:pPr>
    </w:p>
    <w:p>
      <w:pPr>
        <w:ind w:right="460"/>
        <w:spacing w:after="0" w:line="252" w:lineRule="auto"/>
        <w:rPr>
          <w:sz w:val="20"/>
          <w:szCs w:val="20"/>
          <w:color w:val="auto"/>
        </w:rPr>
      </w:pPr>
      <w:r>
        <w:rPr>
          <w:rFonts w:ascii="Arial" w:cs="Arial" w:eastAsia="Arial" w:hAnsi="Arial"/>
          <w:sz w:val="16"/>
          <w:szCs w:val="16"/>
          <w:color w:val="auto"/>
        </w:rPr>
        <w:t>Unless otherwise provided by law, or by the Company’s Third Amended and Restated Certificate of Incorporation, as amended (the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w:t>
      </w:r>
      <w:r>
        <w:rPr>
          <w:rFonts w:ascii="Arial" w:cs="Arial" w:eastAsia="Arial" w:hAnsi="Arial"/>
          <w:sz w:val="16"/>
          <w:szCs w:val="16"/>
          <w:color w:val="auto"/>
        </w:rPr>
        <w:t>"), or its Second Amended and Restated Bylaws (the “</w:t>
      </w:r>
      <w:r>
        <w:rPr>
          <w:rFonts w:ascii="Arial" w:cs="Arial" w:eastAsia="Arial" w:hAnsi="Arial"/>
          <w:sz w:val="16"/>
          <w:szCs w:val="16"/>
          <w:b w:val="1"/>
          <w:bCs w:val="1"/>
          <w:color w:val="auto"/>
        </w:rPr>
        <w:t>Bylaws</w:t>
      </w:r>
      <w:r>
        <w:rPr>
          <w:rFonts w:ascii="Arial" w:cs="Arial" w:eastAsia="Arial" w:hAnsi="Arial"/>
          <w:sz w:val="16"/>
          <w:szCs w:val="16"/>
          <w:color w:val="auto"/>
        </w:rPr>
        <w:t>”), any other matter properly brought before the Annual Meeting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adjournment thereof shall be decided by the affirmative vote of the majority of shares of Common Stock present in person or represented by proxy at the Annual Meeting and entitled to vote on the matter. Abstentions will have the same legal effect as a vote “against” these matters, while broker non-votes, because they will not be counted as entitled to vote, will not affect the voting on such matters.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Who bears the cost of soliciting proxies?</w:t>
      </w:r>
    </w:p>
    <w:p>
      <w:pPr>
        <w:spacing w:after="0" w:line="8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The Company will bear the cost of soliciting proxies. We have engaged Equiniti Trust Company, LLC to assist in the delivery of proxy materials and to establish and operate online and telephonic voting platforms and processes. We may also reimburse brokerage houses and other custodians, nominees, and fiduciaries for their reasonable out-of-pocket expenses for forwarding proxy and solicitation materials to stockholders. Officers, directors or employees of the Company or its subsidiary may solicit proxies in person or by telephone. These persons will not receive any special or additional compensation for soliciting proxies.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Where do I find the voting results of the meeting?</w:t>
      </w:r>
    </w:p>
    <w:p>
      <w:pPr>
        <w:spacing w:after="0" w:line="70"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If available, we will announce voting results at the Annual Meeting. The voting results will also be disclosed in a Current Report on Form 8-K that we will file with the SEC within four business days after the Annual Meeting.</w:t>
      </w:r>
    </w:p>
    <w:p>
      <w:pPr>
        <w:spacing w:after="0" w:line="161"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b w:val="1"/>
          <w:bCs w:val="1"/>
          <w:color w:val="062B48"/>
        </w:rPr>
        <w:t>How can multiple stockholders sharing the same address request to receive only one notice or one set of proxy materials and other investor communications?</w:t>
      </w:r>
    </w:p>
    <w:p>
      <w:pPr>
        <w:spacing w:after="0" w:line="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You may elect to receive future notices and proxy materials, as well as other investor communications, in a single package per address. This practice, known as “householding,” is designed to reduce our paper use and printing and postage costs. To make this election, please indicate on your proxy card under “Householding Election” your consent to receive such communications in a single package per address. Once we receive your consent, we will send a single package per household going forward, until you revoke your consent or request separate copies of our proxy materials by contacting the Company’s Secretary at 401 Demers Avenue, Grand Forks, North Dakota 58201 or (701) 795-3200. We will start sending you individual copies of proxy materials and other investor communications promptly following receipt of your revocation.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593090" cy="118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4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4600" w:type="dxa"/>
            <w:vAlign w:val="bottom"/>
          </w:tcPr>
          <w:p>
            <w:pPr>
              <w:jc w:val="right"/>
              <w:spacing w:after="0"/>
              <w:rPr>
                <w:sz w:val="20"/>
                <w:szCs w:val="20"/>
                <w:color w:val="auto"/>
              </w:rPr>
            </w:pPr>
            <w:r>
              <w:rPr>
                <w:rFonts w:ascii="Calibri" w:cs="Calibri" w:eastAsia="Calibri" w:hAnsi="Calibri"/>
                <w:sz w:val="12"/>
                <w:szCs w:val="12"/>
                <w:color w:val="auto"/>
              </w:rPr>
              <w:t>6</w:t>
            </w:r>
          </w:p>
        </w:tc>
        <w:tc>
          <w:tcPr>
            <w:tcW w:w="0" w:type="dxa"/>
            <w:vAlign w:val="bottom"/>
          </w:tcPr>
          <w:p>
            <w:pPr>
              <w:spacing w:after="0"/>
              <w:rPr>
                <w:sz w:val="1"/>
                <w:szCs w:val="1"/>
                <w:color w:val="auto"/>
              </w:rPr>
            </w:pPr>
          </w:p>
        </w:tc>
      </w:tr>
      <w:tr>
        <w:trPr>
          <w:trHeight w:val="40"/>
        </w:trPr>
        <w:tc>
          <w:tcPr>
            <w:tcW w:w="6640" w:type="dxa"/>
            <w:vAlign w:val="bottom"/>
            <w:vMerge w:val="continue"/>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4" w:right="339" w:bottom="1440" w:gutter="0" w:footer="0" w:header="0"/>
        </w:sectPr>
      </w:pPr>
    </w:p>
    <w:bookmarkStart w:id="9" w:name="page10"/>
    <w:bookmarkEnd w:id="9"/>
    <w:p>
      <w:pPr>
        <w:ind w:left="320"/>
        <w:spacing w:after="0"/>
        <w:rPr>
          <w:sz w:val="20"/>
          <w:szCs w:val="20"/>
          <w:color w:val="auto"/>
        </w:rPr>
      </w:pPr>
      <w:r>
        <w:rPr>
          <w:rFonts w:ascii="Arial" w:cs="Arial" w:eastAsia="Arial" w:hAnsi="Arial"/>
          <w:sz w:val="16"/>
          <w:szCs w:val="16"/>
          <w:color w:val="1AB2D2"/>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12541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254125"/>
                    </a:xfrm>
                    <a:prstGeom prst="rect">
                      <a:avLst/>
                    </a:prstGeom>
                    <a:noFill/>
                  </pic:spPr>
                </pic:pic>
              </a:graphicData>
            </a:graphic>
          </wp:anchor>
        </w:drawing>
        <w:t>PROPOSAL 1—</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5"/>
          <w:szCs w:val="25"/>
          <w:color w:val="FFFFF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1AB2D2"/>
        </w:rPr>
        <w:t>GENERAL</w:t>
      </w:r>
    </w:p>
    <w:p>
      <w:pPr>
        <w:spacing w:after="0" w:line="49"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1"/>
          <w:szCs w:val="21"/>
          <w:color w:val="auto"/>
        </w:rPr>
        <w:t>The Company has one class of directors. Our directors serve for one-year terms or until their successors are elected and qualified. The Company’s current Certificate of Incorporation provides that the Board will consist of a maximum of twelve persons and a minimum of five persons, and the Company’s current Bylaws provide that the number of directors may be fixed from time to time by the Board within the range set by the Certificate of Incorporation. By resolutions adopted by the Board, the number of directors of the Board is currently fixed at nine.</w:t>
      </w:r>
    </w:p>
    <w:p>
      <w:pPr>
        <w:sectPr>
          <w:pgSz w:w="11900" w:h="16838" w:orient="portrait"/>
          <w:cols w:equalWidth="0" w:num="1">
            <w:col w:w="11240"/>
          </w:cols>
          <w:pgMar w:left="320" w:top="1326" w:right="339" w:bottom="1440" w:gutter="0" w:footer="0" w:header="0"/>
        </w:sectPr>
      </w:pPr>
    </w:p>
    <w:p>
      <w:pPr>
        <w:spacing w:after="0" w:line="37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acting upon the recommendation of the Nominating and Corporate Governance Committee, has nominated the following nine director nominees for election at the Annual Meeting, each to hold office for a one-year term expiring at the annual meeting of stockholders in 2027 or until a successor is elected and qualified: Daniel E. Coughlin, Katie A. Lorenson, Randy L. Newman, Galen G. Vetter, Janet O. Estep, Mary E. Zimmer, John Uribe, Nikki L. Sorum and Jeffrey W. Bolton. Proxies cannot be voted for more than nine director nominees. All of the director nominees are currently serving on the Board.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All of the director nominees have consented to serve. If for any reason any nominee becomes unavailable for election, the Board may designate a substitute nominee, in which event the shares represented by proxies properly returned to the Company will be voted for the substitute nominee, unless an instruction to the contrary is indicated on the proxy card.</w:t>
      </w:r>
    </w:p>
    <w:p>
      <w:pPr>
        <w:spacing w:after="0" w:line="155"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The nine individuals receiving the highest number of votes cast “FOR” their election will be elected as directors of the Company. In an uncontested election, all director nominees will be elected if they receive at least one vote “FOR” their election. Abstentions, votes to “withhold” and broker non-votes, if any, will not affect the outcome of the election. Proxies properly signed and returned will be voted “FOR” each of the nominees for director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-3627120</wp:posOffset>
            </wp:positionH>
            <wp:positionV relativeFrom="paragraph">
              <wp:posOffset>397510</wp:posOffset>
            </wp:positionV>
            <wp:extent cx="7134225" cy="559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559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60" w:space="260"/>
            <w:col w:w="5520"/>
          </w:cols>
          <w:pgMar w:left="320" w:top="132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 xml:space="preserve">THE BOARD UNANIMOUSLY RECOMMENDS THAT YOU VOTE </w:t>
      </w:r>
      <w:r>
        <w:rPr>
          <w:rFonts w:ascii="Arial" w:cs="Arial" w:eastAsia="Arial" w:hAnsi="Arial"/>
          <w:sz w:val="16"/>
          <w:szCs w:val="16"/>
          <w:color w:val="FFFFFF"/>
        </w:rPr>
        <w:t>“</w:t>
      </w:r>
      <w:r>
        <w:rPr>
          <w:rFonts w:ascii="Arial" w:cs="Arial" w:eastAsia="Arial" w:hAnsi="Arial"/>
          <w:sz w:val="16"/>
          <w:szCs w:val="16"/>
          <w:b w:val="1"/>
          <w:bCs w:val="1"/>
          <w:color w:val="FFFFFF"/>
        </w:rPr>
        <w:t>FOR</w:t>
      </w:r>
      <w:r>
        <w:rPr>
          <w:rFonts w:ascii="Arial" w:cs="Arial" w:eastAsia="Arial" w:hAnsi="Arial"/>
          <w:sz w:val="16"/>
          <w:szCs w:val="16"/>
          <w:color w:val="FFFFFF"/>
        </w:rPr>
        <w:t>”</w:t>
      </w:r>
      <w:r>
        <w:rPr>
          <w:rFonts w:ascii="Arial" w:cs="Arial" w:eastAsia="Arial" w:hAnsi="Arial"/>
          <w:sz w:val="16"/>
          <w:szCs w:val="16"/>
          <w:b w:val="1"/>
          <w:bCs w:val="1"/>
          <w:color w:val="FFFFFF"/>
        </w:rPr>
        <w:t xml:space="preserve"> EACH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THE NOMINEES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593090" cy="1187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4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340"/>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26"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6"/>
          <w:szCs w:val="16"/>
          <w:color w:val="1AB2D2"/>
        </w:rPr>
        <w:t>INFORMATION ABOUT THE DIRECTOR NOMINEES</w:t>
      </w:r>
    </w:p>
    <w:p>
      <w:pPr>
        <w:spacing w:after="0" w:line="70"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The following table describes the business experience of each director nominee, as well as their qualifications to serve on the Board. No nominee has any family relationship, as defined by Item 401 of Regulation S-K, with any other executive officer or any of our current directors.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34225" cy="3219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Daniel E. Coughlin</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 Chairman</w:t>
      </w:r>
    </w:p>
    <w:p>
      <w:pPr>
        <w:sectPr>
          <w:pgSz w:w="11900" w:h="16838" w:orient="portrait"/>
          <w:cols w:equalWidth="0" w:num="1">
            <w:col w:w="11240"/>
          </w:cols>
          <w:pgMar w:left="320" w:top="5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-1327150</wp:posOffset>
            </wp:positionV>
            <wp:extent cx="1219835" cy="12198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19835" cy="121983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2016</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80" w:hanging="195"/>
        <w:spacing w:after="0"/>
        <w:tabs>
          <w:tab w:leader="none" w:pos="380" w:val="left"/>
        </w:tabs>
        <w:numPr>
          <w:ilvl w:val="0"/>
          <w:numId w:val="6"/>
        </w:numPr>
        <w:rPr>
          <w:rFonts w:ascii="Arial" w:cs="Arial" w:eastAsia="Arial" w:hAnsi="Arial"/>
          <w:sz w:val="15"/>
          <w:szCs w:val="15"/>
          <w:color w:val="auto"/>
        </w:rPr>
      </w:pPr>
      <w:r>
        <w:rPr>
          <w:rFonts w:ascii="Arial" w:cs="Arial" w:eastAsia="Arial" w:hAnsi="Arial"/>
          <w:sz w:val="15"/>
          <w:szCs w:val="15"/>
          <w:color w:val="auto"/>
        </w:rPr>
        <w:t>Nominating and Corporate Governance</w:t>
      </w:r>
    </w:p>
    <w:p>
      <w:pPr>
        <w:spacing w:after="0" w:line="14" w:lineRule="exact"/>
        <w:rPr>
          <w:rFonts w:ascii="Arial" w:cs="Arial" w:eastAsia="Arial" w:hAnsi="Arial"/>
          <w:sz w:val="15"/>
          <w:szCs w:val="15"/>
          <w:color w:val="auto"/>
        </w:rPr>
      </w:pPr>
    </w:p>
    <w:p>
      <w:pPr>
        <w:ind w:left="360" w:hanging="175"/>
        <w:spacing w:after="0"/>
        <w:tabs>
          <w:tab w:leader="none" w:pos="3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Audit</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ind w:left="10" w:right="300"/>
        <w:spacing w:after="0" w:line="261" w:lineRule="auto"/>
        <w:rPr>
          <w:sz w:val="20"/>
          <w:szCs w:val="20"/>
          <w:color w:val="auto"/>
        </w:rPr>
      </w:pPr>
      <w:r>
        <w:rPr>
          <w:rFonts w:ascii="Arial" w:cs="Arial" w:eastAsia="Arial" w:hAnsi="Arial"/>
          <w:sz w:val="16"/>
          <w:szCs w:val="16"/>
          <w:b w:val="1"/>
          <w:bCs w:val="1"/>
          <w:color w:val="auto"/>
        </w:rPr>
        <w:t>Mr. Coughlin</w:t>
      </w:r>
      <w:r>
        <w:rPr>
          <w:rFonts w:ascii="Arial" w:cs="Arial" w:eastAsia="Arial" w:hAnsi="Arial"/>
          <w:sz w:val="16"/>
          <w:szCs w:val="16"/>
          <w:color w:val="auto"/>
        </w:rPr>
        <w:t>, a director of the Company since 2016, served as the Managing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and Co-Head of the Financial Services Practice at Raymond James &amp; Associates from 2011 until his retirement in 2014.</w:t>
      </w:r>
    </w:p>
    <w:p>
      <w:pPr>
        <w:spacing w:after="0" w:line="27" w:lineRule="exact"/>
        <w:rPr>
          <w:sz w:val="20"/>
          <w:szCs w:val="20"/>
          <w:color w:val="auto"/>
        </w:rPr>
      </w:pPr>
    </w:p>
    <w:p>
      <w:pPr>
        <w:ind w:left="190" w:hanging="190"/>
        <w:spacing w:after="0" w:line="261"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Beginning in 2001, Mr. Coughlin served as Chairman and CEO of Howe Barnes Hoefer &amp; Arnett prior to its 2011 merger with Raymond James and served eight additional years with Howe Barnes Hoefer &amp; Arnett in various capacities.</w:t>
      </w:r>
    </w:p>
    <w:p>
      <w:pPr>
        <w:spacing w:after="0" w:line="26" w:lineRule="exact"/>
        <w:rPr>
          <w:rFonts w:ascii="Arial" w:cs="Arial" w:eastAsia="Arial" w:hAnsi="Arial"/>
          <w:sz w:val="16"/>
          <w:szCs w:val="16"/>
          <w:color w:val="auto"/>
        </w:rPr>
      </w:pPr>
    </w:p>
    <w:p>
      <w:pPr>
        <w:ind w:left="190" w:right="100" w:hanging="190"/>
        <w:spacing w:after="0" w:line="278"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Coughlin also spent seven years with the Federal Reserve Bank of Chicago, where he assessed the competitive implications of bank mergers and acquisitions.</w:t>
      </w:r>
    </w:p>
    <w:p>
      <w:pPr>
        <w:spacing w:after="0" w:line="27" w:lineRule="exact"/>
        <w:rPr>
          <w:rFonts w:ascii="Arial" w:cs="Arial" w:eastAsia="Arial" w:hAnsi="Arial"/>
          <w:sz w:val="16"/>
          <w:szCs w:val="16"/>
          <w:color w:val="auto"/>
        </w:rPr>
      </w:pPr>
    </w:p>
    <w:p>
      <w:pPr>
        <w:ind w:left="190" w:right="140" w:hanging="190"/>
        <w:spacing w:after="0" w:line="255"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consider Mr. Coughlin to be qualified for service on the Board and the committees on which he serves because of his over 40 years of financial services experience, and knowledge and experience in areas such as strategic planning, risk management, mergers, and acquisitions, and capital 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359410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639445</wp:posOffset>
            </wp:positionV>
            <wp:extent cx="7134225" cy="321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578" w:lineRule="exact"/>
        <w:rPr>
          <w:sz w:val="20"/>
          <w:szCs w:val="20"/>
          <w:color w:val="auto"/>
        </w:rPr>
      </w:pPr>
    </w:p>
    <w:p>
      <w:pPr>
        <w:sectPr>
          <w:pgSz w:w="11900" w:h="16838" w:orient="portrait"/>
          <w:cols w:equalWidth="0" w:num="2">
            <w:col w:w="4090" w:space="720"/>
            <w:col w:w="6430"/>
          </w:cols>
          <w:pgMar w:left="320" w:top="579" w:right="3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Katie A. Lorenson</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 President and Chief Executive Officer</w:t>
      </w:r>
    </w:p>
    <w:p>
      <w:pPr>
        <w:sectPr>
          <w:pgSz w:w="11900" w:h="16838" w:orient="portrait"/>
          <w:cols w:equalWidth="0" w:num="1">
            <w:col w:w="11240"/>
          </w:cols>
          <w:pgMar w:left="320" w:top="5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-1336040</wp:posOffset>
            </wp:positionV>
            <wp:extent cx="1228725" cy="1228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880745</wp:posOffset>
            </wp:positionV>
            <wp:extent cx="593090" cy="1187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0"/>
        <w:spacing w:after="0" w:line="252" w:lineRule="auto"/>
        <w:rPr>
          <w:sz w:val="20"/>
          <w:szCs w:val="20"/>
          <w:color w:val="auto"/>
        </w:rPr>
      </w:pPr>
      <w:r>
        <w:rPr>
          <w:rFonts w:ascii="Arial" w:cs="Arial" w:eastAsia="Arial" w:hAnsi="Arial"/>
          <w:sz w:val="16"/>
          <w:szCs w:val="16"/>
          <w:b w:val="1"/>
          <w:bCs w:val="1"/>
          <w:color w:val="auto"/>
        </w:rPr>
        <w:t xml:space="preserve">Ms. Lorenson </w:t>
      </w:r>
      <w:r>
        <w:rPr>
          <w:rFonts w:ascii="Arial" w:cs="Arial" w:eastAsia="Arial" w:hAnsi="Arial"/>
          <w:sz w:val="16"/>
          <w:szCs w:val="16"/>
          <w:color w:val="auto"/>
        </w:rPr>
        <w:t>serves as the President and Chief Executive Officer of the Company after</w:t>
      </w:r>
      <w:r>
        <w:rPr>
          <w:rFonts w:ascii="Arial" w:cs="Arial" w:eastAsia="Arial" w:hAnsi="Arial"/>
          <w:sz w:val="16"/>
          <w:szCs w:val="16"/>
          <w:b w:val="1"/>
          <w:bCs w:val="1"/>
          <w:color w:val="auto"/>
        </w:rPr>
        <w:t xml:space="preserve"> </w:t>
      </w:r>
      <w:r>
        <w:rPr>
          <w:rFonts w:ascii="Arial" w:cs="Arial" w:eastAsia="Arial" w:hAnsi="Arial"/>
          <w:sz w:val="16"/>
          <w:szCs w:val="16"/>
          <w:color w:val="auto"/>
        </w:rPr>
        <w:t>being named to those positions in 2021. Ms. Lorenson joined the Company as Executive Vice President and Chief Financial Officer in December 2017 and assumed leadership over the Company’s retirement, wealth management, mortgage and banking product areas in 2020.</w:t>
      </w:r>
    </w:p>
    <w:p>
      <w:pPr>
        <w:spacing w:after="0" w:line="35" w:lineRule="exact"/>
        <w:rPr>
          <w:sz w:val="20"/>
          <w:szCs w:val="20"/>
          <w:color w:val="auto"/>
        </w:rPr>
      </w:pPr>
    </w:p>
    <w:p>
      <w:pPr>
        <w:ind w:left="190" w:right="180" w:hanging="190"/>
        <w:spacing w:after="0" w:line="261"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Lorenson is a seasoned executive with extensive experience overseeing financial service organizations and product and services management, previously serving as Chief Financial Officer at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Financial Group, Inc.</w:t>
      </w:r>
    </w:p>
    <w:p>
      <w:pPr>
        <w:spacing w:after="0" w:line="26" w:lineRule="exact"/>
        <w:rPr>
          <w:rFonts w:ascii="Arial" w:cs="Arial" w:eastAsia="Arial" w:hAnsi="Arial"/>
          <w:sz w:val="16"/>
          <w:szCs w:val="16"/>
          <w:color w:val="auto"/>
        </w:rPr>
      </w:pPr>
    </w:p>
    <w:p>
      <w:pPr>
        <w:ind w:left="190" w:right="80" w:hanging="190"/>
        <w:spacing w:after="0" w:line="255"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Ms. Lorenson formerly served as Chief Financial Officer for Central Bancshares, Inc. which was acquired by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Financial Group, Inc. in 2015. Prior to these roles, Ms. Lorenson served as Manager on the Financial Institutions Team for RSM (formerly, McGladrey &amp; Pullen).</w:t>
      </w:r>
    </w:p>
    <w:p>
      <w:pPr>
        <w:spacing w:after="0" w:line="45" w:lineRule="exact"/>
        <w:rPr>
          <w:rFonts w:ascii="Arial" w:cs="Arial" w:eastAsia="Arial" w:hAnsi="Arial"/>
          <w:sz w:val="16"/>
          <w:szCs w:val="16"/>
          <w:color w:val="auto"/>
        </w:rPr>
      </w:pPr>
    </w:p>
    <w:p>
      <w:pPr>
        <w:ind w:left="190" w:right="40" w:hanging="190"/>
        <w:spacing w:after="0" w:line="255"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consider Ms. Lorenson to be a qualified candidate for service on the Board because of her management and leadership experience as the Chief Executive Officer and President of the Company and her extensive experience in banking and prior financial leadership roles.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147955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579" w:right="339" w:bottom="1440" w:gutter="0" w:footer="0" w:header="0"/>
          <w:type w:val="continuous"/>
        </w:sect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4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4600" w:type="dxa"/>
            <w:vAlign w:val="bottom"/>
          </w:tcPr>
          <w:p>
            <w:pPr>
              <w:jc w:val="right"/>
              <w:spacing w:after="0"/>
              <w:rPr>
                <w:sz w:val="20"/>
                <w:szCs w:val="20"/>
                <w:color w:val="auto"/>
              </w:rPr>
            </w:pPr>
            <w:r>
              <w:rPr>
                <w:rFonts w:ascii="Calibri" w:cs="Calibri" w:eastAsia="Calibri" w:hAnsi="Calibri"/>
                <w:sz w:val="12"/>
                <w:szCs w:val="12"/>
                <w:color w:val="auto"/>
              </w:rPr>
              <w:t>8</w:t>
            </w:r>
          </w:p>
        </w:tc>
        <w:tc>
          <w:tcPr>
            <w:tcW w:w="0" w:type="dxa"/>
            <w:vAlign w:val="bottom"/>
          </w:tcPr>
          <w:p>
            <w:pPr>
              <w:spacing w:after="0"/>
              <w:rPr>
                <w:sz w:val="1"/>
                <w:szCs w:val="1"/>
                <w:color w:val="auto"/>
              </w:rPr>
            </w:pPr>
          </w:p>
        </w:tc>
      </w:tr>
      <w:tr>
        <w:trPr>
          <w:trHeight w:val="40"/>
        </w:trPr>
        <w:tc>
          <w:tcPr>
            <w:tcW w:w="6640" w:type="dxa"/>
            <w:vAlign w:val="bottom"/>
            <w:vMerge w:val="continue"/>
          </w:tcPr>
          <w:p>
            <w:pPr>
              <w:spacing w:after="0"/>
              <w:rPr>
                <w:sz w:val="3"/>
                <w:szCs w:val="3"/>
                <w:color w:val="auto"/>
              </w:rPr>
            </w:pPr>
          </w:p>
        </w:tc>
        <w:tc>
          <w:tcPr>
            <w:tcW w:w="4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664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type w:val="continuous"/>
        </w:sectPr>
      </w:pPr>
    </w:p>
    <w:bookmarkStart w:id="11" w:name="page12"/>
    <w:bookmarkEnd w:id="11"/>
    <w:p>
      <w:pPr>
        <w:ind w:left="2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3219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321945"/>
                    </a:xfrm>
                    <a:prstGeom prst="rect">
                      <a:avLst/>
                    </a:prstGeom>
                    <a:noFill/>
                  </pic:spPr>
                </pic:pic>
              </a:graphicData>
            </a:graphic>
          </wp:anchor>
        </w:drawing>
        <w:t>Randy L. Newman</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-1336040</wp:posOffset>
            </wp:positionV>
            <wp:extent cx="1228725" cy="12287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1988</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80" w:hanging="195"/>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Risk (Chair)</w:t>
      </w:r>
    </w:p>
    <w:p>
      <w:pPr>
        <w:spacing w:after="0" w:line="2" w:lineRule="exact"/>
        <w:rPr>
          <w:rFonts w:ascii="Arial" w:cs="Arial" w:eastAsia="Arial" w:hAnsi="Arial"/>
          <w:sz w:val="16"/>
          <w:szCs w:val="16"/>
          <w:color w:val="auto"/>
        </w:rPr>
      </w:pPr>
    </w:p>
    <w:p>
      <w:pPr>
        <w:ind w:left="380" w:hanging="195"/>
        <w:spacing w:after="0"/>
        <w:tabs>
          <w:tab w:leader="none" w:pos="38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Nominating and Corporate Governance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ind w:left="10" w:right="220"/>
        <w:spacing w:after="0" w:line="286" w:lineRule="auto"/>
        <w:rPr>
          <w:sz w:val="20"/>
          <w:szCs w:val="20"/>
          <w:color w:val="auto"/>
        </w:rPr>
      </w:pPr>
      <w:r>
        <w:rPr>
          <w:rFonts w:ascii="Arial" w:cs="Arial" w:eastAsia="Arial" w:hAnsi="Arial"/>
          <w:sz w:val="15"/>
          <w:szCs w:val="15"/>
          <w:b w:val="1"/>
          <w:bCs w:val="1"/>
          <w:color w:val="auto"/>
        </w:rPr>
        <w:t>Mr. Newman</w:t>
      </w:r>
      <w:r>
        <w:rPr>
          <w:rFonts w:ascii="Arial" w:cs="Arial" w:eastAsia="Arial" w:hAnsi="Arial"/>
          <w:sz w:val="15"/>
          <w:szCs w:val="15"/>
          <w:color w:val="auto"/>
        </w:rPr>
        <w:t>, a director of the Company since 1995, joined the Company, formerly First</w:t>
      </w:r>
      <w:r>
        <w:rPr>
          <w:rFonts w:ascii="Arial" w:cs="Arial" w:eastAsia="Arial" w:hAnsi="Arial"/>
          <w:sz w:val="15"/>
          <w:szCs w:val="15"/>
          <w:b w:val="1"/>
          <w:bCs w:val="1"/>
          <w:color w:val="auto"/>
        </w:rPr>
        <w:t xml:space="preserve"> </w:t>
      </w:r>
      <w:r>
        <w:rPr>
          <w:rFonts w:ascii="Arial" w:cs="Arial" w:eastAsia="Arial" w:hAnsi="Arial"/>
          <w:sz w:val="15"/>
          <w:szCs w:val="15"/>
          <w:color w:val="auto"/>
        </w:rPr>
        <w:t>National Bank of North Dakota in 1981, and became its President in 1987 and its Chief Executive Officer in 1995. He served in those roles until he retired on January 1, 2022.</w:t>
      </w:r>
    </w:p>
    <w:p>
      <w:pPr>
        <w:spacing w:after="0" w:line="10" w:lineRule="exact"/>
        <w:rPr>
          <w:sz w:val="20"/>
          <w:szCs w:val="20"/>
          <w:color w:val="auto"/>
        </w:rPr>
      </w:pPr>
    </w:p>
    <w:p>
      <w:pPr>
        <w:ind w:left="190" w:right="300" w:hanging="190"/>
        <w:spacing w:after="0" w:line="261"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Prior to joining the Company, Mr. Newman taught Corporate Finance and Business Strategy courses at the University of North Dakota. He was a director of the Federal Home Loan Bank of Des Moines from 1997 to 2007.</w:t>
      </w:r>
    </w:p>
    <w:p>
      <w:pPr>
        <w:spacing w:after="0" w:line="40" w:lineRule="exact"/>
        <w:rPr>
          <w:rFonts w:ascii="Arial" w:cs="Arial" w:eastAsia="Arial" w:hAnsi="Arial"/>
          <w:sz w:val="16"/>
          <w:szCs w:val="16"/>
          <w:color w:val="auto"/>
        </w:rPr>
      </w:pPr>
    </w:p>
    <w:p>
      <w:pPr>
        <w:ind w:left="190" w:right="120" w:hanging="190"/>
        <w:spacing w:after="0" w:line="278"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Newman served as a Class A Director of the Federal Reserve Bank of Minneapolis from 2012 to 2018.</w:t>
      </w:r>
    </w:p>
    <w:p>
      <w:pPr>
        <w:spacing w:after="0" w:line="14" w:lineRule="exact"/>
        <w:rPr>
          <w:rFonts w:ascii="Arial" w:cs="Arial" w:eastAsia="Arial" w:hAnsi="Arial"/>
          <w:sz w:val="16"/>
          <w:szCs w:val="16"/>
          <w:color w:val="auto"/>
        </w:rPr>
      </w:pPr>
    </w:p>
    <w:p>
      <w:pPr>
        <w:ind w:left="190" w:right="320" w:hanging="190"/>
        <w:spacing w:after="0" w:line="278"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Mr. Newman received his BSBA in 1975 and his MBA in 1979 from the University of North Dakota.</w:t>
      </w:r>
    </w:p>
    <w:p>
      <w:pPr>
        <w:spacing w:after="0" w:line="14" w:lineRule="exact"/>
        <w:rPr>
          <w:rFonts w:ascii="Arial" w:cs="Arial" w:eastAsia="Arial" w:hAnsi="Arial"/>
          <w:sz w:val="16"/>
          <w:szCs w:val="16"/>
          <w:color w:val="auto"/>
        </w:rPr>
      </w:pPr>
    </w:p>
    <w:p>
      <w:pPr>
        <w:jc w:val="both"/>
        <w:ind w:left="190" w:right="180" w:hanging="190"/>
        <w:spacing w:after="0" w:line="255" w:lineRule="auto"/>
        <w:tabs>
          <w:tab w:leader="none" w:pos="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consider Mr. Newman to be qualified for service on the Board and the committees on which he serves because of his deep experience in the banking industry, strategic planning, mergers and acquisitions and knowledge of the Company gained during his tenure with us as our former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105410</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384810</wp:posOffset>
            </wp:positionV>
            <wp:extent cx="7134225" cy="3219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659" w:right="339" w:bottom="1440" w:gutter="0" w:footer="0" w:header="0"/>
          <w:type w:val="continuous"/>
        </w:sectPr>
      </w:pPr>
    </w:p>
    <w:p>
      <w:pPr>
        <w:spacing w:after="0" w:line="200" w:lineRule="exact"/>
        <w:rPr>
          <w:sz w:val="20"/>
          <w:szCs w:val="20"/>
          <w:color w:val="auto"/>
        </w:rPr>
      </w:pPr>
    </w:p>
    <w:p>
      <w:pPr>
        <w:spacing w:after="0" w:line="272"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Galen G. Vetter</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165735</wp:posOffset>
            </wp:positionV>
            <wp:extent cx="1228725" cy="12287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2013</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60" w:hanging="175"/>
        <w:spacing w:after="0"/>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Audit (Chair)</w:t>
      </w:r>
    </w:p>
    <w:p>
      <w:pPr>
        <w:spacing w:after="0" w:line="2" w:lineRule="exact"/>
        <w:rPr>
          <w:rFonts w:ascii="Arial" w:cs="Arial" w:eastAsia="Arial" w:hAnsi="Arial"/>
          <w:sz w:val="16"/>
          <w:szCs w:val="16"/>
          <w:color w:val="auto"/>
        </w:rPr>
      </w:pPr>
    </w:p>
    <w:p>
      <w:pPr>
        <w:ind w:left="380" w:hanging="195"/>
        <w:spacing w:after="0"/>
        <w:tabs>
          <w:tab w:leader="none" w:pos="3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728980</wp:posOffset>
            </wp:positionV>
            <wp:extent cx="593090" cy="1187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 w:right="100"/>
        <w:spacing w:after="0" w:line="261" w:lineRule="auto"/>
        <w:rPr>
          <w:sz w:val="20"/>
          <w:szCs w:val="20"/>
          <w:color w:val="auto"/>
        </w:rPr>
      </w:pPr>
      <w:r>
        <w:rPr>
          <w:rFonts w:ascii="Arial" w:cs="Arial" w:eastAsia="Arial" w:hAnsi="Arial"/>
          <w:sz w:val="16"/>
          <w:szCs w:val="16"/>
          <w:b w:val="1"/>
          <w:bCs w:val="1"/>
          <w:color w:val="auto"/>
        </w:rPr>
        <w:t xml:space="preserve">Mr. Vetter </w:t>
      </w:r>
      <w:r>
        <w:rPr>
          <w:rFonts w:ascii="Arial" w:cs="Arial" w:eastAsia="Arial" w:hAnsi="Arial"/>
          <w:sz w:val="16"/>
          <w:szCs w:val="16"/>
          <w:color w:val="auto"/>
        </w:rPr>
        <w:t>has served as a director of the Company since 2013. Mr. Vetter has varied and</w:t>
      </w:r>
      <w:r>
        <w:rPr>
          <w:rFonts w:ascii="Arial" w:cs="Arial" w:eastAsia="Arial" w:hAnsi="Arial"/>
          <w:sz w:val="16"/>
          <w:szCs w:val="16"/>
          <w:b w:val="1"/>
          <w:bCs w:val="1"/>
          <w:color w:val="auto"/>
        </w:rPr>
        <w:t xml:space="preserve"> </w:t>
      </w:r>
      <w:r>
        <w:rPr>
          <w:rFonts w:ascii="Arial" w:cs="Arial" w:eastAsia="Arial" w:hAnsi="Arial"/>
          <w:sz w:val="16"/>
          <w:szCs w:val="16"/>
          <w:color w:val="auto"/>
        </w:rPr>
        <w:t>broad board of director experience, having served on over a dozen boards over the past three decades.</w:t>
      </w:r>
    </w:p>
    <w:p>
      <w:pPr>
        <w:spacing w:after="0" w:line="27" w:lineRule="exact"/>
        <w:rPr>
          <w:sz w:val="20"/>
          <w:szCs w:val="20"/>
          <w:color w:val="auto"/>
        </w:rPr>
      </w:pPr>
    </w:p>
    <w:p>
      <w:pPr>
        <w:ind w:left="190" w:right="420" w:hanging="190"/>
        <w:spacing w:after="0" w:line="278"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Vetter is a retired CPA with an extensive background, including executive-level positions at Franklin Templeton Investments and RSM.</w:t>
      </w:r>
    </w:p>
    <w:p>
      <w:pPr>
        <w:spacing w:after="0" w:line="27" w:lineRule="exact"/>
        <w:rPr>
          <w:rFonts w:ascii="Arial" w:cs="Arial" w:eastAsia="Arial" w:hAnsi="Arial"/>
          <w:sz w:val="16"/>
          <w:szCs w:val="16"/>
          <w:color w:val="auto"/>
        </w:rPr>
      </w:pPr>
    </w:p>
    <w:p>
      <w:pPr>
        <w:ind w:left="190" w:right="80" w:hanging="190"/>
        <w:spacing w:after="0" w:line="286" w:lineRule="auto"/>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Mr. Vetter’s roles at RSM included Partner In-Charge of the Upper Midwest Region and National Executive Partner, with leadership responsibilities for financial management, information technology, and development of professional services industry practices.</w:t>
      </w:r>
    </w:p>
    <w:p>
      <w:pPr>
        <w:spacing w:after="0" w:line="10" w:lineRule="exact"/>
        <w:rPr>
          <w:rFonts w:ascii="Arial" w:cs="Arial" w:eastAsia="Arial" w:hAnsi="Arial"/>
          <w:sz w:val="15"/>
          <w:szCs w:val="15"/>
          <w:color w:val="auto"/>
        </w:rPr>
      </w:pPr>
    </w:p>
    <w:p>
      <w:pPr>
        <w:ind w:left="190" w:right="60" w:hanging="190"/>
        <w:spacing w:after="0" w:line="261" w:lineRule="auto"/>
        <w:tabs>
          <w:tab w:leader="none" w:pos="17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CFO and Senior Vice President at Franklin Templeton, Mr. Vetter’s responsibilities included oversight of accounting, financial compliance, and filings in dozens of counties for the funds.</w:t>
      </w:r>
    </w:p>
    <w:p>
      <w:pPr>
        <w:spacing w:after="0" w:line="26" w:lineRule="exact"/>
        <w:rPr>
          <w:rFonts w:ascii="Arial" w:cs="Arial" w:eastAsia="Arial" w:hAnsi="Arial"/>
          <w:sz w:val="16"/>
          <w:szCs w:val="16"/>
          <w:color w:val="auto"/>
        </w:rPr>
      </w:pPr>
    </w:p>
    <w:p>
      <w:pPr>
        <w:ind w:left="190" w:right="260" w:hanging="190"/>
        <w:spacing w:after="0" w:line="278"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Vetter holds a Bachelor of Science degree with an accounting emphasis from the University of Northern Iowa.</w:t>
      </w:r>
    </w:p>
    <w:p>
      <w:pPr>
        <w:spacing w:after="0" w:line="27" w:lineRule="exact"/>
        <w:rPr>
          <w:rFonts w:ascii="Arial" w:cs="Arial" w:eastAsia="Arial" w:hAnsi="Arial"/>
          <w:sz w:val="16"/>
          <w:szCs w:val="16"/>
          <w:color w:val="auto"/>
        </w:rPr>
      </w:pPr>
    </w:p>
    <w:p>
      <w:pPr>
        <w:ind w:left="190" w:right="180" w:hanging="190"/>
        <w:spacing w:after="0" w:line="255"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consider Mr. Vetter to be qualified for service on the Board and the committees on which he serves because of his extensive experience in financial oversight and leadership roles, prior board experiences at other companies, accounting and finance knowledge and his qualification to serve as the Audit Committee’s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147955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659" w:right="339" w:bottom="1440" w:gutter="0" w:footer="0" w:header="0"/>
          <w:type w:val="continuous"/>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0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4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340"/>
        </w:trPr>
        <w:tc>
          <w:tcPr>
            <w:tcW w:w="67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type w:val="continuous"/>
        </w:sectPr>
      </w:pPr>
    </w:p>
    <w:bookmarkStart w:id="12" w:name="page13"/>
    <w:bookmarkEnd w:id="12"/>
    <w:p>
      <w:pPr>
        <w:ind w:left="2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3219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321945"/>
                    </a:xfrm>
                    <a:prstGeom prst="rect">
                      <a:avLst/>
                    </a:prstGeom>
                    <a:noFill/>
                  </pic:spPr>
                </pic:pic>
              </a:graphicData>
            </a:graphic>
          </wp:anchor>
        </w:drawing>
        <w:t>Janet O. Estep</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-1336040</wp:posOffset>
            </wp:positionV>
            <wp:extent cx="1228725" cy="12287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80" w:hanging="195"/>
        <w:spacing w:after="0"/>
        <w:tabs>
          <w:tab w:leader="none" w:pos="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Nominating and Corporate Governance (Chair)</w:t>
      </w:r>
    </w:p>
    <w:p>
      <w:pPr>
        <w:spacing w:after="0" w:line="14" w:lineRule="exact"/>
        <w:rPr>
          <w:rFonts w:ascii="Arial" w:cs="Arial" w:eastAsia="Arial" w:hAnsi="Arial"/>
          <w:sz w:val="15"/>
          <w:szCs w:val="15"/>
          <w:color w:val="auto"/>
        </w:rPr>
      </w:pPr>
    </w:p>
    <w:p>
      <w:pPr>
        <w:ind w:left="380" w:hanging="195"/>
        <w:spacing w:after="0"/>
        <w:tabs>
          <w:tab w:leader="none" w:pos="3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jc w:val="both"/>
        <w:ind w:left="10" w:right="180"/>
        <w:spacing w:after="0" w:line="261" w:lineRule="auto"/>
        <w:rPr>
          <w:sz w:val="20"/>
          <w:szCs w:val="20"/>
          <w:color w:val="auto"/>
        </w:rPr>
      </w:pPr>
      <w:r>
        <w:rPr>
          <w:rFonts w:ascii="Arial" w:cs="Arial" w:eastAsia="Arial" w:hAnsi="Arial"/>
          <w:sz w:val="16"/>
          <w:szCs w:val="16"/>
          <w:b w:val="1"/>
          <w:bCs w:val="1"/>
          <w:color w:val="auto"/>
        </w:rPr>
        <w:t>Ms. Estep</w:t>
      </w:r>
      <w:r>
        <w:rPr>
          <w:rFonts w:ascii="Arial" w:cs="Arial" w:eastAsia="Arial" w:hAnsi="Arial"/>
          <w:sz w:val="16"/>
          <w:szCs w:val="16"/>
          <w:color w:val="auto"/>
        </w:rPr>
        <w:t>, a director of the Company since October 2021, is the former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President of Nacha, the governing body for the US ACH payment network, a position she held from 2008 until 2019.</w:t>
      </w:r>
    </w:p>
    <w:p>
      <w:pPr>
        <w:spacing w:after="0" w:line="27" w:lineRule="exact"/>
        <w:rPr>
          <w:sz w:val="20"/>
          <w:szCs w:val="20"/>
          <w:color w:val="auto"/>
        </w:rPr>
      </w:pPr>
    </w:p>
    <w:p>
      <w:pPr>
        <w:ind w:left="190" w:right="100" w:hanging="190"/>
        <w:spacing w:after="0" w:line="286" w:lineRule="auto"/>
        <w:tabs>
          <w:tab w:leader="none" w:pos="1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Before joining Nacha, Ms. Estep served as Executive Vice President of U.S. Bank’s Transaction Services Division. Ms. Estep previously led the sales and marketing teams of Pace Analytical and was general manager of its major environmental lab location.</w:t>
      </w:r>
    </w:p>
    <w:p>
      <w:pPr>
        <w:spacing w:after="0" w:line="23" w:lineRule="exact"/>
        <w:rPr>
          <w:rFonts w:ascii="Arial" w:cs="Arial" w:eastAsia="Arial" w:hAnsi="Arial"/>
          <w:sz w:val="15"/>
          <w:szCs w:val="15"/>
          <w:color w:val="auto"/>
        </w:rPr>
      </w:pPr>
    </w:p>
    <w:p>
      <w:pPr>
        <w:ind w:left="190" w:right="120" w:hanging="190"/>
        <w:spacing w:after="0" w:line="261"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Before Pace Analytical, Ms. Estep developed extensive technology knowledge through many field and headquarters positions with IBM, managing sales teams and product development for both hardware and software.</w:t>
      </w:r>
    </w:p>
    <w:p>
      <w:pPr>
        <w:spacing w:after="0" w:line="26" w:lineRule="exact"/>
        <w:rPr>
          <w:rFonts w:ascii="Arial" w:cs="Arial" w:eastAsia="Arial" w:hAnsi="Arial"/>
          <w:sz w:val="16"/>
          <w:szCs w:val="16"/>
          <w:color w:val="auto"/>
        </w:rPr>
      </w:pPr>
    </w:p>
    <w:p>
      <w:pPr>
        <w:ind w:left="190" w:right="100" w:hanging="190"/>
        <w:spacing w:after="0" w:line="255"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Ms. Estep received a B.A. in Economics and Psychology from St. Olaf College. She previously served on the board of ACI Worldwide (Chair of the Governance Committee and member of the Audit/Risk Committee), a Nasdaq-listed global payments software provider.</w:t>
      </w:r>
    </w:p>
    <w:p>
      <w:pPr>
        <w:spacing w:after="0" w:line="31" w:lineRule="exact"/>
        <w:rPr>
          <w:rFonts w:ascii="Arial" w:cs="Arial" w:eastAsia="Arial" w:hAnsi="Arial"/>
          <w:sz w:val="16"/>
          <w:szCs w:val="16"/>
          <w:color w:val="auto"/>
        </w:rPr>
      </w:pPr>
    </w:p>
    <w:p>
      <w:pPr>
        <w:ind w:left="190" w:right="20" w:hanging="190"/>
        <w:spacing w:after="0" w:line="252" w:lineRule="auto"/>
        <w:tabs>
          <w:tab w:leader="none" w:pos="1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consider Ms. Estep to be qualified for service on the Board and the committees on which she serves because of her over 35 years as an accomplished executive with experience in financial services and technology in areas such as digital technology, electronic payments, strategic planning, mergers and acquisitions, product development and sales, risk management, and regulatory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107315</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505460</wp:posOffset>
            </wp:positionV>
            <wp:extent cx="7134225" cy="3219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6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Mary E. Zimmer</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165735</wp:posOffset>
            </wp:positionV>
            <wp:extent cx="1228725" cy="1228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63</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80" w:hanging="195"/>
        <w:spacing w:after="0"/>
        <w:tabs>
          <w:tab w:leader="none" w:pos="3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Compensation (Chair)</w:t>
      </w:r>
    </w:p>
    <w:p>
      <w:pPr>
        <w:spacing w:after="0" w:line="2" w:lineRule="exact"/>
        <w:rPr>
          <w:rFonts w:ascii="Arial" w:cs="Arial" w:eastAsia="Arial" w:hAnsi="Arial"/>
          <w:sz w:val="16"/>
          <w:szCs w:val="16"/>
          <w:color w:val="auto"/>
        </w:rPr>
      </w:pPr>
    </w:p>
    <w:p>
      <w:pPr>
        <w:ind w:left="380" w:hanging="195"/>
        <w:spacing w:after="0"/>
        <w:tabs>
          <w:tab w:leader="none" w:pos="3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Nominating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736600</wp:posOffset>
            </wp:positionV>
            <wp:extent cx="593090" cy="1187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0" w:right="520"/>
        <w:spacing w:after="0" w:line="306" w:lineRule="auto"/>
        <w:rPr>
          <w:sz w:val="20"/>
          <w:szCs w:val="20"/>
          <w:color w:val="auto"/>
        </w:rPr>
      </w:pPr>
      <w:r>
        <w:rPr>
          <w:rFonts w:ascii="Arial" w:cs="Arial" w:eastAsia="Arial" w:hAnsi="Arial"/>
          <w:sz w:val="15"/>
          <w:szCs w:val="15"/>
          <w:b w:val="1"/>
          <w:bCs w:val="1"/>
          <w:color w:val="auto"/>
        </w:rPr>
        <w:t>Ms. Zimmer</w:t>
      </w:r>
      <w:r>
        <w:rPr>
          <w:rFonts w:ascii="Arial" w:cs="Arial" w:eastAsia="Arial" w:hAnsi="Arial"/>
          <w:sz w:val="15"/>
          <w:szCs w:val="15"/>
          <w:color w:val="auto"/>
        </w:rPr>
        <w:t>, a director of the Company since October 2021, is the former Regional</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for Wells Fargo Advisors’, or WFA, wealth management business.</w:t>
      </w:r>
    </w:p>
    <w:p>
      <w:pPr>
        <w:jc w:val="both"/>
        <w:ind w:left="190" w:hanging="190"/>
        <w:spacing w:after="0" w:line="261"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her role as Regional President of WFA, Ms. Zimmer led the Northern Region covering ten states across the Midwest and Northwest. Ms. Zimmer later launched and led WFA’s Diverse Client Segments team.</w:t>
      </w:r>
    </w:p>
    <w:p>
      <w:pPr>
        <w:spacing w:after="0" w:line="40" w:lineRule="exact"/>
        <w:rPr>
          <w:rFonts w:ascii="Arial" w:cs="Arial" w:eastAsia="Arial" w:hAnsi="Arial"/>
          <w:sz w:val="16"/>
          <w:szCs w:val="16"/>
          <w:color w:val="auto"/>
        </w:rPr>
      </w:pPr>
    </w:p>
    <w:p>
      <w:pPr>
        <w:ind w:left="190" w:right="160" w:hanging="190"/>
        <w:spacing w:after="0" w:line="261"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Prior to WFA, Ms. Zimmer held leadership roles at Royal Bank of Canada U.S. Wealth Management, including Head of International Wealth USA, Head of Wealth Management Services, and Chief Operating Officer/Chief Administrative Officer.</w:t>
      </w:r>
    </w:p>
    <w:p>
      <w:pPr>
        <w:spacing w:after="0" w:line="26" w:lineRule="exact"/>
        <w:rPr>
          <w:rFonts w:ascii="Arial" w:cs="Arial" w:eastAsia="Arial" w:hAnsi="Arial"/>
          <w:sz w:val="16"/>
          <w:szCs w:val="16"/>
          <w:color w:val="auto"/>
        </w:rPr>
      </w:pPr>
    </w:p>
    <w:p>
      <w:pPr>
        <w:ind w:left="190" w:right="660" w:hanging="190"/>
        <w:spacing w:after="0" w:line="278"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Before beginning her wealth management career, Ms. Zimmer worked in public accounting as a licensed CPA at Arthur Young, now Ernst &amp; Young.</w:t>
      </w:r>
    </w:p>
    <w:p>
      <w:pPr>
        <w:spacing w:after="0" w:line="14" w:lineRule="exact"/>
        <w:rPr>
          <w:rFonts w:ascii="Arial" w:cs="Arial" w:eastAsia="Arial" w:hAnsi="Arial"/>
          <w:sz w:val="16"/>
          <w:szCs w:val="16"/>
          <w:color w:val="auto"/>
        </w:rPr>
      </w:pPr>
    </w:p>
    <w:p>
      <w:pPr>
        <w:ind w:left="190" w:right="180" w:hanging="190"/>
        <w:spacing w:after="0" w:line="261"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Ms. Zimmer received her B.A. in Business and Accounting at the University of Saint Thomas and her M.B.T. in Business Taxation at the University of Minnesota – Carlson School of Management.</w:t>
      </w:r>
    </w:p>
    <w:p>
      <w:pPr>
        <w:spacing w:after="0" w:line="40" w:lineRule="exact"/>
        <w:rPr>
          <w:rFonts w:ascii="Arial" w:cs="Arial" w:eastAsia="Arial" w:hAnsi="Arial"/>
          <w:sz w:val="16"/>
          <w:szCs w:val="16"/>
          <w:color w:val="auto"/>
        </w:rPr>
      </w:pPr>
    </w:p>
    <w:p>
      <w:pPr>
        <w:ind w:left="190" w:right="20" w:hanging="190"/>
        <w:spacing w:after="0" w:line="255" w:lineRule="auto"/>
        <w:tabs>
          <w:tab w:leader="none" w:pos="1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consider Ms. Zimmer to be qualified for service on the Board and the committees on which she serves because she brings over 35 years of experience in financial services with an extensive background in wealth management, capital markets, strategic planning, client segmentation, and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147955</wp:posOffset>
            </wp:positionV>
            <wp:extent cx="71342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659" w:right="339" w:bottom="1440" w:gutter="0" w:footer="0" w:header="0"/>
          <w:type w:val="continuous"/>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type w:val="continuous"/>
        </w:sectPr>
      </w:pPr>
    </w:p>
    <w:bookmarkStart w:id="13" w:name="page14"/>
    <w:bookmarkEnd w:id="13"/>
    <w:p>
      <w:pPr>
        <w:ind w:left="280"/>
        <w:spacing w:after="0"/>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3219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321945"/>
                    </a:xfrm>
                    <a:prstGeom prst="rect">
                      <a:avLst/>
                    </a:prstGeom>
                    <a:noFill/>
                  </pic:spPr>
                </pic:pic>
              </a:graphicData>
            </a:graphic>
          </wp:anchor>
        </w:drawing>
        <w:t>John Uribe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-1336040</wp:posOffset>
            </wp:positionV>
            <wp:extent cx="1228725" cy="1228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2023</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60" w:hanging="175"/>
        <w:spacing w:after="0"/>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Audit</w:t>
      </w:r>
    </w:p>
    <w:p>
      <w:pPr>
        <w:spacing w:after="0" w:line="2" w:lineRule="exact"/>
        <w:rPr>
          <w:rFonts w:ascii="Arial" w:cs="Arial" w:eastAsia="Arial" w:hAnsi="Arial"/>
          <w:sz w:val="16"/>
          <w:szCs w:val="16"/>
          <w:color w:val="auto"/>
        </w:rPr>
      </w:pPr>
    </w:p>
    <w:p>
      <w:pPr>
        <w:ind w:left="380" w:hanging="195"/>
        <w:spacing w:after="0"/>
        <w:tabs>
          <w:tab w:leader="none" w:pos="3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0" w:right="100"/>
        <w:spacing w:after="0" w:line="306" w:lineRule="auto"/>
        <w:rPr>
          <w:sz w:val="20"/>
          <w:szCs w:val="20"/>
          <w:color w:val="auto"/>
        </w:rPr>
      </w:pPr>
      <w:r>
        <w:rPr>
          <w:rFonts w:ascii="Arial" w:cs="Arial" w:eastAsia="Arial" w:hAnsi="Arial"/>
          <w:sz w:val="15"/>
          <w:szCs w:val="15"/>
          <w:b w:val="1"/>
          <w:bCs w:val="1"/>
          <w:color w:val="auto"/>
        </w:rPr>
        <w:t>Mr. Uribe</w:t>
      </w:r>
      <w:r>
        <w:rPr>
          <w:rFonts w:ascii="Arial" w:cs="Arial" w:eastAsia="Arial" w:hAnsi="Arial"/>
          <w:sz w:val="15"/>
          <w:szCs w:val="15"/>
          <w:color w:val="auto"/>
        </w:rPr>
        <w:t>, a director of the Company since December 2023, is the current Chief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Officer at Blue Cross and Blue Shield of Minnesota, a position he has held since 2022.</w:t>
      </w:r>
    </w:p>
    <w:p>
      <w:pPr>
        <w:ind w:left="190" w:right="180" w:hanging="190"/>
        <w:spacing w:after="0" w:line="25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Prior to his appointment as Chief Financial Officer at Blue Cross and Blue Shield of Minnesota, Mr. Uribe served as Vice President of Corporate Development and Interim Treasurer since 2012. Before joining Blue Cross, Mr. Uribe served in various finance leadership roles at RedBrick Health, GE Commercial Finance-Fleet Services, Schwann’s, and General Mills.</w:t>
      </w:r>
    </w:p>
    <w:p>
      <w:pPr>
        <w:spacing w:after="0" w:line="48" w:lineRule="exact"/>
        <w:rPr>
          <w:rFonts w:ascii="Arial" w:cs="Arial" w:eastAsia="Arial" w:hAnsi="Arial"/>
          <w:sz w:val="16"/>
          <w:szCs w:val="16"/>
          <w:color w:val="auto"/>
        </w:rPr>
      </w:pPr>
    </w:p>
    <w:p>
      <w:pPr>
        <w:ind w:left="190" w:hanging="190"/>
        <w:spacing w:after="0"/>
        <w:tabs>
          <w:tab w:leader="none" w:pos="1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Uribe is a board member of the Bakken Museum.</w:t>
      </w:r>
    </w:p>
    <w:p>
      <w:pPr>
        <w:spacing w:after="0" w:line="69" w:lineRule="exact"/>
        <w:rPr>
          <w:rFonts w:ascii="Arial" w:cs="Arial" w:eastAsia="Arial" w:hAnsi="Arial"/>
          <w:sz w:val="16"/>
          <w:szCs w:val="16"/>
          <w:color w:val="auto"/>
        </w:rPr>
      </w:pPr>
    </w:p>
    <w:p>
      <w:pPr>
        <w:ind w:left="190" w:right="760" w:hanging="190"/>
        <w:spacing w:after="0" w:line="278"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Mr. Uribe holds a bachelor’s degree in accounting and an MBA in finance and international business from Indiana University Bloomington.</w:t>
      </w:r>
    </w:p>
    <w:p>
      <w:pPr>
        <w:spacing w:after="0" w:line="14" w:lineRule="exact"/>
        <w:rPr>
          <w:rFonts w:ascii="Arial" w:cs="Arial" w:eastAsia="Arial" w:hAnsi="Arial"/>
          <w:sz w:val="16"/>
          <w:szCs w:val="16"/>
          <w:color w:val="auto"/>
        </w:rPr>
      </w:pPr>
    </w:p>
    <w:p>
      <w:pPr>
        <w:ind w:left="190" w:right="40" w:hanging="190"/>
        <w:spacing w:after="0" w:line="255"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consider Mr. Uribe to be qualified for service on the Board and the committees on which he serves because of his more than 30 years of financial and strategic leadership experience with expertise in mergers and acquisitions, financial planning and analysis, and general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105410</wp:posOffset>
            </wp:positionV>
            <wp:extent cx="71342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-3049270</wp:posOffset>
            </wp:positionH>
            <wp:positionV relativeFrom="paragraph">
              <wp:posOffset>232410</wp:posOffset>
            </wp:positionV>
            <wp:extent cx="7134225" cy="321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225" cy="3219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659" w:right="339" w:bottom="1440" w:gutter="0" w:footer="0" w:header="0"/>
          <w:type w:val="continuous"/>
        </w:sectPr>
      </w:pPr>
    </w:p>
    <w:p>
      <w:pPr>
        <w:spacing w:after="0" w:line="232" w:lineRule="exact"/>
        <w:rPr>
          <w:sz w:val="20"/>
          <w:szCs w:val="20"/>
          <w:color w:val="auto"/>
        </w:rPr>
      </w:pPr>
    </w:p>
    <w:p>
      <w:pPr>
        <w:ind w:left="280"/>
        <w:spacing w:after="0"/>
        <w:rPr>
          <w:sz w:val="20"/>
          <w:szCs w:val="20"/>
          <w:color w:val="auto"/>
        </w:rPr>
      </w:pPr>
      <w:r>
        <w:rPr>
          <w:rFonts w:ascii="Arial" w:cs="Arial" w:eastAsia="Arial" w:hAnsi="Arial"/>
          <w:sz w:val="16"/>
          <w:szCs w:val="16"/>
          <w:color w:val="FFFFFF"/>
        </w:rPr>
        <w:t>Nikki L. Sorum</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165735</wp:posOffset>
            </wp:positionV>
            <wp:extent cx="1228725" cy="1228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 xml:space="preserve">Director since: </w:t>
      </w:r>
      <w:r>
        <w:rPr>
          <w:rFonts w:ascii="Arial" w:cs="Arial" w:eastAsia="Arial" w:hAnsi="Arial"/>
          <w:sz w:val="15"/>
          <w:szCs w:val="15"/>
          <w:color w:val="auto"/>
        </w:rPr>
        <w:t>2023</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80" w:hanging="195"/>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 w:lineRule="exact"/>
        <w:rPr>
          <w:rFonts w:ascii="Arial" w:cs="Arial" w:eastAsia="Arial" w:hAnsi="Arial"/>
          <w:sz w:val="16"/>
          <w:szCs w:val="16"/>
          <w:color w:val="auto"/>
        </w:rPr>
      </w:pPr>
    </w:p>
    <w:p>
      <w:pPr>
        <w:ind w:left="380" w:hanging="195"/>
        <w:spacing w:after="0"/>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568325</wp:posOffset>
            </wp:positionV>
            <wp:extent cx="593090" cy="1187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 w:right="60"/>
        <w:spacing w:after="0" w:line="255" w:lineRule="auto"/>
        <w:rPr>
          <w:sz w:val="20"/>
          <w:szCs w:val="20"/>
          <w:color w:val="auto"/>
        </w:rPr>
      </w:pPr>
      <w:r>
        <w:rPr>
          <w:rFonts w:ascii="Arial" w:cs="Arial" w:eastAsia="Arial" w:hAnsi="Arial"/>
          <w:sz w:val="16"/>
          <w:szCs w:val="16"/>
          <w:b w:val="1"/>
          <w:bCs w:val="1"/>
          <w:color w:val="auto"/>
        </w:rPr>
        <w:t>Ms. Sorum</w:t>
      </w:r>
      <w:r>
        <w:rPr>
          <w:rFonts w:ascii="Arial" w:cs="Arial" w:eastAsia="Arial" w:hAnsi="Arial"/>
          <w:sz w:val="16"/>
          <w:szCs w:val="16"/>
          <w:color w:val="auto"/>
        </w:rPr>
        <w:t>, a director of the Company since December 2023, brings 40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as a leader in the financial services industry. She was an executive at Thrivent for two decades, including leading Sales and Distribution, a position she held from 2020 until 2023.</w:t>
      </w:r>
    </w:p>
    <w:p>
      <w:pPr>
        <w:spacing w:after="0" w:line="32" w:lineRule="exact"/>
        <w:rPr>
          <w:sz w:val="20"/>
          <w:szCs w:val="20"/>
          <w:color w:val="auto"/>
        </w:rPr>
      </w:pPr>
    </w:p>
    <w:p>
      <w:pPr>
        <w:ind w:left="190" w:right="220" w:hanging="190"/>
        <w:spacing w:after="0" w:line="261"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Prior to her time at Thrivent, Ms. Sorum served in Senior Vice President roles at RBC Wealth Management and was a partner at McKinsey &amp; Co. in London, Chicago and Minneapolis.</w:t>
      </w:r>
    </w:p>
    <w:p>
      <w:pPr>
        <w:spacing w:after="0" w:line="40" w:lineRule="exact"/>
        <w:rPr>
          <w:rFonts w:ascii="Arial" w:cs="Arial" w:eastAsia="Arial" w:hAnsi="Arial"/>
          <w:sz w:val="16"/>
          <w:szCs w:val="16"/>
          <w:color w:val="auto"/>
        </w:rPr>
      </w:pPr>
    </w:p>
    <w:p>
      <w:pPr>
        <w:jc w:val="both"/>
        <w:ind w:left="190" w:right="500" w:hanging="190"/>
        <w:spacing w:after="0" w:line="261"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Sorum currently serves on the board of Foresters Financial (member of Audit Committee and Risk and Investments Committee), a multi-national life insurance company based in Toronto, Canada.</w:t>
      </w:r>
    </w:p>
    <w:p>
      <w:pPr>
        <w:spacing w:after="0" w:line="26" w:lineRule="exact"/>
        <w:rPr>
          <w:rFonts w:ascii="Arial" w:cs="Arial" w:eastAsia="Arial" w:hAnsi="Arial"/>
          <w:sz w:val="16"/>
          <w:szCs w:val="16"/>
          <w:color w:val="auto"/>
        </w:rPr>
      </w:pPr>
    </w:p>
    <w:p>
      <w:pPr>
        <w:ind w:left="190" w:right="280" w:hanging="190"/>
        <w:spacing w:after="0" w:line="278"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Ms. Sorum holds a bachelor’s degree in economics from the University of Minnesota Twin Cities and an MBA from Harvard Business School.</w:t>
      </w:r>
    </w:p>
    <w:p>
      <w:pPr>
        <w:spacing w:after="0" w:line="14" w:lineRule="exact"/>
        <w:rPr>
          <w:rFonts w:ascii="Arial" w:cs="Arial" w:eastAsia="Arial" w:hAnsi="Arial"/>
          <w:sz w:val="16"/>
          <w:szCs w:val="16"/>
          <w:color w:val="auto"/>
        </w:rPr>
      </w:pPr>
    </w:p>
    <w:p>
      <w:pPr>
        <w:ind w:left="190" w:right="80" w:hanging="190"/>
        <w:spacing w:after="0" w:line="255" w:lineRule="auto"/>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consider Ms. Sorum to be qualified for service on the Board and the committees on which she serves because of her 40 years of experience as a leader in the financial services industry with deep experience in wealth management services, talent management, strategic planning,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156210</wp:posOffset>
            </wp:positionV>
            <wp:extent cx="71342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659" w:right="339" w:bottom="1440" w:gutter="0" w:footer="0" w:header="0"/>
          <w:type w:val="continuous"/>
        </w:sect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type w:val="continuous"/>
        </w:sectPr>
      </w:pPr>
    </w:p>
    <w:bookmarkStart w:id="14" w:name="page15"/>
    <w:bookmarkEnd w:id="14"/>
    <w:p>
      <w:pPr>
        <w:ind w:left="280"/>
        <w:spacing w:after="0"/>
        <w:rPr>
          <w:sz w:val="20"/>
          <w:szCs w:val="20"/>
          <w:color w:val="auto"/>
        </w:rPr>
      </w:pPr>
      <w:r>
        <w:rPr>
          <w:rFonts w:ascii="Arial" w:cs="Arial" w:eastAsia="Arial" w:hAnsi="Arial"/>
          <w:sz w:val="15"/>
          <w:szCs w:val="15"/>
          <w:color w:val="FFFFFF"/>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3219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225" cy="321945"/>
                    </a:xfrm>
                    <a:prstGeom prst="rect">
                      <a:avLst/>
                    </a:prstGeom>
                    <a:noFill/>
                  </pic:spPr>
                </pic:pic>
              </a:graphicData>
            </a:graphic>
          </wp:anchor>
        </w:drawing>
        <w:t>Jeffrey W. Bolton</w:t>
      </w:r>
    </w:p>
    <w:p>
      <w:pPr>
        <w:spacing w:after="0" w:line="33" w:lineRule="exact"/>
        <w:rPr>
          <w:sz w:val="20"/>
          <w:szCs w:val="20"/>
          <w:color w:val="auto"/>
        </w:rPr>
      </w:pPr>
    </w:p>
    <w:p>
      <w:pPr>
        <w:ind w:left="280"/>
        <w:spacing w:after="0"/>
        <w:rPr>
          <w:sz w:val="20"/>
          <w:szCs w:val="20"/>
          <w:color w:val="auto"/>
        </w:rPr>
      </w:pPr>
      <w:r>
        <w:rPr>
          <w:rFonts w:ascii="Arial" w:cs="Arial" w:eastAsia="Arial" w:hAnsi="Arial"/>
          <w:sz w:val="14"/>
          <w:szCs w:val="14"/>
          <w:color w:val="1AB2D2"/>
        </w:rPr>
        <w:t>Director</w:t>
      </w:r>
    </w:p>
    <w:p>
      <w:pPr>
        <w:sectPr>
          <w:pgSz w:w="11900" w:h="16838" w:orient="portrait"/>
          <w:cols w:equalWidth="0" w:num="1">
            <w:col w:w="11240"/>
          </w:cols>
          <w:pgMar w:left="320" w:top="6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-1336040</wp:posOffset>
            </wp:positionV>
            <wp:extent cx="1228725" cy="12287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Committees:</w:t>
      </w:r>
    </w:p>
    <w:p>
      <w:pPr>
        <w:spacing w:after="0" w:line="3" w:lineRule="exact"/>
        <w:rPr>
          <w:sz w:val="20"/>
          <w:szCs w:val="20"/>
          <w:color w:val="auto"/>
        </w:rPr>
      </w:pPr>
    </w:p>
    <w:p>
      <w:pPr>
        <w:ind w:left="380" w:hanging="195"/>
        <w:spacing w:after="0"/>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2" w:lineRule="exact"/>
        <w:rPr>
          <w:rFonts w:ascii="Arial" w:cs="Arial" w:eastAsia="Arial" w:hAnsi="Arial"/>
          <w:sz w:val="16"/>
          <w:szCs w:val="16"/>
          <w:color w:val="auto"/>
        </w:rPr>
      </w:pPr>
    </w:p>
    <w:p>
      <w:pPr>
        <w:ind w:left="360" w:hanging="175"/>
        <w:spacing w:after="0"/>
        <w:tabs>
          <w:tab w:leader="none" w:pos="3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Audit</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Other public boards:</w:t>
      </w:r>
    </w:p>
    <w:p>
      <w:pPr>
        <w:spacing w:after="0" w:line="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Enhabit Home Health and Hospice</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10" w:right="60"/>
        <w:spacing w:after="0" w:line="250" w:lineRule="auto"/>
        <w:rPr>
          <w:sz w:val="20"/>
          <w:szCs w:val="20"/>
          <w:color w:val="auto"/>
        </w:rPr>
      </w:pPr>
      <w:r>
        <w:rPr>
          <w:rFonts w:ascii="Arial" w:cs="Arial" w:eastAsia="Arial" w:hAnsi="Arial"/>
          <w:sz w:val="16"/>
          <w:szCs w:val="16"/>
          <w:b w:val="1"/>
          <w:bCs w:val="1"/>
          <w:color w:val="auto"/>
        </w:rPr>
        <w:t>Mr. Bolton</w:t>
      </w:r>
      <w:r>
        <w:rPr>
          <w:rFonts w:ascii="Arial" w:cs="Arial" w:eastAsia="Arial" w:hAnsi="Arial"/>
          <w:sz w:val="16"/>
          <w:szCs w:val="16"/>
          <w:color w:val="auto"/>
        </w:rPr>
        <w:t>, a director of the Company since October 2024 who joined the Board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Company's acquisition of HMN Financial, Inc., has served as an independent consultant for health services and economic development firms since February 2022. Mr. Bolton is currently the CEO of Bolton Advisory, LLC. Previously, he served as chief administrative officer of the Mayo Clinic from 2013 to 2021 and as its chief financial officer from 2002 to 2013.</w:t>
      </w:r>
    </w:p>
    <w:p>
      <w:pPr>
        <w:spacing w:after="0" w:line="38" w:lineRule="exact"/>
        <w:rPr>
          <w:sz w:val="20"/>
          <w:szCs w:val="20"/>
          <w:color w:val="auto"/>
        </w:rPr>
      </w:pPr>
    </w:p>
    <w:p>
      <w:pPr>
        <w:ind w:left="190" w:right="100" w:hanging="190"/>
        <w:spacing w:after="0" w:line="261"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to working for the Mayo Clinic, Mr. Bolton held various business and finance-related positions at Carnegie Mellon University, including chief financial officer and vice president for business and planning.</w:t>
      </w:r>
    </w:p>
    <w:p>
      <w:pPr>
        <w:spacing w:after="0" w:line="40" w:lineRule="exact"/>
        <w:rPr>
          <w:rFonts w:ascii="Arial" w:cs="Arial" w:eastAsia="Arial" w:hAnsi="Arial"/>
          <w:sz w:val="16"/>
          <w:szCs w:val="16"/>
          <w:color w:val="auto"/>
        </w:rPr>
      </w:pPr>
    </w:p>
    <w:p>
      <w:pPr>
        <w:ind w:left="190" w:hanging="190"/>
        <w:spacing w:after="0" w:line="25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Bolton currently serves as chair of the board of Enhabit Home Health and Hospice (Audit and Finance Committee and Nominating and Corporate Governance Committee), a NYSE-listed company. Mr. Bolton previously served on the board of directors of HMN Financial, Inc. (chair of Audit Committee and member of Governance and Nominating committee), a Nasdaq-listed financial institution holding company.</w:t>
      </w:r>
    </w:p>
    <w:p>
      <w:pPr>
        <w:spacing w:after="0" w:line="34" w:lineRule="exact"/>
        <w:rPr>
          <w:rFonts w:ascii="Arial" w:cs="Arial" w:eastAsia="Arial" w:hAnsi="Arial"/>
          <w:sz w:val="16"/>
          <w:szCs w:val="16"/>
          <w:color w:val="auto"/>
        </w:rPr>
      </w:pPr>
    </w:p>
    <w:p>
      <w:pPr>
        <w:ind w:left="190" w:right="120" w:hanging="190"/>
        <w:spacing w:after="0" w:line="306" w:lineRule="auto"/>
        <w:tabs>
          <w:tab w:leader="none" w:pos="1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Mr. Bolton holds a bachelor’s degree from Pennsylvania State University, and master’s degrees in business administration and social work from the University of Pittsburgh.</w:t>
      </w:r>
    </w:p>
    <w:p>
      <w:pPr>
        <w:ind w:left="190" w:right="140" w:hanging="190"/>
        <w:spacing w:after="0" w:line="255"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consider Mr. Bolton to be qualified for service on the Board and the committees on which he serves because of vast experience in various financial leadership roles, prior experience as a director on the board of another publicly traded financial institution holding company and experience in strategic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105410</wp:posOffset>
            </wp:positionV>
            <wp:extent cx="71342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90" w:space="720"/>
            <w:col w:w="6430"/>
          </w:cols>
          <w:pgMar w:left="320" w:top="659" w:right="339"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1AB2D2"/>
        </w:rPr>
        <w:t>BOARD DIVERSITY</w:t>
      </w:r>
    </w:p>
    <w:p>
      <w:pPr>
        <w:spacing w:after="0" w:line="70"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In assessing Board composition and prior to nominating an existing director for re-election to the Board, the Nominating and Corporate Governance Committee considers and reviews a number of attributes with respect to each existing director, including diversity of experience, skills and contributions that the existing director brings to the Board. Our Board is comprised of nine directors, five of whom identify as male and four of whom identify as female. One of the male directors identifies as Hispanic or Latinx.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593090" cy="1187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9"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8"/>
          <w:szCs w:val="28"/>
          <w:color w:val="062B48"/>
        </w:rPr>
        <w:t>Corporate Governance and The Board of Directors</w:t>
      </w:r>
    </w:p>
    <w:p>
      <w:pPr>
        <w:spacing w:after="0" w:line="24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We currently have nine directors serving on our Board, a majority of whom we have determined to be “independent,” as that term is defined by the Nasdaq Stock Market (“Nasdaq”). Our Board has evaluated the independence of its members based upon the rules of Nasdaq and the SEC. Applying these standards and based on information provided by each director concerning his or her background, employment and affiliations, our Board has affirmatively determined that, with the exception of Ms. Lorenson, each of our current directors is an independent director, as defined under the applicable rules. The Board determined that Ms. Lorenson does not qualify as an independent director because she is an executive officer of the Company and the Bank.</w:t>
      </w:r>
    </w:p>
    <w:p>
      <w:pPr>
        <w:spacing w:after="0" w:line="18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Generally, the Board oversees our business and monitors the performance of our management. In accordance with our corporate governance procedures, the Board does not involve itself in the day-to-day operations of the Company, which are monitored by our executive officers and management. Our directors fulfill their duties and responsibilities by attending regular meetings of the full Board, with additional special meetings held from time to time. Our directors also discuss business and other matters with Ms. Lorenson, other key executives and our principal external advisers (legal counsel, auditors and other consultants) at times other than regularly scheduled meetings when appropriate.</w:t>
      </w:r>
    </w:p>
    <w:p>
      <w:pPr>
        <w:spacing w:after="0" w:line="182"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Board has established standing committees in connection with the discharge of its responsibilities. These committees include the Audit Committee, Compensation Committee, Nominating and Corporate Governance Committee and Risk Committee. Our Board also may establish such other committees as it deems appropriate, in accordance with applicable laws and regulations, our Certificate of Incorporation and Bylaws.</w:t>
      </w:r>
    </w:p>
    <w:p>
      <w:pPr>
        <w:spacing w:after="0" w:line="174"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current charters of the Audit Committee, Compensation Committee, Nominating and Corporate Governance Committee and Risk Committee are available on the Company’s website at investors.alerus.com.</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1AB2D2"/>
        </w:rPr>
        <w:t>BOARD AND COMMITTEE MEETINGS</w:t>
      </w:r>
    </w:p>
    <w:p>
      <w:pPr>
        <w:spacing w:after="0" w:line="83"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During the fiscal year ended December 31, 2025, the Board held four regular meetings and three special meetings. During 2025, all directors attended all regular and special Board meetings and all committee meetings for the committees on which they served. In 2026, the full Board intends to meet at least four times with special meetings held from time to time when necessary and through committee membership, which is discussed below.</w:t>
      </w:r>
    </w:p>
    <w:p>
      <w:pPr>
        <w:spacing w:after="0" w:line="174"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The Board also regularly holds executive sessions of the independent members of the Board, without inside directors or executive management present. Our independent Chairman, Mr. Coughlin, serves as Chairman at these executive sessions. The Chairman is responsible for coordinating with the Chief Executive Officer to set the agenda for Board meetings and advising the Chief Executive Officer on various Board matters.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1AB2D2"/>
        </w:rPr>
        <w:t>COMMITTEE STRUCTURE</w:t>
      </w:r>
    </w:p>
    <w:p>
      <w:pPr>
        <w:spacing w:after="0" w:line="70" w:lineRule="exact"/>
        <w:rPr>
          <w:sz w:val="20"/>
          <w:szCs w:val="20"/>
          <w:color w:val="auto"/>
        </w:rPr>
      </w:pPr>
    </w:p>
    <w:p>
      <w:pPr>
        <w:ind w:right="180"/>
        <w:spacing w:after="0" w:line="249" w:lineRule="auto"/>
        <w:rPr>
          <w:sz w:val="20"/>
          <w:szCs w:val="20"/>
          <w:color w:val="auto"/>
        </w:rPr>
      </w:pPr>
      <w:r>
        <w:rPr>
          <w:rFonts w:ascii="Arial" w:cs="Arial" w:eastAsia="Arial" w:hAnsi="Arial"/>
          <w:sz w:val="16"/>
          <w:szCs w:val="16"/>
          <w:color w:val="auto"/>
        </w:rPr>
        <w:t>The Board exercises certain of its powers through the following committees: Audit Committee, Compensation Committee, Nominating and Corporate Governance Committee, and Risk Committee. Each committee has a charter that addresses its purpose, authority, and responsibilities and contains other provisions relating to membership and meeting requirements. As required by its charter, each committee annually reviews and assesses its charter, but may recommend amendments at any time. In addition, each charter requires the committee to annually review its performance. Each committee has the authority to engage outside advisors to the extent it considers appropriate to assist the committee in its work. Each committee is comprised of independent directors only, and each independent director sits on at least two committees. Each committee chair reports to the full Board on the matters undertaken at each committee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593090" cy="1187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following table summarizes the current membership of each of the committees of the Board: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30" w:type="dxa"/>
            <w:vAlign w:val="bottom"/>
            <w:shd w:val="clear" w:color="auto" w:fill="062B48"/>
          </w:tcPr>
          <w:p>
            <w:pPr>
              <w:spacing w:after="0"/>
              <w:rPr>
                <w:sz w:val="16"/>
                <w:szCs w:val="16"/>
                <w:color w:val="auto"/>
              </w:rPr>
            </w:pPr>
          </w:p>
        </w:tc>
        <w:tc>
          <w:tcPr>
            <w:tcW w:w="1830" w:type="dxa"/>
            <w:vAlign w:val="bottom"/>
            <w:shd w:val="clear" w:color="auto" w:fill="062B48"/>
          </w:tcPr>
          <w:p>
            <w:pPr>
              <w:spacing w:after="0"/>
              <w:rPr>
                <w:sz w:val="16"/>
                <w:szCs w:val="16"/>
                <w:color w:val="auto"/>
              </w:rPr>
            </w:pPr>
          </w:p>
        </w:tc>
        <w:tc>
          <w:tcPr>
            <w:tcW w:w="2040" w:type="dxa"/>
            <w:vAlign w:val="bottom"/>
            <w:shd w:val="clear" w:color="auto" w:fill="062B48"/>
          </w:tcPr>
          <w:p>
            <w:pPr>
              <w:spacing w:after="0"/>
              <w:rPr>
                <w:sz w:val="16"/>
                <w:szCs w:val="16"/>
                <w:color w:val="auto"/>
              </w:rPr>
            </w:pPr>
          </w:p>
        </w:tc>
        <w:tc>
          <w:tcPr>
            <w:tcW w:w="212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NOMINATING AND</w:t>
            </w:r>
          </w:p>
        </w:tc>
        <w:tc>
          <w:tcPr>
            <w:tcW w:w="1620" w:type="dxa"/>
            <w:vAlign w:val="bottom"/>
            <w:shd w:val="clear" w:color="auto" w:fill="062B48"/>
          </w:tcPr>
          <w:p>
            <w:pPr>
              <w:spacing w:after="0"/>
              <w:rPr>
                <w:sz w:val="16"/>
                <w:szCs w:val="16"/>
                <w:color w:val="auto"/>
              </w:rPr>
            </w:pPr>
          </w:p>
        </w:tc>
      </w:tr>
      <w:tr>
        <w:trPr>
          <w:trHeight w:val="179"/>
        </w:trPr>
        <w:tc>
          <w:tcPr>
            <w:tcW w:w="3630" w:type="dxa"/>
            <w:vAlign w:val="bottom"/>
            <w:shd w:val="clear" w:color="auto" w:fill="062B48"/>
          </w:tcPr>
          <w:p>
            <w:pPr>
              <w:spacing w:after="0"/>
              <w:rPr>
                <w:sz w:val="15"/>
                <w:szCs w:val="15"/>
                <w:color w:val="auto"/>
              </w:rPr>
            </w:pPr>
          </w:p>
        </w:tc>
        <w:tc>
          <w:tcPr>
            <w:tcW w:w="1830" w:type="dxa"/>
            <w:vAlign w:val="bottom"/>
            <w:shd w:val="clear" w:color="auto" w:fill="062B48"/>
          </w:tcPr>
          <w:p>
            <w:pPr>
              <w:spacing w:after="0"/>
              <w:rPr>
                <w:sz w:val="15"/>
                <w:szCs w:val="15"/>
                <w:color w:val="auto"/>
              </w:rPr>
            </w:pPr>
          </w:p>
        </w:tc>
        <w:tc>
          <w:tcPr>
            <w:tcW w:w="2040" w:type="dxa"/>
            <w:vAlign w:val="bottom"/>
            <w:shd w:val="clear" w:color="auto" w:fill="062B48"/>
          </w:tcPr>
          <w:p>
            <w:pPr>
              <w:spacing w:after="0"/>
              <w:rPr>
                <w:sz w:val="15"/>
                <w:szCs w:val="15"/>
                <w:color w:val="auto"/>
              </w:rPr>
            </w:pPr>
          </w:p>
        </w:tc>
        <w:tc>
          <w:tcPr>
            <w:tcW w:w="212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CORPORATE</w:t>
            </w:r>
          </w:p>
        </w:tc>
        <w:tc>
          <w:tcPr>
            <w:tcW w:w="1620" w:type="dxa"/>
            <w:vAlign w:val="bottom"/>
            <w:shd w:val="clear" w:color="auto" w:fill="062B48"/>
          </w:tcPr>
          <w:p>
            <w:pPr>
              <w:spacing w:after="0"/>
              <w:rPr>
                <w:sz w:val="15"/>
                <w:szCs w:val="15"/>
                <w:color w:val="auto"/>
              </w:rPr>
            </w:pPr>
          </w:p>
        </w:tc>
      </w:tr>
      <w:tr>
        <w:trPr>
          <w:trHeight w:val="200"/>
        </w:trPr>
        <w:tc>
          <w:tcPr>
            <w:tcW w:w="3630" w:type="dxa"/>
            <w:vAlign w:val="bottom"/>
            <w:shd w:val="clear" w:color="auto" w:fill="062B48"/>
          </w:tcPr>
          <w:p>
            <w:pPr>
              <w:spacing w:after="0"/>
              <w:rPr>
                <w:sz w:val="17"/>
                <w:szCs w:val="17"/>
                <w:color w:val="auto"/>
              </w:rPr>
            </w:pPr>
          </w:p>
        </w:tc>
        <w:tc>
          <w:tcPr>
            <w:tcW w:w="1830" w:type="dxa"/>
            <w:vAlign w:val="bottom"/>
            <w:shd w:val="clear" w:color="auto" w:fill="062B48"/>
          </w:tcPr>
          <w:p>
            <w:pPr>
              <w:jc w:val="center"/>
              <w:ind w:left="19"/>
              <w:spacing w:after="0"/>
              <w:rPr>
                <w:sz w:val="20"/>
                <w:szCs w:val="20"/>
                <w:color w:val="auto"/>
              </w:rPr>
            </w:pPr>
            <w:r>
              <w:rPr>
                <w:rFonts w:ascii="Calibri" w:cs="Calibri" w:eastAsia="Calibri" w:hAnsi="Calibri"/>
                <w:sz w:val="14"/>
                <w:szCs w:val="14"/>
                <w:b w:val="1"/>
                <w:bCs w:val="1"/>
                <w:color w:val="FFFFFF"/>
              </w:rPr>
              <w:t>AUDIT</w:t>
            </w:r>
          </w:p>
        </w:tc>
        <w:tc>
          <w:tcPr>
            <w:tcW w:w="2040" w:type="dxa"/>
            <w:vAlign w:val="bottom"/>
            <w:shd w:val="clear" w:color="auto" w:fill="062B48"/>
          </w:tcPr>
          <w:p>
            <w:pPr>
              <w:jc w:val="center"/>
              <w:ind w:left="9"/>
              <w:spacing w:after="0"/>
              <w:rPr>
                <w:sz w:val="20"/>
                <w:szCs w:val="20"/>
                <w:color w:val="auto"/>
              </w:rPr>
            </w:pPr>
            <w:r>
              <w:rPr>
                <w:rFonts w:ascii="Calibri" w:cs="Calibri" w:eastAsia="Calibri" w:hAnsi="Calibri"/>
                <w:sz w:val="14"/>
                <w:szCs w:val="14"/>
                <w:b w:val="1"/>
                <w:bCs w:val="1"/>
                <w:color w:val="FFFFFF"/>
                <w:w w:val="98"/>
              </w:rPr>
              <w:t>COMPENSATION</w:t>
            </w:r>
          </w:p>
        </w:tc>
        <w:tc>
          <w:tcPr>
            <w:tcW w:w="212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GOVERNANCE</w:t>
            </w:r>
          </w:p>
        </w:tc>
        <w:tc>
          <w:tcPr>
            <w:tcW w:w="1620" w:type="dxa"/>
            <w:vAlign w:val="bottom"/>
            <w:shd w:val="clear" w:color="auto" w:fill="062B48"/>
          </w:tcPr>
          <w:p>
            <w:pPr>
              <w:jc w:val="center"/>
              <w:ind w:left="49"/>
              <w:spacing w:after="0"/>
              <w:rPr>
                <w:sz w:val="20"/>
                <w:szCs w:val="20"/>
                <w:color w:val="auto"/>
              </w:rPr>
            </w:pPr>
            <w:r>
              <w:rPr>
                <w:rFonts w:ascii="Calibri" w:cs="Calibri" w:eastAsia="Calibri" w:hAnsi="Calibri"/>
                <w:sz w:val="14"/>
                <w:szCs w:val="14"/>
                <w:b w:val="1"/>
                <w:bCs w:val="1"/>
                <w:color w:val="FFFFFF"/>
              </w:rPr>
              <w:t>RISK</w:t>
            </w:r>
          </w:p>
        </w:tc>
      </w:tr>
      <w:tr>
        <w:trPr>
          <w:trHeight w:val="213"/>
        </w:trPr>
        <w:tc>
          <w:tcPr>
            <w:tcW w:w="3630" w:type="dxa"/>
            <w:vAlign w:val="bottom"/>
            <w:tcBorders>
              <w:bottom w:val="single" w:sz="8" w:color="062B48"/>
            </w:tcBorders>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DIRECTOR NAME</w:t>
            </w:r>
          </w:p>
        </w:tc>
        <w:tc>
          <w:tcPr>
            <w:tcW w:w="1830" w:type="dxa"/>
            <w:vAlign w:val="bottom"/>
            <w:tcBorders>
              <w:bottom w:val="single" w:sz="8" w:color="062B48"/>
            </w:tcBorders>
            <w:shd w:val="clear" w:color="auto" w:fill="062B48"/>
          </w:tcPr>
          <w:p>
            <w:pPr>
              <w:jc w:val="center"/>
              <w:ind w:left="19"/>
              <w:spacing w:after="0"/>
              <w:rPr>
                <w:sz w:val="20"/>
                <w:szCs w:val="20"/>
                <w:color w:val="auto"/>
              </w:rPr>
            </w:pPr>
            <w:r>
              <w:rPr>
                <w:rFonts w:ascii="Calibri" w:cs="Calibri" w:eastAsia="Calibri" w:hAnsi="Calibri"/>
                <w:sz w:val="14"/>
                <w:szCs w:val="14"/>
                <w:b w:val="1"/>
                <w:bCs w:val="1"/>
                <w:color w:val="FFFFFF"/>
              </w:rPr>
              <w:t>COMMITTEE</w:t>
            </w:r>
          </w:p>
        </w:tc>
        <w:tc>
          <w:tcPr>
            <w:tcW w:w="204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COMMITTEE</w:t>
            </w:r>
          </w:p>
        </w:tc>
        <w:tc>
          <w:tcPr>
            <w:tcW w:w="212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9"/>
              </w:rPr>
              <w:t>COMMITTEE</w:t>
            </w:r>
          </w:p>
        </w:tc>
        <w:tc>
          <w:tcPr>
            <w:tcW w:w="1620" w:type="dxa"/>
            <w:vAlign w:val="bottom"/>
            <w:tcBorders>
              <w:bottom w:val="single" w:sz="8" w:color="062B48"/>
            </w:tcBorders>
            <w:shd w:val="clear" w:color="auto" w:fill="062B48"/>
          </w:tcPr>
          <w:p>
            <w:pPr>
              <w:jc w:val="center"/>
              <w:ind w:left="49"/>
              <w:spacing w:after="0"/>
              <w:rPr>
                <w:sz w:val="20"/>
                <w:szCs w:val="20"/>
                <w:color w:val="auto"/>
              </w:rPr>
            </w:pPr>
            <w:r>
              <w:rPr>
                <w:rFonts w:ascii="Calibri" w:cs="Calibri" w:eastAsia="Calibri" w:hAnsi="Calibri"/>
                <w:sz w:val="14"/>
                <w:szCs w:val="14"/>
                <w:b w:val="1"/>
                <w:bCs w:val="1"/>
                <w:color w:val="FFFFFF"/>
              </w:rPr>
              <w:t>COMMITTEE</w:t>
            </w:r>
          </w:p>
        </w:tc>
      </w:tr>
      <w:tr>
        <w:trPr>
          <w:trHeight w:val="169"/>
        </w:trPr>
        <w:tc>
          <w:tcPr>
            <w:tcW w:w="3630" w:type="dxa"/>
            <w:vAlign w:val="bottom"/>
          </w:tcPr>
          <w:p>
            <w:pPr>
              <w:ind w:left="160"/>
              <w:spacing w:after="0" w:line="169" w:lineRule="exact"/>
              <w:rPr>
                <w:sz w:val="20"/>
                <w:szCs w:val="20"/>
                <w:color w:val="auto"/>
              </w:rPr>
            </w:pPr>
            <w:r>
              <w:rPr>
                <w:rFonts w:ascii="Calibri" w:cs="Calibri" w:eastAsia="Calibri" w:hAnsi="Calibri"/>
                <w:sz w:val="14"/>
                <w:szCs w:val="14"/>
                <w:color w:val="auto"/>
              </w:rPr>
              <w:t>Daniel E. Coughlin</w:t>
            </w:r>
          </w:p>
        </w:tc>
        <w:tc>
          <w:tcPr>
            <w:tcW w:w="1830" w:type="dxa"/>
            <w:vAlign w:val="bottom"/>
          </w:tcPr>
          <w:p>
            <w:pPr>
              <w:jc w:val="center"/>
              <w:ind w:left="39"/>
              <w:spacing w:after="0" w:line="169" w:lineRule="exact"/>
              <w:rPr>
                <w:sz w:val="20"/>
                <w:szCs w:val="20"/>
                <w:color w:val="auto"/>
              </w:rPr>
            </w:pPr>
            <w:r>
              <w:rPr>
                <w:rFonts w:ascii="Calibri" w:cs="Calibri" w:eastAsia="Calibri" w:hAnsi="Calibri"/>
                <w:sz w:val="14"/>
                <w:szCs w:val="14"/>
                <w:color w:val="auto"/>
              </w:rPr>
              <w:t>X</w:t>
            </w:r>
          </w:p>
        </w:tc>
        <w:tc>
          <w:tcPr>
            <w:tcW w:w="2040" w:type="dxa"/>
            <w:vAlign w:val="bottom"/>
          </w:tcPr>
          <w:p>
            <w:pPr>
              <w:spacing w:after="0"/>
              <w:rPr>
                <w:sz w:val="14"/>
                <w:szCs w:val="14"/>
                <w:color w:val="auto"/>
              </w:rPr>
            </w:pPr>
          </w:p>
        </w:tc>
        <w:tc>
          <w:tcPr>
            <w:tcW w:w="2120" w:type="dxa"/>
            <w:vAlign w:val="bottom"/>
          </w:tcPr>
          <w:p>
            <w:pPr>
              <w:jc w:val="center"/>
              <w:spacing w:after="0" w:line="169" w:lineRule="exact"/>
              <w:rPr>
                <w:sz w:val="20"/>
                <w:szCs w:val="20"/>
                <w:color w:val="auto"/>
              </w:rPr>
            </w:pPr>
            <w:r>
              <w:rPr>
                <w:rFonts w:ascii="Calibri" w:cs="Calibri" w:eastAsia="Calibri" w:hAnsi="Calibri"/>
                <w:sz w:val="14"/>
                <w:szCs w:val="14"/>
                <w:color w:val="auto"/>
              </w:rPr>
              <w:t>X</w:t>
            </w:r>
          </w:p>
        </w:tc>
        <w:tc>
          <w:tcPr>
            <w:tcW w:w="1620" w:type="dxa"/>
            <w:vAlign w:val="bottom"/>
          </w:tcPr>
          <w:p>
            <w:pPr>
              <w:spacing w:after="0"/>
              <w:rPr>
                <w:sz w:val="14"/>
                <w:szCs w:val="14"/>
                <w:color w:val="auto"/>
              </w:rPr>
            </w:pP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2"/>
        </w:trPr>
        <w:tc>
          <w:tcPr>
            <w:tcW w:w="3630" w:type="dxa"/>
            <w:vAlign w:val="bottom"/>
          </w:tcPr>
          <w:p>
            <w:pPr>
              <w:ind w:left="160"/>
              <w:spacing w:after="0" w:line="162" w:lineRule="exact"/>
              <w:rPr>
                <w:sz w:val="20"/>
                <w:szCs w:val="20"/>
                <w:color w:val="auto"/>
              </w:rPr>
            </w:pPr>
            <w:r>
              <w:rPr>
                <w:rFonts w:ascii="Calibri" w:cs="Calibri" w:eastAsia="Calibri" w:hAnsi="Calibri"/>
                <w:sz w:val="14"/>
                <w:szCs w:val="14"/>
                <w:color w:val="auto"/>
              </w:rPr>
              <w:t>Randy L. Newman</w:t>
            </w:r>
          </w:p>
        </w:tc>
        <w:tc>
          <w:tcPr>
            <w:tcW w:w="183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spacing w:after="0" w:line="162" w:lineRule="exact"/>
              <w:rPr>
                <w:sz w:val="20"/>
                <w:szCs w:val="20"/>
                <w:color w:val="auto"/>
              </w:rPr>
            </w:pPr>
            <w:r>
              <w:rPr>
                <w:rFonts w:ascii="Calibri" w:cs="Calibri" w:eastAsia="Calibri" w:hAnsi="Calibri"/>
                <w:sz w:val="14"/>
                <w:szCs w:val="14"/>
                <w:color w:val="auto"/>
              </w:rPr>
              <w:t>X</w:t>
            </w:r>
          </w:p>
        </w:tc>
        <w:tc>
          <w:tcPr>
            <w:tcW w:w="1620" w:type="dxa"/>
            <w:vAlign w:val="bottom"/>
          </w:tcPr>
          <w:p>
            <w:pPr>
              <w:jc w:val="center"/>
              <w:ind w:left="49"/>
              <w:spacing w:after="0" w:line="162" w:lineRule="exact"/>
              <w:rPr>
                <w:sz w:val="20"/>
                <w:szCs w:val="20"/>
                <w:color w:val="auto"/>
              </w:rPr>
            </w:pPr>
            <w:r>
              <w:rPr>
                <w:rFonts w:ascii="Calibri" w:cs="Calibri" w:eastAsia="Calibri" w:hAnsi="Calibri"/>
                <w:sz w:val="14"/>
                <w:szCs w:val="14"/>
                <w:color w:val="auto"/>
              </w:rPr>
              <w:t>Chair</w:t>
            </w: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2"/>
        </w:trPr>
        <w:tc>
          <w:tcPr>
            <w:tcW w:w="3630" w:type="dxa"/>
            <w:vAlign w:val="bottom"/>
          </w:tcPr>
          <w:p>
            <w:pPr>
              <w:ind w:left="160"/>
              <w:spacing w:after="0" w:line="162" w:lineRule="exact"/>
              <w:rPr>
                <w:sz w:val="20"/>
                <w:szCs w:val="20"/>
                <w:color w:val="auto"/>
              </w:rPr>
            </w:pPr>
            <w:r>
              <w:rPr>
                <w:rFonts w:ascii="Calibri" w:cs="Calibri" w:eastAsia="Calibri" w:hAnsi="Calibri"/>
                <w:sz w:val="14"/>
                <w:szCs w:val="14"/>
                <w:color w:val="auto"/>
              </w:rPr>
              <w:t>Galen G. Veter</w:t>
            </w:r>
          </w:p>
        </w:tc>
        <w:tc>
          <w:tcPr>
            <w:tcW w:w="1830" w:type="dxa"/>
            <w:vAlign w:val="bottom"/>
          </w:tcPr>
          <w:p>
            <w:pPr>
              <w:jc w:val="center"/>
              <w:ind w:left="19"/>
              <w:spacing w:after="0" w:line="162" w:lineRule="exact"/>
              <w:rPr>
                <w:sz w:val="20"/>
                <w:szCs w:val="20"/>
                <w:color w:val="auto"/>
              </w:rPr>
            </w:pPr>
            <w:r>
              <w:rPr>
                <w:rFonts w:ascii="Calibri" w:cs="Calibri" w:eastAsia="Calibri" w:hAnsi="Calibri"/>
                <w:sz w:val="14"/>
                <w:szCs w:val="14"/>
                <w:color w:val="auto"/>
              </w:rPr>
              <w:t>Chair</w:t>
            </w:r>
          </w:p>
        </w:tc>
        <w:tc>
          <w:tcPr>
            <w:tcW w:w="2040" w:type="dxa"/>
            <w:vAlign w:val="bottom"/>
          </w:tcPr>
          <w:p>
            <w:pPr>
              <w:jc w:val="center"/>
              <w:ind w:left="9"/>
              <w:spacing w:after="0" w:line="162" w:lineRule="exact"/>
              <w:rPr>
                <w:sz w:val="20"/>
                <w:szCs w:val="20"/>
                <w:color w:val="auto"/>
              </w:rPr>
            </w:pPr>
            <w:r>
              <w:rPr>
                <w:rFonts w:ascii="Calibri" w:cs="Calibri" w:eastAsia="Calibri" w:hAnsi="Calibri"/>
                <w:sz w:val="14"/>
                <w:szCs w:val="14"/>
                <w:color w:val="auto"/>
              </w:rPr>
              <w:t>X</w:t>
            </w:r>
          </w:p>
        </w:tc>
        <w:tc>
          <w:tcPr>
            <w:tcW w:w="2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2"/>
        </w:trPr>
        <w:tc>
          <w:tcPr>
            <w:tcW w:w="3630" w:type="dxa"/>
            <w:vAlign w:val="bottom"/>
          </w:tcPr>
          <w:p>
            <w:pPr>
              <w:ind w:left="160"/>
              <w:spacing w:after="0" w:line="162" w:lineRule="exact"/>
              <w:rPr>
                <w:sz w:val="20"/>
                <w:szCs w:val="20"/>
                <w:color w:val="auto"/>
              </w:rPr>
            </w:pPr>
            <w:r>
              <w:rPr>
                <w:rFonts w:ascii="Calibri" w:cs="Calibri" w:eastAsia="Calibri" w:hAnsi="Calibri"/>
                <w:sz w:val="14"/>
                <w:szCs w:val="14"/>
                <w:color w:val="auto"/>
              </w:rPr>
              <w:t>Janet O. Estep</w:t>
            </w:r>
          </w:p>
        </w:tc>
        <w:tc>
          <w:tcPr>
            <w:tcW w:w="183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spacing w:after="0" w:line="162" w:lineRule="exact"/>
              <w:rPr>
                <w:sz w:val="20"/>
                <w:szCs w:val="20"/>
                <w:color w:val="auto"/>
              </w:rPr>
            </w:pPr>
            <w:r>
              <w:rPr>
                <w:rFonts w:ascii="Calibri" w:cs="Calibri" w:eastAsia="Calibri" w:hAnsi="Calibri"/>
                <w:sz w:val="14"/>
                <w:szCs w:val="14"/>
                <w:color w:val="auto"/>
              </w:rPr>
              <w:t>Chair</w:t>
            </w:r>
          </w:p>
        </w:tc>
        <w:tc>
          <w:tcPr>
            <w:tcW w:w="1620" w:type="dxa"/>
            <w:vAlign w:val="bottom"/>
          </w:tcPr>
          <w:p>
            <w:pPr>
              <w:jc w:val="center"/>
              <w:ind w:left="69"/>
              <w:spacing w:after="0" w:line="162" w:lineRule="exact"/>
              <w:rPr>
                <w:sz w:val="20"/>
                <w:szCs w:val="20"/>
                <w:color w:val="auto"/>
              </w:rPr>
            </w:pPr>
            <w:r>
              <w:rPr>
                <w:rFonts w:ascii="Calibri" w:cs="Calibri" w:eastAsia="Calibri" w:hAnsi="Calibri"/>
                <w:sz w:val="14"/>
                <w:szCs w:val="14"/>
                <w:color w:val="auto"/>
              </w:rPr>
              <w:t>X</w:t>
            </w: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2"/>
        </w:trPr>
        <w:tc>
          <w:tcPr>
            <w:tcW w:w="3630" w:type="dxa"/>
            <w:vAlign w:val="bottom"/>
          </w:tcPr>
          <w:p>
            <w:pPr>
              <w:ind w:left="160"/>
              <w:spacing w:after="0" w:line="162" w:lineRule="exact"/>
              <w:rPr>
                <w:sz w:val="20"/>
                <w:szCs w:val="20"/>
                <w:color w:val="auto"/>
              </w:rPr>
            </w:pPr>
            <w:r>
              <w:rPr>
                <w:rFonts w:ascii="Calibri" w:cs="Calibri" w:eastAsia="Calibri" w:hAnsi="Calibri"/>
                <w:sz w:val="14"/>
                <w:szCs w:val="14"/>
                <w:color w:val="auto"/>
              </w:rPr>
              <w:t>Mary E. Zimmer</w:t>
            </w:r>
          </w:p>
        </w:tc>
        <w:tc>
          <w:tcPr>
            <w:tcW w:w="1830" w:type="dxa"/>
            <w:vAlign w:val="bottom"/>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Calibri" w:cs="Calibri" w:eastAsia="Calibri" w:hAnsi="Calibri"/>
                <w:sz w:val="14"/>
                <w:szCs w:val="14"/>
                <w:color w:val="auto"/>
              </w:rPr>
              <w:t>Chair</w:t>
            </w:r>
          </w:p>
        </w:tc>
        <w:tc>
          <w:tcPr>
            <w:tcW w:w="2120" w:type="dxa"/>
            <w:vAlign w:val="bottom"/>
          </w:tcPr>
          <w:p>
            <w:pPr>
              <w:jc w:val="center"/>
              <w:spacing w:after="0" w:line="162" w:lineRule="exact"/>
              <w:rPr>
                <w:sz w:val="20"/>
                <w:szCs w:val="20"/>
                <w:color w:val="auto"/>
              </w:rPr>
            </w:pPr>
            <w:r>
              <w:rPr>
                <w:rFonts w:ascii="Calibri" w:cs="Calibri" w:eastAsia="Calibri" w:hAnsi="Calibri"/>
                <w:sz w:val="14"/>
                <w:szCs w:val="14"/>
                <w:color w:val="auto"/>
              </w:rPr>
              <w:t>X</w:t>
            </w:r>
          </w:p>
        </w:tc>
        <w:tc>
          <w:tcPr>
            <w:tcW w:w="1620" w:type="dxa"/>
            <w:vAlign w:val="bottom"/>
          </w:tcPr>
          <w:p>
            <w:pPr>
              <w:spacing w:after="0"/>
              <w:rPr>
                <w:sz w:val="14"/>
                <w:szCs w:val="14"/>
                <w:color w:val="auto"/>
              </w:rPr>
            </w:pP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2"/>
        </w:trPr>
        <w:tc>
          <w:tcPr>
            <w:tcW w:w="3630" w:type="dxa"/>
            <w:vAlign w:val="bottom"/>
          </w:tcPr>
          <w:p>
            <w:pPr>
              <w:ind w:left="160"/>
              <w:spacing w:after="0" w:line="162" w:lineRule="exact"/>
              <w:rPr>
                <w:sz w:val="20"/>
                <w:szCs w:val="20"/>
                <w:color w:val="auto"/>
              </w:rPr>
            </w:pPr>
            <w:r>
              <w:rPr>
                <w:rFonts w:ascii="Calibri" w:cs="Calibri" w:eastAsia="Calibri" w:hAnsi="Calibri"/>
                <w:sz w:val="14"/>
                <w:szCs w:val="14"/>
                <w:color w:val="auto"/>
              </w:rPr>
              <w:t>John Uribe</w:t>
            </w:r>
          </w:p>
        </w:tc>
        <w:tc>
          <w:tcPr>
            <w:tcW w:w="1830" w:type="dxa"/>
            <w:vAlign w:val="bottom"/>
          </w:tcPr>
          <w:p>
            <w:pPr>
              <w:jc w:val="center"/>
              <w:ind w:left="39"/>
              <w:spacing w:after="0" w:line="162" w:lineRule="exact"/>
              <w:rPr>
                <w:sz w:val="20"/>
                <w:szCs w:val="20"/>
                <w:color w:val="auto"/>
              </w:rPr>
            </w:pPr>
            <w:r>
              <w:rPr>
                <w:rFonts w:ascii="Calibri" w:cs="Calibri" w:eastAsia="Calibri" w:hAnsi="Calibri"/>
                <w:sz w:val="14"/>
                <w:szCs w:val="14"/>
                <w:color w:val="auto"/>
              </w:rPr>
              <w:t>X</w:t>
            </w: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20" w:type="dxa"/>
            <w:vAlign w:val="bottom"/>
          </w:tcPr>
          <w:p>
            <w:pPr>
              <w:jc w:val="center"/>
              <w:ind w:left="69"/>
              <w:spacing w:after="0" w:line="162" w:lineRule="exact"/>
              <w:rPr>
                <w:sz w:val="20"/>
                <w:szCs w:val="20"/>
                <w:color w:val="auto"/>
              </w:rPr>
            </w:pPr>
            <w:r>
              <w:rPr>
                <w:rFonts w:ascii="Calibri" w:cs="Calibri" w:eastAsia="Calibri" w:hAnsi="Calibri"/>
                <w:sz w:val="14"/>
                <w:szCs w:val="14"/>
                <w:color w:val="auto"/>
              </w:rPr>
              <w:t>X</w:t>
            </w: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2"/>
        </w:trPr>
        <w:tc>
          <w:tcPr>
            <w:tcW w:w="3630" w:type="dxa"/>
            <w:vAlign w:val="bottom"/>
          </w:tcPr>
          <w:p>
            <w:pPr>
              <w:ind w:left="160"/>
              <w:spacing w:after="0" w:line="162" w:lineRule="exact"/>
              <w:rPr>
                <w:sz w:val="20"/>
                <w:szCs w:val="20"/>
                <w:color w:val="auto"/>
              </w:rPr>
            </w:pPr>
            <w:r>
              <w:rPr>
                <w:rFonts w:ascii="Calibri" w:cs="Calibri" w:eastAsia="Calibri" w:hAnsi="Calibri"/>
                <w:sz w:val="14"/>
                <w:szCs w:val="14"/>
                <w:color w:val="auto"/>
              </w:rPr>
              <w:t>Nikki L. Sorum</w:t>
            </w:r>
          </w:p>
        </w:tc>
        <w:tc>
          <w:tcPr>
            <w:tcW w:w="1830" w:type="dxa"/>
            <w:vAlign w:val="bottom"/>
          </w:tcPr>
          <w:p>
            <w:pPr>
              <w:spacing w:after="0"/>
              <w:rPr>
                <w:sz w:val="14"/>
                <w:szCs w:val="14"/>
                <w:color w:val="auto"/>
              </w:rPr>
            </w:pPr>
          </w:p>
        </w:tc>
        <w:tc>
          <w:tcPr>
            <w:tcW w:w="2040" w:type="dxa"/>
            <w:vAlign w:val="bottom"/>
          </w:tcPr>
          <w:p>
            <w:pPr>
              <w:jc w:val="center"/>
              <w:ind w:left="9"/>
              <w:spacing w:after="0" w:line="162" w:lineRule="exact"/>
              <w:rPr>
                <w:sz w:val="20"/>
                <w:szCs w:val="20"/>
                <w:color w:val="auto"/>
              </w:rPr>
            </w:pPr>
            <w:r>
              <w:rPr>
                <w:rFonts w:ascii="Calibri" w:cs="Calibri" w:eastAsia="Calibri" w:hAnsi="Calibri"/>
                <w:sz w:val="14"/>
                <w:szCs w:val="14"/>
                <w:color w:val="auto"/>
              </w:rPr>
              <w:t>X</w:t>
            </w:r>
          </w:p>
        </w:tc>
        <w:tc>
          <w:tcPr>
            <w:tcW w:w="2120" w:type="dxa"/>
            <w:vAlign w:val="bottom"/>
          </w:tcPr>
          <w:p>
            <w:pPr>
              <w:spacing w:after="0"/>
              <w:rPr>
                <w:sz w:val="14"/>
                <w:szCs w:val="14"/>
                <w:color w:val="auto"/>
              </w:rPr>
            </w:pPr>
          </w:p>
        </w:tc>
        <w:tc>
          <w:tcPr>
            <w:tcW w:w="1620" w:type="dxa"/>
            <w:vAlign w:val="bottom"/>
          </w:tcPr>
          <w:p>
            <w:pPr>
              <w:jc w:val="center"/>
              <w:ind w:left="69"/>
              <w:spacing w:after="0" w:line="162" w:lineRule="exact"/>
              <w:rPr>
                <w:sz w:val="20"/>
                <w:szCs w:val="20"/>
                <w:color w:val="auto"/>
              </w:rPr>
            </w:pPr>
            <w:r>
              <w:rPr>
                <w:rFonts w:ascii="Calibri" w:cs="Calibri" w:eastAsia="Calibri" w:hAnsi="Calibri"/>
                <w:sz w:val="14"/>
                <w:szCs w:val="14"/>
                <w:color w:val="auto"/>
              </w:rPr>
              <w:t>X</w:t>
            </w: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r>
        <w:trPr>
          <w:trHeight w:val="162"/>
        </w:trPr>
        <w:tc>
          <w:tcPr>
            <w:tcW w:w="3630" w:type="dxa"/>
            <w:vAlign w:val="bottom"/>
          </w:tcPr>
          <w:p>
            <w:pPr>
              <w:ind w:left="160"/>
              <w:spacing w:after="0" w:line="162" w:lineRule="exact"/>
              <w:rPr>
                <w:sz w:val="20"/>
                <w:szCs w:val="20"/>
                <w:color w:val="auto"/>
              </w:rPr>
            </w:pPr>
            <w:r>
              <w:rPr>
                <w:rFonts w:ascii="Calibri" w:cs="Calibri" w:eastAsia="Calibri" w:hAnsi="Calibri"/>
                <w:sz w:val="14"/>
                <w:szCs w:val="14"/>
                <w:color w:val="auto"/>
              </w:rPr>
              <w:t>Jefrey W. Bolton</w:t>
            </w:r>
          </w:p>
        </w:tc>
        <w:tc>
          <w:tcPr>
            <w:tcW w:w="1830" w:type="dxa"/>
            <w:vAlign w:val="bottom"/>
          </w:tcPr>
          <w:p>
            <w:pPr>
              <w:jc w:val="center"/>
              <w:ind w:left="39"/>
              <w:spacing w:after="0" w:line="162" w:lineRule="exact"/>
              <w:rPr>
                <w:sz w:val="20"/>
                <w:szCs w:val="20"/>
                <w:color w:val="auto"/>
              </w:rPr>
            </w:pPr>
            <w:r>
              <w:rPr>
                <w:rFonts w:ascii="Calibri" w:cs="Calibri" w:eastAsia="Calibri" w:hAnsi="Calibri"/>
                <w:sz w:val="14"/>
                <w:szCs w:val="14"/>
                <w:color w:val="auto"/>
              </w:rPr>
              <w:t>X</w:t>
            </w:r>
          </w:p>
        </w:tc>
        <w:tc>
          <w:tcPr>
            <w:tcW w:w="2040" w:type="dxa"/>
            <w:vAlign w:val="bottom"/>
          </w:tcPr>
          <w:p>
            <w:pPr>
              <w:jc w:val="center"/>
              <w:ind w:left="9"/>
              <w:spacing w:after="0" w:line="162" w:lineRule="exact"/>
              <w:rPr>
                <w:sz w:val="20"/>
                <w:szCs w:val="20"/>
                <w:color w:val="auto"/>
              </w:rPr>
            </w:pPr>
            <w:r>
              <w:rPr>
                <w:rFonts w:ascii="Calibri" w:cs="Calibri" w:eastAsia="Calibri" w:hAnsi="Calibri"/>
                <w:sz w:val="14"/>
                <w:szCs w:val="14"/>
                <w:color w:val="auto"/>
              </w:rPr>
              <w:t>X</w:t>
            </w:r>
          </w:p>
        </w:tc>
        <w:tc>
          <w:tcPr>
            <w:tcW w:w="21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1"/>
        </w:trPr>
        <w:tc>
          <w:tcPr>
            <w:tcW w:w="3630" w:type="dxa"/>
            <w:vAlign w:val="bottom"/>
            <w:tcBorders>
              <w:bottom w:val="single" w:sz="8" w:color="1AB2D2"/>
            </w:tcBorders>
          </w:tcPr>
          <w:p>
            <w:pPr>
              <w:spacing w:after="0"/>
              <w:rPr>
                <w:sz w:val="2"/>
                <w:szCs w:val="2"/>
                <w:color w:val="auto"/>
              </w:rPr>
            </w:pPr>
          </w:p>
        </w:tc>
        <w:tc>
          <w:tcPr>
            <w:tcW w:w="1830" w:type="dxa"/>
            <w:vAlign w:val="bottom"/>
            <w:tcBorders>
              <w:bottom w:val="single" w:sz="8" w:color="1AB2D2"/>
            </w:tcBorders>
          </w:tcPr>
          <w:p>
            <w:pPr>
              <w:spacing w:after="0"/>
              <w:rPr>
                <w:sz w:val="2"/>
                <w:szCs w:val="2"/>
                <w:color w:val="auto"/>
              </w:rPr>
            </w:pPr>
          </w:p>
        </w:tc>
        <w:tc>
          <w:tcPr>
            <w:tcW w:w="2040" w:type="dxa"/>
            <w:vAlign w:val="bottom"/>
            <w:tcBorders>
              <w:bottom w:val="single" w:sz="8" w:color="1AB2D2"/>
            </w:tcBorders>
          </w:tcPr>
          <w:p>
            <w:pPr>
              <w:spacing w:after="0"/>
              <w:rPr>
                <w:sz w:val="2"/>
                <w:szCs w:val="2"/>
                <w:color w:val="auto"/>
              </w:rPr>
            </w:pPr>
          </w:p>
        </w:tc>
        <w:tc>
          <w:tcPr>
            <w:tcW w:w="2120" w:type="dxa"/>
            <w:vAlign w:val="bottom"/>
            <w:tcBorders>
              <w:bottom w:val="single" w:sz="8" w:color="1AB2D2"/>
            </w:tcBorders>
          </w:tcPr>
          <w:p>
            <w:pPr>
              <w:spacing w:after="0"/>
              <w:rPr>
                <w:sz w:val="2"/>
                <w:szCs w:val="2"/>
                <w:color w:val="auto"/>
              </w:rPr>
            </w:pPr>
          </w:p>
        </w:tc>
        <w:tc>
          <w:tcPr>
            <w:tcW w:w="1620" w:type="dxa"/>
            <w:vAlign w:val="bottom"/>
            <w:tcBorders>
              <w:bottom w:val="single" w:sz="8" w:color="1AB2D2"/>
            </w:tcBorders>
          </w:tcPr>
          <w:p>
            <w:pPr>
              <w:spacing w:after="0"/>
              <w:rPr>
                <w:sz w:val="2"/>
                <w:szCs w:val="2"/>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functions of each committee: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Audit Committee</w:t>
      </w:r>
    </w:p>
    <w:p>
      <w:pPr>
        <w:spacing w:after="0" w:line="8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Audit Committee currently consists of Galen G. Vetter (Chair), Daniel E. Coughlin, John Uribe , and Jeffrey W. Bolton. Our Board has evaluated the independence of the members of our Audit Committee and has affirmatively determined that: (i) each of the members of our Audit Committee meets the definition of “independent director” under Nasdaq rules; (ii) each of the members satisfies the additional independence standards under Nasdaq rules and applicable SEC rules for audit committee service; and (iii) each of the members has the ability to read and understand fundamental financial statements. In addition, our Board has determined that each of Mr. Vetter, Mr. Bolton and Mr. Uribe possesses the financial sophistication required under Nasdaq rules based on his respective experience and background. Our Board has determined that each of Mr. Vetter, Mr. Bolton and Mr. Uribe qualify as an “audit committee financial expert,” as that term is defined under applicable SEC rules. The Audit Committee met five times in 2025.</w:t>
      </w:r>
    </w:p>
    <w:p>
      <w:pPr>
        <w:spacing w:after="0" w:line="185"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Our Audit Committee has adopted a written charter, which sets forth the committee’s duties and responsibilities. The current charter of the Audit Committee is available on our website at investors.alerus.com. As described in its charter, our Audit Committee has responsibility for, among other things:</w:t>
      </w:r>
    </w:p>
    <w:p>
      <w:pPr>
        <w:spacing w:after="0" w:line="161" w:lineRule="exact"/>
        <w:rPr>
          <w:sz w:val="20"/>
          <w:szCs w:val="20"/>
          <w:color w:val="auto"/>
        </w:rPr>
      </w:pPr>
    </w:p>
    <w:p>
      <w:pPr>
        <w:ind w:left="320" w:right="120" w:hanging="313"/>
        <w:spacing w:after="0" w:line="254"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selecting and retaining an independent registered public accounting firm to act as the Company’s independent auditors and overseeing the work done by the Company’s independent auditors;</w:t>
      </w:r>
    </w:p>
    <w:p>
      <w:pPr>
        <w:ind w:left="320" w:right="80" w:hanging="313"/>
        <w:spacing w:after="0" w:line="243"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at least annually, reviewing all relationships between our independent auditors and the Company that may impact the objectivity and independence of the independent auditors;</w:t>
      </w:r>
    </w:p>
    <w:p>
      <w:pPr>
        <w:spacing w:after="0" w:line="1" w:lineRule="exact"/>
        <w:rPr>
          <w:rFonts w:ascii="Arial" w:cs="Arial" w:eastAsia="Arial" w:hAnsi="Arial"/>
          <w:sz w:val="16"/>
          <w:szCs w:val="16"/>
          <w:color w:val="auto"/>
        </w:rPr>
      </w:pPr>
    </w:p>
    <w:p>
      <w:pPr>
        <w:ind w:left="320" w:right="260" w:hanging="313"/>
        <w:spacing w:after="0" w:line="243" w:lineRule="auto"/>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with management, the internal audit department and the Company’s independent auditors the adequacy and effectiveness of the Company’s financial reporting processes, internal control over financial reporting and disclosure controls and procedures;</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our earnings releases and reports filed with the SEC;</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reports of bank regulatory agencies and monitoring management’s compliance with recommendations contained in those reports;</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reviewing, approving and overseeing transactions for potential conflicts of interest under our Company’s conflict of interest policy; and</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Audit Committee by our Board from time to time.</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Compensation Committee</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Compensation Committee currently consists of Mary E. Zimmer (Chair), Galen G. Vetter, Nikki L. Sorum, and Jeffrey W. Bolton. Our Board has evaluated the independence of the members of our Compensation Committee and has affirmatively determined that all of the members of our Compensation Committee are “independent” under applicable SEC and Nasdaq rules and also satisfy the additional independence standards under Nasdaq rules for compensation committee service. The Compensation Committee met four times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593090" cy="118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7" w:name="page18"/>
    <w:bookmarkEnd w:id="17"/>
    <w:p>
      <w:pPr>
        <w:ind w:right="100"/>
        <w:spacing w:after="0" w:line="261" w:lineRule="auto"/>
        <w:rPr>
          <w:sz w:val="20"/>
          <w:szCs w:val="20"/>
          <w:color w:val="auto"/>
        </w:rPr>
      </w:pPr>
      <w:r>
        <w:rPr>
          <w:rFonts w:ascii="Arial" w:cs="Arial" w:eastAsia="Arial" w:hAnsi="Arial"/>
          <w:sz w:val="16"/>
          <w:szCs w:val="16"/>
          <w:color w:val="auto"/>
        </w:rPr>
        <w:t>Our Compensation Committee has adopted a written charter, which sets forth the committee’s duties and responsibilities. The current charter of the Compensation Committee is available on our website at investors.alerus.com. As described in its charter, our Compensation Committee has responsibility for, among other things:</w:t>
      </w:r>
    </w:p>
    <w:p>
      <w:pPr>
        <w:spacing w:after="0" w:line="174" w:lineRule="exact"/>
        <w:rPr>
          <w:sz w:val="20"/>
          <w:szCs w:val="20"/>
          <w:color w:val="auto"/>
        </w:rPr>
      </w:pPr>
    </w:p>
    <w:p>
      <w:pPr>
        <w:ind w:left="320" w:right="180" w:hanging="313"/>
        <w:spacing w:after="0" w:line="254"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and approving annually the corporate goals and objectives applicable to the compensation of our Chief Executive Officer and determining and approving the Chief Executive Officer’s compensation level based on annual performance evaluations;</w:t>
      </w: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and approving the compensation programs, awards and other compensation structures of all other executive officers;</w:t>
      </w:r>
    </w:p>
    <w:p>
      <w:pPr>
        <w:spacing w:after="0" w:line="2" w:lineRule="exact"/>
        <w:rPr>
          <w:rFonts w:ascii="Arial" w:cs="Arial" w:eastAsia="Arial" w:hAnsi="Arial"/>
          <w:sz w:val="16"/>
          <w:szCs w:val="16"/>
          <w:color w:val="auto"/>
        </w:rPr>
      </w:pPr>
    </w:p>
    <w:p>
      <w:pPr>
        <w:ind w:left="320" w:right="580" w:hanging="313"/>
        <w:spacing w:after="0" w:line="243"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determining stock ownership guidelines for the Chief Executive Officer, directors and other executive officers and monitoring compliance with such guidelines;</w:t>
      </w:r>
    </w:p>
    <w:p>
      <w:pPr>
        <w:spacing w:after="0" w:line="1" w:lineRule="exact"/>
        <w:rPr>
          <w:rFonts w:ascii="Arial" w:cs="Arial" w:eastAsia="Arial" w:hAnsi="Arial"/>
          <w:sz w:val="16"/>
          <w:szCs w:val="16"/>
          <w:color w:val="auto"/>
        </w:rPr>
      </w:pPr>
    </w:p>
    <w:p>
      <w:pPr>
        <w:ind w:left="320" w:right="120" w:hanging="313"/>
        <w:spacing w:after="0" w:line="243"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approving and, when appropriate, recommending to our Board for approval, incentive compensation plans and equity-based plans, and where appropriate or required, recommending such plans for approval by our stockholders, and administering such plans;</w:t>
      </w:r>
    </w:p>
    <w:p>
      <w:pPr>
        <w:spacing w:after="0" w:line="1" w:lineRule="exact"/>
        <w:rPr>
          <w:rFonts w:ascii="Arial" w:cs="Arial" w:eastAsia="Arial" w:hAnsi="Arial"/>
          <w:sz w:val="16"/>
          <w:szCs w:val="16"/>
          <w:color w:val="auto"/>
        </w:rPr>
      </w:pPr>
    </w:p>
    <w:p>
      <w:pPr>
        <w:ind w:left="320" w:hanging="313"/>
        <w:spacing w:after="0" w:line="243" w:lineRule="auto"/>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reviewing and discussing with management the Compensation Discussion and Analysis disclosure (“</w:t>
      </w:r>
      <w:r>
        <w:rPr>
          <w:rFonts w:ascii="Arial" w:cs="Arial" w:eastAsia="Arial" w:hAnsi="Arial"/>
          <w:sz w:val="16"/>
          <w:szCs w:val="16"/>
          <w:b w:val="1"/>
          <w:bCs w:val="1"/>
          <w:color w:val="auto"/>
        </w:rPr>
        <w:t>CD&amp;A</w:t>
      </w:r>
      <w:r>
        <w:rPr>
          <w:rFonts w:ascii="Arial" w:cs="Arial" w:eastAsia="Arial" w:hAnsi="Arial"/>
          <w:sz w:val="16"/>
          <w:szCs w:val="16"/>
          <w:color w:val="auto"/>
        </w:rPr>
        <w:t>”) and the related executive compensation information, recommending the CD&amp;A and related executive compensation information be included in our annual report on Form 10-K and proxy statement, and producing the Compensation Committee report on executive officer compensation required to be included in our proxy statement or annual report; and</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Compensation Committee by our Board from time to time.</w:t>
      </w:r>
    </w:p>
    <w:p>
      <w:pPr>
        <w:spacing w:after="0" w:line="20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Compensation Committee has the authority to delegate any of its responsibilities, along with the authority to take action in relation to such responsibilities, to one or more subcommittees or members of management as the Compensation Committee may deem appropriate in its sole discretion. Non-employee director compensation and benefits for service on the Board and any Board committees are reviewed at least once per year by the Compensation Committee which recommends changes, if any, to such compensation and benefits to our Board (including any named executive officer members thereof) for approval.</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Nominating and Corporate Governance Committee</w:t>
      </w:r>
    </w:p>
    <w:p>
      <w:pPr>
        <w:spacing w:after="0" w:line="19"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Our Nominating and Corporate Governance Committee currently consists of Janet O. Estep (Chair), Randy L. Newman, Daniel E. Coughlin, and Mary E. Zimmer. Our Board has evaluated the independence of the members of our Nominating and Corporate Governance Committee and has affirmatively determined that each of the members of our Nominating and Corporate Governance Committee is “independent” under Nasdaq rules. The Nominating and Corporate Governance Committee met four times in 2025.</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Our Nominating and Corporate Governance Committee has adopted a written charter, which sets forth the committee’s duties and responsibilities. The current charter of the Nominating and Corporate Governance Committee is available on our website at investors.alerus.com. As described in its charter, our Nominating and Corporate Governance Committee has responsibility for, among other things:</w:t>
      </w:r>
    </w:p>
    <w:p>
      <w:pPr>
        <w:spacing w:after="0" w:line="174" w:lineRule="exact"/>
        <w:rPr>
          <w:sz w:val="20"/>
          <w:szCs w:val="20"/>
          <w:color w:val="auto"/>
        </w:rPr>
      </w:pPr>
    </w:p>
    <w:p>
      <w:pPr>
        <w:ind w:left="320" w:right="60" w:hanging="313"/>
        <w:spacing w:after="0" w:line="250"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identifying and screening individuals qualified to become members of our Board, consistent with criteria approved by the Board and memorialized in the Company’s Corporate Governance Guidelines, and recommending persons to be selected by our Board as nominees for election as directors or to fill any vacancies on our Board;</w:t>
      </w:r>
    </w:p>
    <w:p>
      <w:pPr>
        <w:spacing w:after="0" w:line="1" w:lineRule="exact"/>
        <w:rPr>
          <w:rFonts w:ascii="Arial" w:cs="Arial" w:eastAsia="Arial" w:hAnsi="Arial"/>
          <w:sz w:val="16"/>
          <w:szCs w:val="16"/>
          <w:color w:val="auto"/>
        </w:rPr>
      </w:pPr>
    </w:p>
    <w:p>
      <w:pPr>
        <w:ind w:left="320" w:right="120" w:hanging="313"/>
        <w:spacing w:after="0" w:line="243"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developing and recommending to the Board a set of corporate governance guidelines applicable to our Company and reviewing these guidelines at least once a year;</w:t>
      </w:r>
    </w:p>
    <w:p>
      <w:pPr>
        <w:spacing w:after="0" w:line="1" w:lineRule="exact"/>
        <w:rPr>
          <w:rFonts w:ascii="Arial" w:cs="Arial" w:eastAsia="Arial" w:hAnsi="Arial"/>
          <w:sz w:val="16"/>
          <w:szCs w:val="16"/>
          <w:color w:val="auto"/>
        </w:rPr>
      </w:pPr>
    </w:p>
    <w:p>
      <w:pPr>
        <w:ind w:left="320" w:right="40" w:hanging="313"/>
        <w:spacing w:after="0" w:line="243" w:lineRule="auto"/>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reviewing the Board’s committee structure and composition and making recommendations to the Board regarding the appointment of directors to serve as members of each committee and as committee Chair annually; and</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Nominating and Corporate Governance Committee by our Board from time to time.</w:t>
      </w:r>
    </w:p>
    <w:p>
      <w:pPr>
        <w:spacing w:after="0" w:line="200" w:lineRule="exact"/>
        <w:rPr>
          <w:sz w:val="20"/>
          <w:szCs w:val="20"/>
          <w:color w:val="auto"/>
        </w:rPr>
      </w:pPr>
    </w:p>
    <w:p>
      <w:pPr>
        <w:jc w:val="both"/>
        <w:ind w:right="360"/>
        <w:spacing w:after="0" w:line="261" w:lineRule="auto"/>
        <w:rPr>
          <w:sz w:val="20"/>
          <w:szCs w:val="20"/>
          <w:color w:val="auto"/>
        </w:rPr>
      </w:pPr>
      <w:r>
        <w:rPr>
          <w:rFonts w:ascii="Arial" w:cs="Arial" w:eastAsia="Arial" w:hAnsi="Arial"/>
          <w:sz w:val="16"/>
          <w:szCs w:val="16"/>
          <w:color w:val="auto"/>
        </w:rPr>
        <w:t>In carrying out its nominating functions, the Nominating and Corporate Governance Committee has developed qualification criteria for all potential director nominees, including incumbent directors, Board nominees and stockholder nominees included in the proxy statement. These criteria include the following attributes:</w:t>
      </w:r>
    </w:p>
    <w:p>
      <w:pPr>
        <w:spacing w:after="0" w:line="174" w:lineRule="exact"/>
        <w:rPr>
          <w:sz w:val="20"/>
          <w:szCs w:val="20"/>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integrity and high ethical standards in the nominee’s professional life;</w:t>
      </w:r>
    </w:p>
    <w:p>
      <w:pPr>
        <w:spacing w:after="0" w:line="18" w:lineRule="exact"/>
        <w:rPr>
          <w:rFonts w:ascii="Arial" w:cs="Arial" w:eastAsia="Arial" w:hAnsi="Arial"/>
          <w:sz w:val="16"/>
          <w:szCs w:val="16"/>
          <w:color w:val="auto"/>
        </w:rPr>
      </w:pPr>
    </w:p>
    <w:p>
      <w:pPr>
        <w:ind w:left="320" w:right="320" w:hanging="313"/>
        <w:spacing w:after="0" w:line="243" w:lineRule="auto"/>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sufficient educational and professional experience, business experience, or comparable service on other boards of directors to qualify the nominee for service on the Board;</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evidence of leadership and sound judgment in the nominee’s professional life;</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willingness to abide by any published code of ethics for our Company;</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willingness and ability to devote sufficient time to carrying out the duties and responsibilities required of a Board member; and</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diversity of viewpoints, background, experience and other demographics.</w:t>
      </w:r>
    </w:p>
    <w:p>
      <w:pPr>
        <w:spacing w:after="0" w:line="200" w:lineRule="exact"/>
        <w:rPr>
          <w:sz w:val="20"/>
          <w:szCs w:val="20"/>
          <w:color w:val="auto"/>
        </w:rPr>
      </w:pPr>
    </w:p>
    <w:p>
      <w:pPr>
        <w:jc w:val="both"/>
        <w:ind w:right="80"/>
        <w:spacing w:after="0" w:line="255" w:lineRule="auto"/>
        <w:rPr>
          <w:sz w:val="20"/>
          <w:szCs w:val="20"/>
          <w:color w:val="auto"/>
        </w:rPr>
      </w:pPr>
      <w:r>
        <w:rPr>
          <w:rFonts w:ascii="Arial" w:cs="Arial" w:eastAsia="Arial" w:hAnsi="Arial"/>
          <w:sz w:val="16"/>
          <w:szCs w:val="16"/>
          <w:color w:val="auto"/>
        </w:rPr>
        <w:t>The Nominating and Corporate Governance Committee also evaluates potential nominees to determine if they have any conflicts of interest that may interfere with their ability to serve as effective Board members and to determine whether they are “independent” in accordance with Nasdaq rules (to ensure that, at all times, at least a majority of our directors are independent). In previous years the Company has used a third-party search firm to conduct searches for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593090" cy="118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8" w:name="page19"/>
    <w:bookmarkEnd w:id="18"/>
    <w:p>
      <w:pPr>
        <w:ind w:right="20"/>
        <w:spacing w:after="0" w:line="278" w:lineRule="auto"/>
        <w:rPr>
          <w:sz w:val="20"/>
          <w:szCs w:val="20"/>
          <w:color w:val="auto"/>
        </w:rPr>
      </w:pPr>
      <w:r>
        <w:rPr>
          <w:rFonts w:ascii="Arial" w:cs="Arial" w:eastAsia="Arial" w:hAnsi="Arial"/>
          <w:sz w:val="16"/>
          <w:szCs w:val="16"/>
          <w:color w:val="auto"/>
        </w:rPr>
        <w:t>Prior to nominating an existing director for re-election to the Board, the Nominating and Corporate Governance Committee considers and reviews the following attributes with respect to each existing director:</w:t>
      </w:r>
    </w:p>
    <w:p>
      <w:pPr>
        <w:spacing w:after="0" w:line="161"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Board and committee attendance and performance;</w:t>
      </w:r>
    </w:p>
    <w:p>
      <w:pPr>
        <w:spacing w:after="0" w:line="18" w:lineRule="exact"/>
        <w:rPr>
          <w:rFonts w:ascii="Arial" w:cs="Arial" w:eastAsia="Arial" w:hAnsi="Arial"/>
          <w:sz w:val="16"/>
          <w:szCs w:val="16"/>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age and length of Board service;</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diversity of experience, skills and contributions that the existing director brings to the Board;</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independence and any conflicts of interest; and</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significant change in the director’s professional status or work experience, including in the attributes considered for initial Board membership.</w:t>
      </w:r>
    </w:p>
    <w:p>
      <w:pPr>
        <w:spacing w:after="0" w:line="20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The Nominating and Corporate Governance Committee will give appropriate consideration to candidates for Board membership proposed by stockholders that are supported by adequate information about the candidates’ qualifications and will evaluate such candidates in the same manner as other candidates identified by or submitted to the Nominating and Corporate Governance Committee. Because of this, there is no separate policy with regard to consideration of candidates recommended by stockholders.</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Risk Committee</w:t>
      </w:r>
    </w:p>
    <w:p>
      <w:pPr>
        <w:spacing w:after="0" w:line="83" w:lineRule="exact"/>
        <w:rPr>
          <w:sz w:val="20"/>
          <w:szCs w:val="20"/>
          <w:color w:val="auto"/>
        </w:rPr>
      </w:pPr>
    </w:p>
    <w:p>
      <w:pPr>
        <w:ind w:right="500"/>
        <w:spacing w:after="0" w:line="278" w:lineRule="auto"/>
        <w:rPr>
          <w:sz w:val="20"/>
          <w:szCs w:val="20"/>
          <w:color w:val="auto"/>
        </w:rPr>
      </w:pPr>
      <w:r>
        <w:rPr>
          <w:rFonts w:ascii="Arial" w:cs="Arial" w:eastAsia="Arial" w:hAnsi="Arial"/>
          <w:sz w:val="16"/>
          <w:szCs w:val="16"/>
          <w:color w:val="auto"/>
        </w:rPr>
        <w:t>Our Risk Committee currently consists of Randy L. Newman (Chair), Janet O. Estep, Nikki L. Sorum and John Uribe, each of whom is independent from management of our Company and Bank. The Risk Committee met four times in 2025.</w:t>
      </w:r>
    </w:p>
    <w:p>
      <w:pPr>
        <w:spacing w:after="0" w:line="161"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Our Risk Committee has adopted a written charter, which sets forth the committee’s duties and responsibilities. The current charter of the Risk Committee is available on our website at investors.alerus.com. As described in its charter, our Risk Committee has responsibility for, among other things:</w:t>
      </w:r>
    </w:p>
    <w:p>
      <w:pPr>
        <w:spacing w:after="0" w:line="161" w:lineRule="exact"/>
        <w:rPr>
          <w:sz w:val="20"/>
          <w:szCs w:val="20"/>
          <w:color w:val="auto"/>
        </w:rPr>
      </w:pPr>
    </w:p>
    <w:p>
      <w:pPr>
        <w:ind w:left="320" w:right="80" w:hanging="313"/>
        <w:spacing w:after="0" w:line="254"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overseeing management’s establishment of a risk management vision and annually making recommendations to our Board regarding our Company’s risk appetite statement;</w:t>
      </w: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annually reviewing and approving our Company’s overall risk management framework;</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annually reviewing and approving our Company’s general enterprise risk policy;</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reviewing management reports summarizing our Company’s enterprise level risk profile; and</w:t>
      </w:r>
    </w:p>
    <w:p>
      <w:pPr>
        <w:spacing w:after="0" w:line="2" w:lineRule="exact"/>
        <w:rPr>
          <w:rFonts w:ascii="Arial" w:cs="Arial" w:eastAsia="Arial" w:hAnsi="Arial"/>
          <w:sz w:val="16"/>
          <w:szCs w:val="16"/>
          <w:color w:val="auto"/>
        </w:rPr>
      </w:pPr>
    </w:p>
    <w:p>
      <w:pPr>
        <w:ind w:left="320" w:hanging="313"/>
        <w:spacing w:after="0"/>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handling such other matters that are specifically delegated to the Risk Committee by our Board from time to time.</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1AB2D2"/>
        </w:rPr>
        <w:t>STOCKHOLDER COMMUNICATION AND ENGAGEMENT</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Communication and Engagement with the Board and Executive Management</w:t>
      </w:r>
    </w:p>
    <w:p>
      <w:pPr>
        <w:spacing w:after="0" w:line="70"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Although we do not have a formal policy regarding director attendance at the Annual Meeting, we encourage and expect all of our directors to attend. In 2025, all but one of our directors serving at the time of the 2025 annual meeting were present at the 2025 annual meeting.</w:t>
      </w:r>
    </w:p>
    <w:p>
      <w:pPr>
        <w:spacing w:after="0" w:line="16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Since last year’s annual meeting of stockholders, the Company’s Board and executive management team have made efforts to hold discussions with a number of the Company’s retail and institutional stockholders. These conversations ensure the Company is considering stockholder input, addressing their concerns, and gaining valuable perspective on its strategy. Feedback from stockholders was shared with the Board and executive management, contributing to strong governance and transparency with stockholders. These exchanges help us focus on the issues that matter most to our stockholders and supports our efforts to share our strategic vision.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General Communications with the Board</w:t>
      </w:r>
    </w:p>
    <w:p>
      <w:pPr>
        <w:spacing w:after="0" w:line="70" w:lineRule="exact"/>
        <w:rPr>
          <w:sz w:val="20"/>
          <w:szCs w:val="20"/>
          <w:color w:val="auto"/>
        </w:rPr>
      </w:pPr>
    </w:p>
    <w:p>
      <w:pPr>
        <w:ind w:right="400"/>
        <w:spacing w:after="0" w:line="210" w:lineRule="exact"/>
        <w:rPr>
          <w:sz w:val="20"/>
          <w:szCs w:val="20"/>
          <w:color w:val="auto"/>
        </w:rPr>
      </w:pPr>
      <w:r>
        <w:rPr>
          <w:rFonts w:ascii="Arial" w:cs="Arial" w:eastAsia="Arial" w:hAnsi="Arial"/>
          <w:sz w:val="16"/>
          <w:szCs w:val="16"/>
          <w:color w:val="auto"/>
        </w:rPr>
        <w:t>Stockholders may contact our Board by contacting Katie A. Lorenson, President and Chief Executive Officer, Alerus Financial Corporation at 401 Demers Avenue, Grand Forks, North Dakota 58201 or (701) 795</w:t>
      </w:r>
      <w:r>
        <w:rPr>
          <w:rFonts w:ascii="MS PGothic" w:cs="MS PGothic" w:eastAsia="MS PGothic" w:hAnsi="MS PGothic"/>
          <w:sz w:val="16"/>
          <w:szCs w:val="16"/>
          <w:color w:val="auto"/>
        </w:rPr>
        <w:t>‑</w:t>
      </w:r>
      <w:r>
        <w:rPr>
          <w:rFonts w:ascii="Arial" w:cs="Arial" w:eastAsia="Arial" w:hAnsi="Arial"/>
          <w:sz w:val="16"/>
          <w:szCs w:val="16"/>
          <w:color w:val="auto"/>
        </w:rPr>
        <w:t>3200.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1AB2D2"/>
        </w:rPr>
        <w:t>NOMINATIONS OF DIRECTORS AND STOCKHOLDER PROPOSALS</w:t>
      </w:r>
    </w:p>
    <w:p>
      <w:pPr>
        <w:spacing w:after="0" w:line="70"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 xml:space="preserve">The matters to be considered and brought before any annual or special meeting of our stockholders are limited to only those matters as shall be brought properly before such meeting in compliance with the procedures set forth in our Bylaws. For proposals to be brought by a stockholder of the Company and voted upon at an annual meeting, including with respect to the nomination of a director other than the Board’s nominees, the stockholder must deliver written notice of the proposal to our Secretary not less than 90 days nor more than 120 days prior to the first anniversary date of the annual meeting for the preceding year. However, if the annual meeting is not scheduled to be held within a period that commences 30 days before such anniversary date and ends within 60 days after such anniversary date (an annual meeting date outside such period being referred to herein as an “ </w:t>
      </w:r>
      <w:r>
        <w:rPr>
          <w:rFonts w:ascii="Arial" w:cs="Arial" w:eastAsia="Arial" w:hAnsi="Arial"/>
          <w:sz w:val="16"/>
          <w:szCs w:val="16"/>
          <w:b w:val="1"/>
          <w:bCs w:val="1"/>
          <w:color w:val="auto"/>
        </w:rPr>
        <w:t>Other Meeting Date</w:t>
      </w:r>
      <w:r>
        <w:rPr>
          <w:rFonts w:ascii="Arial" w:cs="Arial" w:eastAsia="Arial" w:hAnsi="Arial"/>
          <w:sz w:val="16"/>
          <w:szCs w:val="16"/>
          <w:color w:val="auto"/>
        </w:rPr>
        <w:t>”), the stockholder’s notice shall be given in the manner provided in our Bylaws by the later of the close of business on (1) the date 90 days prior to such Other Meeting Date or (2) the 10th day following the date such Other Meeting Date is first publicly announced or disclosed. In the event that the number of directors to be elected to the Board is increased and either all of the nominees for director or the size of the increased Board is not publicly announced or disclosed by us at least 100 days prior to the first anniversary of the preceding year’s annual meeting, a stockholder’s notice will also be considered timely, but only with respect to nominees for any new positions created by such increase, if it is delivered to our Secretary at our principal executive office not later than the close of business on the 10th day following the first date all of such nominees or the size of the increased Board is publicly announced or disclosed. Any stockholder’s notice to the Company’s Secretary must include the information required by SEC rule 14a-19, and Section 1.12 of our Bylaws: (a) a brief description and the text of the proposal desired to be brought before the annual meeting and the reasons why such stockholder favors the proposal; (b) the name and address of the stockholder proposing such business; (c) the number of shares of our Common Stock or other equity or debt securities beneficially owned by such stockholder on the date of such stockholder’s notice; and (d) any financial or other interest of such stockholder in the proposal. Stockholders should refer to the full text of our advance notice provisions contained in Section 1.12 of our 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593090" cy="1187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19" w:name="page20"/>
    <w:bookmarkEnd w:id="19"/>
    <w:p>
      <w:pPr>
        <w:jc w:val="both"/>
        <w:ind w:right="100"/>
        <w:spacing w:after="0" w:line="261" w:lineRule="auto"/>
        <w:rPr>
          <w:sz w:val="20"/>
          <w:szCs w:val="20"/>
          <w:color w:val="auto"/>
        </w:rPr>
      </w:pPr>
      <w:r>
        <w:rPr>
          <w:rFonts w:ascii="Arial" w:cs="Arial" w:eastAsia="Arial" w:hAnsi="Arial"/>
          <w:sz w:val="16"/>
          <w:szCs w:val="16"/>
          <w:color w:val="auto"/>
        </w:rPr>
        <w:t>Written notice of stockholder proposals to be brought at our 2027 annual meeting of stockholders in accordance with the above procedures must be delivered to our Secretary no earlier than January 14, 2027 and no later than February 13, 2027, unless an Other Meeting Date occurs with respect to the 2027 annual meeting of stockholders, in which case the notice delivery requirements will be as set forth above with respect to meetings with Other Meeting Dates.</w:t>
      </w:r>
    </w:p>
    <w:p>
      <w:pPr>
        <w:spacing w:after="0" w:line="174" w:lineRule="exact"/>
        <w:rPr>
          <w:sz w:val="20"/>
          <w:szCs w:val="20"/>
          <w:color w:val="auto"/>
        </w:rPr>
      </w:pPr>
    </w:p>
    <w:p>
      <w:pPr>
        <w:ind w:right="320"/>
        <w:spacing w:after="0" w:line="198" w:lineRule="exact"/>
        <w:rPr>
          <w:sz w:val="20"/>
          <w:szCs w:val="20"/>
          <w:color w:val="auto"/>
        </w:rPr>
      </w:pPr>
      <w:r>
        <w:rPr>
          <w:rFonts w:ascii="Arial" w:cs="Arial" w:eastAsia="Arial" w:hAnsi="Arial"/>
          <w:sz w:val="16"/>
          <w:szCs w:val="16"/>
          <w:color w:val="auto"/>
        </w:rPr>
        <w:t>In lieu of the foregoing notice procedures, stockholders seeking to submit a proposal for inclusion in our proxy statement for the 2027 annual meeting of stockholders must follow the procedures and meet the other requirements outlined in Rule 14a</w:t>
      </w:r>
      <w:r>
        <w:rPr>
          <w:rFonts w:ascii="MS PGothic" w:cs="MS PGothic" w:eastAsia="MS PGothic" w:hAnsi="MS PGothic"/>
          <w:sz w:val="16"/>
          <w:szCs w:val="16"/>
          <w:color w:val="auto"/>
        </w:rPr>
        <w:t>‑</w:t>
      </w:r>
      <w:r>
        <w:rPr>
          <w:rFonts w:ascii="Arial" w:cs="Arial" w:eastAsia="Arial" w:hAnsi="Arial"/>
          <w:sz w:val="16"/>
          <w:szCs w:val="16"/>
          <w:color w:val="auto"/>
        </w:rPr>
        <w:t>8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we must receive such proposal at our principal executive office on or before December 2, 2026.</w:t>
      </w:r>
    </w:p>
    <w:p>
      <w:pPr>
        <w:spacing w:after="0" w:line="181" w:lineRule="exact"/>
        <w:rPr>
          <w:sz w:val="20"/>
          <w:szCs w:val="20"/>
          <w:color w:val="auto"/>
        </w:rPr>
      </w:pPr>
    </w:p>
    <w:p>
      <w:pPr>
        <w:ind w:right="40"/>
        <w:spacing w:after="0" w:line="195" w:lineRule="exact"/>
        <w:rPr>
          <w:sz w:val="20"/>
          <w:szCs w:val="20"/>
          <w:color w:val="auto"/>
        </w:rPr>
      </w:pPr>
      <w:r>
        <w:rPr>
          <w:rFonts w:ascii="Arial" w:cs="Arial" w:eastAsia="Arial" w:hAnsi="Arial"/>
          <w:sz w:val="16"/>
          <w:szCs w:val="16"/>
          <w:color w:val="auto"/>
        </w:rPr>
        <w:t>Any proposals, notices or nominations must be sent to the attention of our Secretary at Alerus Financial Corporation, 401 Demers Avenue, Grand Forks, North Dakota 58201. A copy of our Bylaws, which we included as Exhibit 3.2 to our Form S</w:t>
      </w:r>
      <w:r>
        <w:rPr>
          <w:rFonts w:ascii="MS PGothic" w:cs="MS PGothic" w:eastAsia="MS PGothic" w:hAnsi="MS PGothic"/>
          <w:sz w:val="16"/>
          <w:szCs w:val="16"/>
          <w:color w:val="auto"/>
        </w:rPr>
        <w:t>‑</w:t>
      </w:r>
      <w:r>
        <w:rPr>
          <w:rFonts w:ascii="Arial" w:cs="Arial" w:eastAsia="Arial" w:hAnsi="Arial"/>
          <w:sz w:val="16"/>
          <w:szCs w:val="16"/>
          <w:color w:val="auto"/>
        </w:rPr>
        <w:t>1 filed with the SEC on August 16, 2019, can be accessed through the SEC’s website at www.sec.gov.</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1AB2D2"/>
        </w:rPr>
        <w:t>BOARD LEADERSHIP STRUCTURE</w:t>
      </w:r>
    </w:p>
    <w:p>
      <w:pPr>
        <w:spacing w:after="0" w:line="70"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Board does not have a formal policy requiring the separation of the roles of Chairman of the Board and Chief Executive Officer. It is our directors’ view that rather than having a rigid policy, the Board, with the advice and assistance of the Nominating and Corporate Governance Committee, and upon consideration of all relevant factors and circumstances, will determine, as and when appropriate, whether the two offices should be separate.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Currently, the positions of Chairman and Chief Executive Officer are separate and held by Mr. Coughlin and Ms. Lorenson, respectively. As noted above, Mr.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Coughlin is considered an “independent” director.</w:t>
      </w:r>
    </w:p>
    <w:p>
      <w:pPr>
        <w:spacing w:after="0" w:line="20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Board believes, based on a review of the factors outlined above, that having a director other than the Chief Executive Officer serving as Chairman of the Board is in the best interest of stockholders. The Board and its Nominating and Corporate Governance Committee believe that this structure will be useful in providing consistent oversight of management and strategic direction to the Company. The Board expects Ms. Lorenson to take the lead in developing the strategic plan for the Company, providing day-to-day leadership and managing the performance of the Company. The Board expects the Chairman to lead the Board meetings, participate in committee meetings and advise Company management. The Board intends to periodically review the Company’s leadership structure and make changes as dictated by the circumstances and the best interests of the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1AB2D2"/>
        </w:rPr>
        <w:t>BOARD OVERSIGHT OF RISK MANAGEMENT</w:t>
      </w:r>
    </w:p>
    <w:p>
      <w:pPr>
        <w:spacing w:after="0" w:line="83"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79"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The Risk Committee of our Board oversees our enterprise-wide risk management framework and corporate risk function, which establishes our overall risk appetite and risk management strategy and enables our management to understand, manage and report on the risks we face. Our Risk Committee also reviews and oversees policies and practices established by management to identify, assess, measure and manage key risks we face, including the risk appetite metrics and risk appetite statement developed by management and approved by the Risk Committee. The Board, both as a whole and through its Risk Committee, is responsible for the oversight of cybersecurity risks. In that role, the Board and the Risk Committee, with support from the Company’s cybersecurity advisors, are responsible for ensuring that the risk management processes designed and implemented by management are adequate and functioning as designed. To carry out those duties, both the Board and the Risk Committee receive quarterly reports from the Company’s management team regarding cybersecurity risks and the Company’s efforts to prevent, detect, mitigate and remediate any cybersecurity incidents. The Audit Committee of our Board is responsible for overseeing risks associated with financial matters (particularly financial reporting, accounting practices and policies, disclosure controls and procedures and internal control over financial reporting). The Compensation Committee of our Board has primary responsibility for risks and exposures associated with our compensation policies, plans and practices, regarding both executive compensation and the Company’s compensation structure generally. In particular, our Compensation Committee reviews our incentive compensation arrangements to ensure these programs are consistent with applicable laws and regulations, including safety and soundness requirements, and do not encourage imprudent or excessive risk-taking by our employees. The Nominating and Corporate Governance Committee of our Board oversees risks associated with the independence of our Board and potential conflicts of interest.</w:t>
      </w:r>
    </w:p>
    <w:p>
      <w:pPr>
        <w:spacing w:after="0" w:line="187" w:lineRule="exact"/>
        <w:rPr>
          <w:sz w:val="20"/>
          <w:szCs w:val="20"/>
          <w:color w:val="auto"/>
        </w:rPr>
      </w:pPr>
    </w:p>
    <w:p>
      <w:pPr>
        <w:ind w:right="200"/>
        <w:spacing w:after="0" w:line="255" w:lineRule="auto"/>
        <w:rPr>
          <w:sz w:val="20"/>
          <w:szCs w:val="20"/>
          <w:color w:val="auto"/>
        </w:rPr>
      </w:pPr>
      <w:r>
        <w:rPr>
          <w:rFonts w:ascii="Arial" w:cs="Arial" w:eastAsia="Arial" w:hAnsi="Arial"/>
          <w:sz w:val="16"/>
          <w:szCs w:val="16"/>
          <w:color w:val="auto"/>
        </w:rPr>
        <w:t>Our executive management team is responsible for implementing and reporting to our Board regarding our risk management processes, including by assessing and managing the risks we face, including strategic, operational, regulatory, investment and execution risks, on a day-to-day basis. Our executive management team is also responsible for creating and recommending to our Board for approval appropriate risk appetite metrics reflecting the aggregate levels and types of risk we are willing to accept in connection with the operation of our business and pursuit of our business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593090" cy="118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20" w:name="page21"/>
    <w:bookmarkEnd w:id="20"/>
    <w:p>
      <w:pPr>
        <w:ind w:right="100"/>
        <w:spacing w:after="0" w:line="255" w:lineRule="auto"/>
        <w:rPr>
          <w:sz w:val="20"/>
          <w:szCs w:val="20"/>
          <w:color w:val="auto"/>
        </w:rPr>
      </w:pPr>
      <w:r>
        <w:rPr>
          <w:rFonts w:ascii="Arial" w:cs="Arial" w:eastAsia="Arial" w:hAnsi="Arial"/>
          <w:sz w:val="16"/>
          <w:szCs w:val="16"/>
          <w:color w:val="auto"/>
        </w:rPr>
        <w:t>The role of our Board in risk oversight is consistent with our leadership structure, with the members of our executive management team having responsibility for assessing and managing our risk exposure, and our Board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1AB2D2"/>
        </w:rPr>
        <w:t>COMPENSATION COMMITTEE INTERLOCKS AND INSIDER PARTICIPATION</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During 2025, Mary E. Zimmer, Jeffrey Bolton, Galen G. Vetter, and Nikki L. Sorum served on our Compensation Committee. None of the members of our Compensation Committee is or has been an officer or employee of the Company, or has had any relationship requiring disclosure under Item 404 of Regulation S-K. None of our executive officers serves or has served as a member of the Board, compensation committee or other board committee performing equivalent functions of any entity that has one or more executive officers serving as one of our directors or on our Compensation Committee.</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1AB2D2"/>
        </w:rPr>
        <w:t>CORPORATE GOVERNANCE GUIDELINES</w:t>
      </w:r>
    </w:p>
    <w:p>
      <w:pPr>
        <w:spacing w:after="0" w:line="83"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color w:val="auto"/>
        </w:rPr>
        <w:t>We have a set of Corporate Governance Guidelines in place that applies to all of our directors and employees. The guidelines set forth certain standards, requirements, and best practices that we expect all of our directors and employees to follow and is available on our website at investors.alerus.com.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1AB2D2"/>
        </w:rPr>
        <w:t>CODE OF BUSINESS CONDUCT AND ETHICS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We have a Code of Business Conduct and Ethics in place that applies to all of our directors and employees. The code sets forth the standard of ethics that we expect all of our directors and employees to follow and is available on our website at investors.alerus.com. In accordance with SEC rules, we intend to disclose on the “Investor Relations” section of our website any amendments to the Code of Business Conduct and Ethics, or any waivers of its requirements, that apply to our executive officers to the extent such disclosure is required.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1AB2D2"/>
        </w:rPr>
        <w:t>DIRECTOR COMPENSATION</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Every year, our Compensation Committee reviews the competitiveness of our compensation for non-employee directors based on the results of an analysis by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Committee’s independent compensation consultant. We compensated our non-employee directors in 2025 with an annual retainer 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additional fees for meeting attendance and service as a committee chair or as Board Chairman. Our annual retainer consisted of a cash payment of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$40,000 and a grant of Company restricted stock with a grant date value equal to $50,000 with a vesting period extending from the grant date through the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earlier of the first anniversary of the grant date and the next annual meeting of stockholders. Following the 2025 annual meeting of stockholders, Committee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Chair fees increased as follows: Audit Committee Chair fees increased from $10,000 to $12,500 and Compensation Committee Chair fees increased from</w:t>
      </w:r>
    </w:p>
    <w:p>
      <w:pPr>
        <w:spacing w:after="0" w:line="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$8,000 to $8,500. In 2025, Mr. Vetter received $11,250 for serving as the Audit Committee Chair. Ms. Estep and Mr. Newman each received $8,000 for serving as the Nominating and Corporate Governance Committee Chair and the Risk Committee Chair, respectively, and Ms. Zimmer received $8,250 for serving as the Compensation Committee Chair. Mr. Coughlin received $30,000 for serving as Board Chairman in 2025. In the instance of special meetings held during 2025, directors received $1,000 for meetings of three hours or less, and $2,000 for meetings longer than three hours.</w:t>
      </w:r>
    </w:p>
    <w:p>
      <w:pPr>
        <w:spacing w:after="0" w:line="184"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following table sets forth information regarding 2025 compensation for each of our non-employee directors. None of the directors receives any compensation or other payment in connection with his or her service as a director other than compensation received by the Company as described above and as set forth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60" w:type="dxa"/>
            <w:vAlign w:val="bottom"/>
            <w:shd w:val="clear" w:color="auto" w:fill="062B48"/>
          </w:tcPr>
          <w:p>
            <w:pPr>
              <w:spacing w:after="0"/>
              <w:rPr>
                <w:sz w:val="14"/>
                <w:szCs w:val="14"/>
                <w:color w:val="auto"/>
              </w:rPr>
            </w:pPr>
          </w:p>
        </w:tc>
        <w:tc>
          <w:tcPr>
            <w:tcW w:w="2160" w:type="dxa"/>
            <w:vAlign w:val="bottom"/>
            <w:shd w:val="clear" w:color="auto" w:fill="062B48"/>
          </w:tcPr>
          <w:p>
            <w:pPr>
              <w:spacing w:after="0"/>
              <w:rPr>
                <w:sz w:val="14"/>
                <w:szCs w:val="14"/>
                <w:color w:val="auto"/>
              </w:rPr>
            </w:pPr>
          </w:p>
        </w:tc>
        <w:tc>
          <w:tcPr>
            <w:tcW w:w="1820" w:type="dxa"/>
            <w:vAlign w:val="bottom"/>
            <w:shd w:val="clear" w:color="auto" w:fill="062B48"/>
          </w:tcPr>
          <w:p>
            <w:pPr>
              <w:jc w:val="right"/>
              <w:ind w:right="229"/>
              <w:spacing w:after="0"/>
              <w:rPr>
                <w:sz w:val="20"/>
                <w:szCs w:val="20"/>
                <w:color w:val="auto"/>
              </w:rPr>
            </w:pPr>
            <w:r>
              <w:rPr>
                <w:rFonts w:ascii="Calibri" w:cs="Calibri" w:eastAsia="Calibri" w:hAnsi="Calibri"/>
                <w:sz w:val="14"/>
                <w:szCs w:val="14"/>
                <w:b w:val="1"/>
                <w:bCs w:val="1"/>
                <w:color w:val="FFFFFF"/>
              </w:rPr>
              <w:t>FEES EARNED OR PAID IN</w:t>
            </w:r>
          </w:p>
        </w:tc>
        <w:tc>
          <w:tcPr>
            <w:tcW w:w="320" w:type="dxa"/>
            <w:vAlign w:val="bottom"/>
            <w:shd w:val="clear" w:color="auto" w:fill="062B48"/>
          </w:tcPr>
          <w:p>
            <w:pPr>
              <w:spacing w:after="0"/>
              <w:rPr>
                <w:sz w:val="14"/>
                <w:szCs w:val="14"/>
                <w:color w:val="auto"/>
              </w:rPr>
            </w:pPr>
          </w:p>
        </w:tc>
        <w:tc>
          <w:tcPr>
            <w:tcW w:w="1680" w:type="dxa"/>
            <w:vAlign w:val="bottom"/>
            <w:vMerge w:val="restart"/>
            <w:shd w:val="clear" w:color="auto" w:fill="062B48"/>
          </w:tcPr>
          <w:p>
            <w:pPr>
              <w:jc w:val="right"/>
              <w:ind w:right="389"/>
              <w:spacing w:after="0"/>
              <w:rPr>
                <w:sz w:val="20"/>
                <w:szCs w:val="20"/>
                <w:color w:val="auto"/>
              </w:rPr>
            </w:pPr>
            <w:r>
              <w:rPr>
                <w:rFonts w:ascii="Calibri" w:cs="Calibri" w:eastAsia="Calibri" w:hAnsi="Calibri"/>
                <w:sz w:val="14"/>
                <w:szCs w:val="14"/>
                <w:b w:val="1"/>
                <w:bCs w:val="1"/>
                <w:color w:val="FFFFFF"/>
              </w:rPr>
              <w:t>STOCK AWARDS</w:t>
            </w:r>
            <w:r>
              <w:rPr>
                <w:rFonts w:ascii="Calibri" w:cs="Calibri" w:eastAsia="Calibri" w:hAnsi="Calibri"/>
                <w:sz w:val="23"/>
                <w:szCs w:val="23"/>
                <w:b w:val="1"/>
                <w:bCs w:val="1"/>
                <w:color w:val="FFFFFF"/>
                <w:vertAlign w:val="superscript"/>
              </w:rPr>
              <w:t>(2)</w:t>
            </w:r>
          </w:p>
        </w:tc>
        <w:tc>
          <w:tcPr>
            <w:tcW w:w="500" w:type="dxa"/>
            <w:vAlign w:val="bottom"/>
            <w:shd w:val="clear" w:color="auto" w:fill="062B48"/>
          </w:tcPr>
          <w:p>
            <w:pPr>
              <w:spacing w:after="0"/>
              <w:rPr>
                <w:sz w:val="14"/>
                <w:szCs w:val="14"/>
                <w:color w:val="auto"/>
              </w:rPr>
            </w:pPr>
          </w:p>
        </w:tc>
        <w:tc>
          <w:tcPr>
            <w:tcW w:w="1500" w:type="dxa"/>
            <w:vAlign w:val="bottom"/>
            <w:vMerge w:val="restart"/>
            <w:shd w:val="clear" w:color="auto" w:fill="062B48"/>
          </w:tcPr>
          <w:p>
            <w:pPr>
              <w:jc w:val="right"/>
              <w:ind w:right="749"/>
              <w:spacing w:after="0"/>
              <w:rPr>
                <w:sz w:val="20"/>
                <w:szCs w:val="20"/>
                <w:color w:val="auto"/>
              </w:rPr>
            </w:pPr>
            <w:r>
              <w:rPr>
                <w:rFonts w:ascii="Calibri" w:cs="Calibri" w:eastAsia="Calibri" w:hAnsi="Calibri"/>
                <w:sz w:val="14"/>
                <w:szCs w:val="14"/>
                <w:b w:val="1"/>
                <w:bCs w:val="1"/>
                <w:color w:val="FFFFFF"/>
              </w:rPr>
              <w:t>TOTAL</w:t>
            </w:r>
          </w:p>
        </w:tc>
        <w:tc>
          <w:tcPr>
            <w:tcW w:w="0" w:type="dxa"/>
            <w:vAlign w:val="bottom"/>
          </w:tcPr>
          <w:p>
            <w:pPr>
              <w:spacing w:after="0"/>
              <w:rPr>
                <w:sz w:val="1"/>
                <w:szCs w:val="1"/>
                <w:color w:val="auto"/>
              </w:rPr>
            </w:pPr>
          </w:p>
        </w:tc>
      </w:tr>
      <w:tr>
        <w:trPr>
          <w:trHeight w:val="138"/>
        </w:trPr>
        <w:tc>
          <w:tcPr>
            <w:tcW w:w="3260" w:type="dxa"/>
            <w:vAlign w:val="bottom"/>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NAME</w:t>
            </w:r>
          </w:p>
        </w:tc>
        <w:tc>
          <w:tcPr>
            <w:tcW w:w="2160" w:type="dxa"/>
            <w:vAlign w:val="bottom"/>
            <w:shd w:val="clear" w:color="auto" w:fill="062B48"/>
          </w:tcPr>
          <w:p>
            <w:pPr>
              <w:spacing w:after="0"/>
              <w:rPr>
                <w:sz w:val="11"/>
                <w:szCs w:val="11"/>
                <w:color w:val="auto"/>
              </w:rPr>
            </w:pPr>
          </w:p>
        </w:tc>
        <w:tc>
          <w:tcPr>
            <w:tcW w:w="1820" w:type="dxa"/>
            <w:vAlign w:val="bottom"/>
            <w:vMerge w:val="restart"/>
            <w:shd w:val="clear" w:color="auto" w:fill="062B48"/>
          </w:tcPr>
          <w:p>
            <w:pPr>
              <w:jc w:val="right"/>
              <w:ind w:right="729"/>
              <w:spacing w:after="0" w:line="204" w:lineRule="exact"/>
              <w:rPr>
                <w:sz w:val="20"/>
                <w:szCs w:val="20"/>
                <w:color w:val="auto"/>
              </w:rPr>
            </w:pPr>
            <w:r>
              <w:rPr>
                <w:rFonts w:ascii="Calibri" w:cs="Calibri" w:eastAsia="Calibri" w:hAnsi="Calibri"/>
                <w:sz w:val="14"/>
                <w:szCs w:val="14"/>
                <w:b w:val="1"/>
                <w:bCs w:val="1"/>
                <w:color w:val="FFFFFF"/>
              </w:rPr>
              <w:t>CASH</w:t>
            </w:r>
            <w:r>
              <w:rPr>
                <w:rFonts w:ascii="Calibri" w:cs="Calibri" w:eastAsia="Calibri" w:hAnsi="Calibri"/>
                <w:sz w:val="22"/>
                <w:szCs w:val="22"/>
                <w:b w:val="1"/>
                <w:bCs w:val="1"/>
                <w:color w:val="FFFFFF"/>
                <w:vertAlign w:val="superscript"/>
              </w:rPr>
              <w:t>(1)</w:t>
            </w:r>
          </w:p>
        </w:tc>
        <w:tc>
          <w:tcPr>
            <w:tcW w:w="320" w:type="dxa"/>
            <w:vAlign w:val="bottom"/>
            <w:shd w:val="clear" w:color="auto" w:fill="062B48"/>
          </w:tcPr>
          <w:p>
            <w:pPr>
              <w:spacing w:after="0"/>
              <w:rPr>
                <w:sz w:val="11"/>
                <w:szCs w:val="11"/>
                <w:color w:val="auto"/>
              </w:rPr>
            </w:pPr>
          </w:p>
        </w:tc>
        <w:tc>
          <w:tcPr>
            <w:tcW w:w="1680" w:type="dxa"/>
            <w:vAlign w:val="bottom"/>
            <w:vMerge w:val="continue"/>
            <w:shd w:val="clear" w:color="auto" w:fill="062B48"/>
          </w:tcPr>
          <w:p>
            <w:pPr>
              <w:spacing w:after="0"/>
              <w:rPr>
                <w:sz w:val="11"/>
                <w:szCs w:val="11"/>
                <w:color w:val="auto"/>
              </w:rPr>
            </w:pPr>
          </w:p>
        </w:tc>
        <w:tc>
          <w:tcPr>
            <w:tcW w:w="500" w:type="dxa"/>
            <w:vAlign w:val="bottom"/>
            <w:shd w:val="clear" w:color="auto" w:fill="062B48"/>
          </w:tcPr>
          <w:p>
            <w:pPr>
              <w:spacing w:after="0"/>
              <w:rPr>
                <w:sz w:val="11"/>
                <w:szCs w:val="11"/>
                <w:color w:val="auto"/>
              </w:rPr>
            </w:pPr>
          </w:p>
        </w:tc>
        <w:tc>
          <w:tcPr>
            <w:tcW w:w="1500" w:type="dxa"/>
            <w:vAlign w:val="bottom"/>
            <w:vMerge w:val="continue"/>
            <w:shd w:val="clear" w:color="auto" w:fill="062B48"/>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3260" w:type="dxa"/>
            <w:vAlign w:val="bottom"/>
            <w:vMerge w:val="continue"/>
            <w:shd w:val="clear" w:color="auto" w:fill="062B48"/>
          </w:tcPr>
          <w:p>
            <w:pPr>
              <w:spacing w:after="0"/>
              <w:rPr>
                <w:sz w:val="5"/>
                <w:szCs w:val="5"/>
                <w:color w:val="auto"/>
              </w:rPr>
            </w:pPr>
          </w:p>
        </w:tc>
        <w:tc>
          <w:tcPr>
            <w:tcW w:w="2160" w:type="dxa"/>
            <w:vAlign w:val="bottom"/>
            <w:shd w:val="clear" w:color="auto" w:fill="062B48"/>
          </w:tcPr>
          <w:p>
            <w:pPr>
              <w:spacing w:after="0"/>
              <w:rPr>
                <w:sz w:val="5"/>
                <w:szCs w:val="5"/>
                <w:color w:val="auto"/>
              </w:rPr>
            </w:pPr>
          </w:p>
        </w:tc>
        <w:tc>
          <w:tcPr>
            <w:tcW w:w="1820" w:type="dxa"/>
            <w:vAlign w:val="bottom"/>
            <w:vMerge w:val="continue"/>
            <w:shd w:val="clear" w:color="auto" w:fill="062B48"/>
          </w:tcPr>
          <w:p>
            <w:pPr>
              <w:spacing w:after="0"/>
              <w:rPr>
                <w:sz w:val="5"/>
                <w:szCs w:val="5"/>
                <w:color w:val="auto"/>
              </w:rPr>
            </w:pPr>
          </w:p>
        </w:tc>
        <w:tc>
          <w:tcPr>
            <w:tcW w:w="320" w:type="dxa"/>
            <w:vAlign w:val="bottom"/>
            <w:shd w:val="clear" w:color="auto" w:fill="062B48"/>
          </w:tcPr>
          <w:p>
            <w:pPr>
              <w:spacing w:after="0"/>
              <w:rPr>
                <w:sz w:val="5"/>
                <w:szCs w:val="5"/>
                <w:color w:val="auto"/>
              </w:rPr>
            </w:pPr>
          </w:p>
        </w:tc>
        <w:tc>
          <w:tcPr>
            <w:tcW w:w="1680" w:type="dxa"/>
            <w:vAlign w:val="bottom"/>
            <w:shd w:val="clear" w:color="auto" w:fill="062B48"/>
          </w:tcPr>
          <w:p>
            <w:pPr>
              <w:spacing w:after="0"/>
              <w:rPr>
                <w:sz w:val="5"/>
                <w:szCs w:val="5"/>
                <w:color w:val="auto"/>
              </w:rPr>
            </w:pPr>
          </w:p>
        </w:tc>
        <w:tc>
          <w:tcPr>
            <w:tcW w:w="500" w:type="dxa"/>
            <w:vAlign w:val="bottom"/>
            <w:shd w:val="clear" w:color="auto" w:fill="062B48"/>
          </w:tcPr>
          <w:p>
            <w:pPr>
              <w:spacing w:after="0"/>
              <w:rPr>
                <w:sz w:val="5"/>
                <w:szCs w:val="5"/>
                <w:color w:val="auto"/>
              </w:rPr>
            </w:pPr>
          </w:p>
        </w:tc>
        <w:tc>
          <w:tcPr>
            <w:tcW w:w="150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3260" w:type="dxa"/>
            <w:vAlign w:val="bottom"/>
          </w:tcPr>
          <w:p>
            <w:pPr>
              <w:ind w:left="160"/>
              <w:spacing w:after="0" w:line="169" w:lineRule="exact"/>
              <w:rPr>
                <w:sz w:val="20"/>
                <w:szCs w:val="20"/>
                <w:color w:val="auto"/>
              </w:rPr>
            </w:pPr>
            <w:r>
              <w:rPr>
                <w:rFonts w:ascii="Calibri" w:cs="Calibri" w:eastAsia="Calibri" w:hAnsi="Calibri"/>
                <w:sz w:val="14"/>
                <w:szCs w:val="14"/>
                <w:color w:val="auto"/>
              </w:rPr>
              <w:t>Daniel E. Coughlin</w:t>
            </w:r>
          </w:p>
        </w:tc>
        <w:tc>
          <w:tcPr>
            <w:tcW w:w="216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75,000</w:t>
            </w:r>
          </w:p>
        </w:tc>
        <w:tc>
          <w:tcPr>
            <w:tcW w:w="32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9"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124,999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60"/>
              <w:spacing w:after="0" w:line="162" w:lineRule="exact"/>
              <w:rPr>
                <w:sz w:val="20"/>
                <w:szCs w:val="20"/>
                <w:color w:val="auto"/>
              </w:rPr>
            </w:pPr>
            <w:r>
              <w:rPr>
                <w:rFonts w:ascii="Calibri" w:cs="Calibri" w:eastAsia="Calibri" w:hAnsi="Calibri"/>
                <w:sz w:val="14"/>
                <w:szCs w:val="14"/>
                <w:color w:val="auto"/>
              </w:rPr>
              <w:t>Randy L. Newman</w:t>
            </w:r>
          </w:p>
        </w:tc>
        <w:tc>
          <w:tcPr>
            <w:tcW w:w="21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52,000</w:t>
            </w:r>
          </w:p>
        </w:tc>
        <w:tc>
          <w:tcPr>
            <w:tcW w:w="32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101,999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60"/>
              <w:spacing w:after="0" w:line="162" w:lineRule="exact"/>
              <w:rPr>
                <w:sz w:val="20"/>
                <w:szCs w:val="20"/>
                <w:color w:val="auto"/>
              </w:rPr>
            </w:pPr>
            <w:r>
              <w:rPr>
                <w:rFonts w:ascii="Calibri" w:cs="Calibri" w:eastAsia="Calibri" w:hAnsi="Calibri"/>
                <w:sz w:val="14"/>
                <w:szCs w:val="14"/>
                <w:color w:val="auto"/>
              </w:rPr>
              <w:t>Galen G. Veter</w:t>
            </w:r>
          </w:p>
        </w:tc>
        <w:tc>
          <w:tcPr>
            <w:tcW w:w="21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55,250</w:t>
            </w:r>
          </w:p>
        </w:tc>
        <w:tc>
          <w:tcPr>
            <w:tcW w:w="32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105,249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60"/>
              <w:spacing w:after="0" w:line="162" w:lineRule="exact"/>
              <w:rPr>
                <w:sz w:val="20"/>
                <w:szCs w:val="20"/>
                <w:color w:val="auto"/>
              </w:rPr>
            </w:pPr>
            <w:r>
              <w:rPr>
                <w:rFonts w:ascii="Calibri" w:cs="Calibri" w:eastAsia="Calibri" w:hAnsi="Calibri"/>
                <w:sz w:val="14"/>
                <w:szCs w:val="14"/>
                <w:color w:val="auto"/>
              </w:rPr>
              <w:t>Janet O. Estep</w:t>
            </w:r>
          </w:p>
        </w:tc>
        <w:tc>
          <w:tcPr>
            <w:tcW w:w="21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52,000</w:t>
            </w:r>
          </w:p>
        </w:tc>
        <w:tc>
          <w:tcPr>
            <w:tcW w:w="32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101,999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60"/>
              <w:spacing w:after="0" w:line="162" w:lineRule="exact"/>
              <w:rPr>
                <w:sz w:val="20"/>
                <w:szCs w:val="20"/>
                <w:color w:val="auto"/>
              </w:rPr>
            </w:pPr>
            <w:r>
              <w:rPr>
                <w:rFonts w:ascii="Calibri" w:cs="Calibri" w:eastAsia="Calibri" w:hAnsi="Calibri"/>
                <w:sz w:val="14"/>
                <w:szCs w:val="14"/>
                <w:color w:val="auto"/>
              </w:rPr>
              <w:t>Mary E. Zimmer</w:t>
            </w:r>
          </w:p>
        </w:tc>
        <w:tc>
          <w:tcPr>
            <w:tcW w:w="21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52,250</w:t>
            </w:r>
          </w:p>
        </w:tc>
        <w:tc>
          <w:tcPr>
            <w:tcW w:w="32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102,249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60"/>
              <w:spacing w:after="0" w:line="162" w:lineRule="exact"/>
              <w:rPr>
                <w:sz w:val="20"/>
                <w:szCs w:val="20"/>
                <w:color w:val="auto"/>
              </w:rPr>
            </w:pPr>
            <w:r>
              <w:rPr>
                <w:rFonts w:ascii="Calibri" w:cs="Calibri" w:eastAsia="Calibri" w:hAnsi="Calibri"/>
                <w:sz w:val="14"/>
                <w:szCs w:val="14"/>
                <w:color w:val="auto"/>
              </w:rPr>
              <w:t>John Uribe</w:t>
            </w:r>
          </w:p>
        </w:tc>
        <w:tc>
          <w:tcPr>
            <w:tcW w:w="21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44,000</w:t>
            </w:r>
          </w:p>
        </w:tc>
        <w:tc>
          <w:tcPr>
            <w:tcW w:w="32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93,999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60"/>
              <w:spacing w:after="0" w:line="162" w:lineRule="exact"/>
              <w:rPr>
                <w:sz w:val="20"/>
                <w:szCs w:val="20"/>
                <w:color w:val="auto"/>
              </w:rPr>
            </w:pPr>
            <w:r>
              <w:rPr>
                <w:rFonts w:ascii="Calibri" w:cs="Calibri" w:eastAsia="Calibri" w:hAnsi="Calibri"/>
                <w:sz w:val="14"/>
                <w:szCs w:val="14"/>
                <w:color w:val="auto"/>
              </w:rPr>
              <w:t>Nikki L. Sorum</w:t>
            </w:r>
          </w:p>
        </w:tc>
        <w:tc>
          <w:tcPr>
            <w:tcW w:w="21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44,000</w:t>
            </w:r>
          </w:p>
        </w:tc>
        <w:tc>
          <w:tcPr>
            <w:tcW w:w="32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93,999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260" w:type="dxa"/>
            <w:vAlign w:val="bottom"/>
          </w:tcPr>
          <w:p>
            <w:pPr>
              <w:ind w:left="160"/>
              <w:spacing w:after="0" w:line="162" w:lineRule="exact"/>
              <w:rPr>
                <w:sz w:val="20"/>
                <w:szCs w:val="20"/>
                <w:color w:val="auto"/>
              </w:rPr>
            </w:pPr>
            <w:r>
              <w:rPr>
                <w:rFonts w:ascii="Calibri" w:cs="Calibri" w:eastAsia="Calibri" w:hAnsi="Calibri"/>
                <w:sz w:val="14"/>
                <w:szCs w:val="14"/>
                <w:color w:val="auto"/>
              </w:rPr>
              <w:t>Jefrey W. Bolton</w:t>
            </w:r>
          </w:p>
        </w:tc>
        <w:tc>
          <w:tcPr>
            <w:tcW w:w="21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82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44,000</w:t>
            </w:r>
          </w:p>
        </w:tc>
        <w:tc>
          <w:tcPr>
            <w:tcW w:w="32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16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49,999</w:t>
            </w:r>
          </w:p>
        </w:tc>
        <w:tc>
          <w:tcPr>
            <w:tcW w:w="500" w:type="dxa"/>
            <w:vAlign w:val="bottom"/>
          </w:tcPr>
          <w:p>
            <w:pPr>
              <w:jc w:val="right"/>
              <w:ind w:right="249"/>
              <w:spacing w:after="0" w:line="162" w:lineRule="exact"/>
              <w:rPr>
                <w:sz w:val="20"/>
                <w:szCs w:val="20"/>
                <w:color w:val="auto"/>
              </w:rPr>
            </w:pPr>
            <w:r>
              <w:rPr>
                <w:rFonts w:ascii="Calibri" w:cs="Calibri" w:eastAsia="Calibri" w:hAnsi="Calibri"/>
                <w:sz w:val="14"/>
                <w:szCs w:val="14"/>
                <w:color w:val="auto"/>
              </w:rPr>
              <w:t>$</w:t>
            </w:r>
          </w:p>
        </w:tc>
        <w:tc>
          <w:tcPr>
            <w:tcW w:w="15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93,999</w:t>
            </w:r>
          </w:p>
        </w:tc>
        <w:tc>
          <w:tcPr>
            <w:tcW w:w="0" w:type="dxa"/>
            <w:vAlign w:val="bottom"/>
          </w:tcPr>
          <w:p>
            <w:pPr>
              <w:spacing w:after="0"/>
              <w:rPr>
                <w:sz w:val="1"/>
                <w:szCs w:val="1"/>
                <w:color w:val="auto"/>
              </w:rPr>
            </w:pPr>
          </w:p>
        </w:tc>
      </w:tr>
      <w:tr>
        <w:trPr>
          <w:trHeight w:val="31"/>
        </w:trPr>
        <w:tc>
          <w:tcPr>
            <w:tcW w:w="3260" w:type="dxa"/>
            <w:vAlign w:val="bottom"/>
            <w:tcBorders>
              <w:bottom w:val="single" w:sz="8" w:color="1AB2D2"/>
            </w:tcBorders>
          </w:tcPr>
          <w:p>
            <w:pPr>
              <w:spacing w:after="0"/>
              <w:rPr>
                <w:sz w:val="2"/>
                <w:szCs w:val="2"/>
                <w:color w:val="auto"/>
              </w:rPr>
            </w:pPr>
          </w:p>
        </w:tc>
        <w:tc>
          <w:tcPr>
            <w:tcW w:w="216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320" w:type="dxa"/>
            <w:vAlign w:val="bottom"/>
            <w:tcBorders>
              <w:bottom w:val="single" w:sz="8" w:color="1AB2D2"/>
            </w:tcBorders>
          </w:tcPr>
          <w:p>
            <w:pPr>
              <w:spacing w:after="0"/>
              <w:rPr>
                <w:sz w:val="2"/>
                <w:szCs w:val="2"/>
                <w:color w:val="auto"/>
              </w:rPr>
            </w:pPr>
          </w:p>
        </w:tc>
        <w:tc>
          <w:tcPr>
            <w:tcW w:w="1680" w:type="dxa"/>
            <w:vAlign w:val="bottom"/>
            <w:tcBorders>
              <w:bottom w:val="single" w:sz="8" w:color="1AB2D2"/>
            </w:tcBorders>
          </w:tcPr>
          <w:p>
            <w:pPr>
              <w:spacing w:after="0"/>
              <w:rPr>
                <w:sz w:val="2"/>
                <w:szCs w:val="2"/>
                <w:color w:val="auto"/>
              </w:rPr>
            </w:pPr>
          </w:p>
        </w:tc>
        <w:tc>
          <w:tcPr>
            <w:tcW w:w="500" w:type="dxa"/>
            <w:vAlign w:val="bottom"/>
            <w:tcBorders>
              <w:bottom w:val="single" w:sz="8" w:color="1AB2D2"/>
            </w:tcBorders>
          </w:tcPr>
          <w:p>
            <w:pPr>
              <w:spacing w:after="0"/>
              <w:rPr>
                <w:sz w:val="2"/>
                <w:szCs w:val="2"/>
                <w:color w:val="auto"/>
              </w:rPr>
            </w:pPr>
          </w:p>
        </w:tc>
        <w:tc>
          <w:tcPr>
            <w:tcW w:w="15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20" w:right="100" w:hanging="313"/>
        <w:spacing w:after="0" w:line="206" w:lineRule="auto"/>
        <w:tabs>
          <w:tab w:leader="none" w:pos="320"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Reflects $40,000 in annual cash retainer fees, Board and committee Chair fees as described above, as well as meeting and education event fees. Directors may elect to defer up to 100% of their annual cash fees under the terms of the Deferred Compensation Plan, as described in more detail below. In 2025, both Mr. Vetter and Ms. Sorum elected to defer 100% of their annual cash fees.</w:t>
      </w:r>
    </w:p>
    <w:p>
      <w:pPr>
        <w:spacing w:after="0" w:line="2" w:lineRule="exact"/>
        <w:rPr>
          <w:rFonts w:ascii="Arial" w:cs="Arial" w:eastAsia="Arial" w:hAnsi="Arial"/>
          <w:sz w:val="27"/>
          <w:szCs w:val="27"/>
          <w:color w:val="auto"/>
          <w:vertAlign w:val="superscript"/>
        </w:rPr>
      </w:pPr>
    </w:p>
    <w:p>
      <w:pPr>
        <w:ind w:left="320" w:hanging="313"/>
        <w:spacing w:after="0" w:line="195" w:lineRule="auto"/>
        <w:tabs>
          <w:tab w:leader="none" w:pos="320" w:val="left"/>
        </w:tabs>
        <w:numPr>
          <w:ilvl w:val="0"/>
          <w:numId w:val="29"/>
        </w:numPr>
        <w:rPr>
          <w:rFonts w:ascii="Arial" w:cs="Arial" w:eastAsia="Arial" w:hAnsi="Arial"/>
          <w:sz w:val="27"/>
          <w:szCs w:val="27"/>
          <w:color w:val="auto"/>
          <w:vertAlign w:val="superscript"/>
        </w:rPr>
      </w:pPr>
      <w:r>
        <w:rPr>
          <w:rFonts w:ascii="Arial" w:cs="Arial" w:eastAsia="Arial" w:hAnsi="Arial"/>
          <w:sz w:val="16"/>
          <w:szCs w:val="16"/>
          <w:color w:val="auto"/>
        </w:rPr>
        <w:t>The stock awards were granted under the Company's 2019 Equity Incentive Plan subject to a one-year vesting term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593090" cy="1187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1AB2D2"/>
        </w:rPr>
        <w:t>EXECUTIVE OFFICERS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The business and banking background and experience of each of our executive officers, other than Ms. Lorenson, who also serves as a director and whose background and experience are set forth above, for at least the past five years is set forth below. No executive officer has any family relationship, as defined in Item 401 of Regulation S-K, with any other executive officer or any of our current directors. There are no arrangements or understandings between any of the officers and any other person pursuant to which he or she was selected as an officer.</w:t>
      </w:r>
    </w:p>
    <w:p>
      <w:pPr>
        <w:spacing w:after="0" w:line="200" w:lineRule="exact"/>
        <w:rPr>
          <w:sz w:val="20"/>
          <w:szCs w:val="20"/>
          <w:color w:val="auto"/>
        </w:rPr>
      </w:pPr>
    </w:p>
    <w:p>
      <w:pPr>
        <w:spacing w:after="0" w:line="34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Alan A. Villalon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2457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225" cy="24574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1AB2D2"/>
        </w:rPr>
        <w:t>Executive Vice President and Chief Financial Officer</w:t>
      </w:r>
    </w:p>
    <w:p>
      <w:pPr>
        <w:sectPr>
          <w:pgSz w:w="11900" w:h="16838" w:orient="portrait"/>
          <w:cols w:equalWidth="0" w:num="1">
            <w:col w:w="11240"/>
          </w:cols>
          <w:pgMar w:left="320" w:top="5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-1336040</wp:posOffset>
            </wp:positionV>
            <wp:extent cx="1228725" cy="12287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both"/>
        <w:ind w:left="10" w:right="160"/>
        <w:spacing w:after="0" w:line="261" w:lineRule="auto"/>
        <w:rPr>
          <w:sz w:val="20"/>
          <w:szCs w:val="20"/>
          <w:color w:val="auto"/>
        </w:rPr>
      </w:pPr>
      <w:r>
        <w:rPr>
          <w:rFonts w:ascii="Arial" w:cs="Arial" w:eastAsia="Arial" w:hAnsi="Arial"/>
          <w:sz w:val="16"/>
          <w:szCs w:val="16"/>
          <w:b w:val="1"/>
          <w:bCs w:val="1"/>
          <w:color w:val="auto"/>
        </w:rPr>
        <w:t xml:space="preserve">Mr. Villalon </w:t>
      </w:r>
      <w:r>
        <w:rPr>
          <w:rFonts w:ascii="Arial" w:cs="Arial" w:eastAsia="Arial" w:hAnsi="Arial"/>
          <w:sz w:val="16"/>
          <w:szCs w:val="16"/>
          <w:color w:val="auto"/>
        </w:rPr>
        <w:t>joined the Company as Executive Vice President and Chief Financial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in 2022. He has over 25 years of industry experience, including a distinct background in financial analysis and investor relations.</w:t>
      </w:r>
    </w:p>
    <w:p>
      <w:pPr>
        <w:spacing w:after="0" w:line="40" w:lineRule="exact"/>
        <w:rPr>
          <w:sz w:val="20"/>
          <w:szCs w:val="20"/>
          <w:color w:val="auto"/>
        </w:rPr>
      </w:pPr>
    </w:p>
    <w:p>
      <w:pPr>
        <w:ind w:left="190" w:right="120" w:hanging="190"/>
        <w:spacing w:after="0" w:line="278"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Mr. Villalon previously served as Deputy Director of Investor Relations and Senior Vice President at U.S. Bank, a position he held from 2020 until 2022.</w:t>
      </w:r>
    </w:p>
    <w:p>
      <w:pPr>
        <w:spacing w:after="0" w:line="14" w:lineRule="exact"/>
        <w:rPr>
          <w:rFonts w:ascii="Arial" w:cs="Arial" w:eastAsia="Arial" w:hAnsi="Arial"/>
          <w:sz w:val="16"/>
          <w:szCs w:val="16"/>
          <w:color w:val="auto"/>
        </w:rPr>
      </w:pPr>
    </w:p>
    <w:p>
      <w:pPr>
        <w:ind w:left="190" w:right="40" w:hanging="190"/>
        <w:spacing w:after="0" w:line="261"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Prior to U.S. Bank, Mr. Villalon spent most of his career in equity analyst research roles, including serving as a Senior Research Analyst at Thrivent Financial, Nuveen Asset Management/First American Funds Advisors, and Federated Investors.</w:t>
      </w:r>
    </w:p>
    <w:p>
      <w:pPr>
        <w:spacing w:after="0" w:line="26" w:lineRule="exact"/>
        <w:rPr>
          <w:rFonts w:ascii="Arial" w:cs="Arial" w:eastAsia="Arial" w:hAnsi="Arial"/>
          <w:sz w:val="16"/>
          <w:szCs w:val="16"/>
          <w:color w:val="auto"/>
        </w:rPr>
      </w:pPr>
    </w:p>
    <w:p>
      <w:pPr>
        <w:ind w:left="190" w:right="120" w:hanging="190"/>
        <w:spacing w:after="0" w:line="313" w:lineRule="auto"/>
        <w:tabs>
          <w:tab w:leader="none" w:pos="1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Mr. Villalon holds a Bachelor’s degree in accounting from the University of Notre Dame and a Master’s degree in business administration from Carnegie Mellon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222885</wp:posOffset>
            </wp:positionV>
            <wp:extent cx="71342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63" w:lineRule="exact"/>
        <w:rPr>
          <w:sz w:val="20"/>
          <w:szCs w:val="20"/>
          <w:color w:val="auto"/>
        </w:rPr>
      </w:pPr>
    </w:p>
    <w:p>
      <w:pPr>
        <w:sectPr>
          <w:pgSz w:w="11900" w:h="16838" w:orient="portrait"/>
          <w:cols w:equalWidth="0" w:num="2">
            <w:col w:w="4090" w:space="720"/>
            <w:col w:w="6430"/>
          </w:cols>
          <w:pgMar w:left="320" w:top="579" w:right="339" w:bottom="1440" w:gutter="0" w:footer="0" w:header="0"/>
          <w:type w:val="continuous"/>
        </w:sect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Jim R.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3644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225" cy="3644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1AB2D2"/>
        </w:rPr>
        <w:t>Executive Vice President and Chief Banking and Revenue</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6"/>
          <w:szCs w:val="16"/>
          <w:color w:val="1AB2D2"/>
        </w:rPr>
        <w:t>Officer</w:t>
      </w:r>
    </w:p>
    <w:p>
      <w:pPr>
        <w:spacing w:after="0" w:line="174" w:lineRule="exact"/>
        <w:rPr>
          <w:sz w:val="20"/>
          <w:szCs w:val="20"/>
          <w:color w:val="auto"/>
        </w:rPr>
      </w:pPr>
    </w:p>
    <w:p>
      <w:pPr>
        <w:ind w:left="4820" w:right="40"/>
        <w:spacing w:after="0" w:line="252" w:lineRule="auto"/>
        <w:rPr>
          <w:sz w:val="20"/>
          <w:szCs w:val="20"/>
          <w:color w:val="auto"/>
        </w:rPr>
      </w:pPr>
      <w:r>
        <w:rPr>
          <w:rFonts w:ascii="Arial" w:cs="Arial" w:eastAsia="Arial" w:hAnsi="Arial"/>
          <w:sz w:val="16"/>
          <w:szCs w:val="16"/>
          <w:b w:val="1"/>
          <w:bCs w:val="1"/>
          <w:color w:val="auto"/>
        </w:rPr>
        <w:t xml:space="preserve">Mr. Collins </w:t>
      </w:r>
      <w:r>
        <w:rPr>
          <w:rFonts w:ascii="Arial" w:cs="Arial" w:eastAsia="Arial" w:hAnsi="Arial"/>
          <w:sz w:val="16"/>
          <w:szCs w:val="16"/>
          <w:color w:val="auto"/>
        </w:rPr>
        <w:t>serves as Executive Vice President and Chief Banking and Revenue Officer, a</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 he has occupied since 2022, overseeing our Company’s banking and wealth revenue-related functions including sales and business development, client segmentation, and client servicing. Mr. Collins has more than 30 years of commercial banking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-603885</wp:posOffset>
            </wp:positionV>
            <wp:extent cx="1228725" cy="12287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spacing w:after="0" w:line="28" w:lineRule="exact"/>
        <w:rPr>
          <w:sz w:val="20"/>
          <w:szCs w:val="20"/>
          <w:color w:val="auto"/>
        </w:rPr>
      </w:pPr>
    </w:p>
    <w:p>
      <w:pPr>
        <w:ind w:left="5000" w:right="620" w:hanging="190"/>
        <w:spacing w:after="0" w:line="306" w:lineRule="auto"/>
        <w:tabs>
          <w:tab w:leader="none" w:pos="499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Before joining the Company, Mr. Collins served as the Minnesota regional Chief Executive Officer and President of corporate banking for Old National Bank.</w:t>
      </w:r>
    </w:p>
    <w:p>
      <w:pPr>
        <w:ind w:left="5000" w:right="160" w:hanging="190"/>
        <w:spacing w:after="0" w:line="233" w:lineRule="auto"/>
        <w:tabs>
          <w:tab w:leader="none" w:pos="499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Mr. Collins’ past experience includes various leadership roles for Anchor Bank over 13 years, including Senior Vice President of Commercial, Community and Wealth when Anchor Bank was acquired by Old National Bank in 2017.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54</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263525</wp:posOffset>
            </wp:positionV>
            <wp:extent cx="593090" cy="1187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type w:val="continuous"/>
        </w:sectPr>
      </w:pPr>
    </w:p>
    <w:bookmarkStart w:id="22" w:name="page23"/>
    <w:bookmarkEnd w:id="22"/>
    <w:p>
      <w:pPr>
        <w:ind w:left="200"/>
        <w:spacing w:after="0"/>
        <w:rPr>
          <w:sz w:val="20"/>
          <w:szCs w:val="20"/>
          <w:color w:val="auto"/>
        </w:rPr>
      </w:pPr>
      <w:r>
        <w:rPr>
          <w:rFonts w:ascii="Arial" w:cs="Arial" w:eastAsia="Arial" w:hAnsi="Arial"/>
          <w:sz w:val="18"/>
          <w:szCs w:val="18"/>
          <w:b w:val="1"/>
          <w:bCs w:val="1"/>
          <w:color w:val="FFFFFF"/>
        </w:rPr>
        <w:t>Karin M. Taylor</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5"/>
          <w:szCs w:val="15"/>
          <w:color w:val="1AB2D2"/>
        </w:rPr>
        <w:t>Executive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126365</wp:posOffset>
            </wp:positionV>
            <wp:extent cx="1228725" cy="1228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58</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8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ind w:left="10" w:right="60"/>
        <w:spacing w:after="0" w:line="278" w:lineRule="auto"/>
        <w:rPr>
          <w:sz w:val="20"/>
          <w:szCs w:val="20"/>
          <w:color w:val="auto"/>
        </w:rPr>
      </w:pPr>
      <w:r>
        <w:rPr>
          <w:rFonts w:ascii="Arial" w:cs="Arial" w:eastAsia="Arial" w:hAnsi="Arial"/>
          <w:sz w:val="16"/>
          <w:szCs w:val="16"/>
          <w:b w:val="1"/>
          <w:bCs w:val="1"/>
          <w:color w:val="auto"/>
        </w:rPr>
        <w:t xml:space="preserve">Ms. Taylor </w:t>
      </w:r>
      <w:r>
        <w:rPr>
          <w:rFonts w:ascii="Arial" w:cs="Arial" w:eastAsia="Arial" w:hAnsi="Arial"/>
          <w:sz w:val="16"/>
          <w:szCs w:val="16"/>
          <w:color w:val="auto"/>
        </w:rPr>
        <w:t>serves as Executive Vice President and Chief Operating Officer and joined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in 2018. Ms. Taylor has more than 35 years of industry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-625475</wp:posOffset>
            </wp:positionV>
            <wp:extent cx="7134225" cy="245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225" cy="245745"/>
                    </a:xfrm>
                    <a:prstGeom prst="rect">
                      <a:avLst/>
                    </a:prstGeom>
                    <a:noFill/>
                  </pic:spPr>
                </pic:pic>
              </a:graphicData>
            </a:graphic>
          </wp:anchor>
        </w:drawing>
      </w:r>
    </w:p>
    <w:p>
      <w:pPr>
        <w:ind w:left="190" w:right="440" w:hanging="190"/>
        <w:spacing w:after="0" w:line="261"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 Taylor previously served as Chief Risk Officer at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Bank and, prior thereto, as Chief Risk Officer for Central Bank, which was acquired by MidWest</w:t>
      </w:r>
      <w:r>
        <w:rPr>
          <w:rFonts w:ascii="Arial" w:cs="Arial" w:eastAsia="Arial" w:hAnsi="Arial"/>
          <w:sz w:val="16"/>
          <w:szCs w:val="16"/>
          <w:i w:val="1"/>
          <w:iCs w:val="1"/>
          <w:color w:val="auto"/>
        </w:rPr>
        <w:t>One</w:t>
      </w:r>
      <w:r>
        <w:rPr>
          <w:rFonts w:ascii="Arial" w:cs="Arial" w:eastAsia="Arial" w:hAnsi="Arial"/>
          <w:sz w:val="16"/>
          <w:szCs w:val="16"/>
          <w:color w:val="auto"/>
        </w:rPr>
        <w:t xml:space="preserve"> Financial Group, Inc. in 2015.</w:t>
      </w:r>
    </w:p>
    <w:p>
      <w:pPr>
        <w:spacing w:after="0" w:line="40" w:lineRule="exact"/>
        <w:rPr>
          <w:rFonts w:ascii="Arial" w:cs="Arial" w:eastAsia="Arial" w:hAnsi="Arial"/>
          <w:sz w:val="16"/>
          <w:szCs w:val="16"/>
          <w:color w:val="auto"/>
        </w:rPr>
      </w:pPr>
    </w:p>
    <w:p>
      <w:pPr>
        <w:ind w:left="190" w:right="160" w:hanging="190"/>
        <w:spacing w:after="0" w:line="278"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Prior to these roles, Ms. Taylor served as the Director of Risk Management Consulting at RSM (formerly, RSM McGladrey).</w:t>
      </w:r>
    </w:p>
    <w:p>
      <w:pPr>
        <w:spacing w:after="0" w:line="14" w:lineRule="exact"/>
        <w:rPr>
          <w:rFonts w:ascii="Arial" w:cs="Arial" w:eastAsia="Arial" w:hAnsi="Arial"/>
          <w:sz w:val="16"/>
          <w:szCs w:val="16"/>
          <w:color w:val="auto"/>
        </w:rPr>
      </w:pPr>
    </w:p>
    <w:p>
      <w:pPr>
        <w:ind w:left="190" w:right="60" w:hanging="190"/>
        <w:spacing w:after="0" w:line="261" w:lineRule="auto"/>
        <w:tabs>
          <w:tab w:leader="none" w:pos="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Ms. Taylor received a Bachelor of Arts degree from St. Olaf College and graduated with honors from the Graduate School of Banking at the University of Colorado, Boulder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246380</wp:posOffset>
            </wp:positionV>
            <wp:extent cx="71342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400" w:lineRule="exact"/>
        <w:rPr>
          <w:sz w:val="20"/>
          <w:szCs w:val="20"/>
          <w:color w:val="auto"/>
        </w:rPr>
      </w:pPr>
    </w:p>
    <w:p>
      <w:pPr>
        <w:sectPr>
          <w:pgSz w:w="11900" w:h="16838" w:orient="portrait"/>
          <w:cols w:equalWidth="0" w:num="2">
            <w:col w:w="4090" w:space="720"/>
            <w:col w:w="6430"/>
          </w:cols>
          <w:pgMar w:left="320" w:top="574" w:right="339" w:bottom="1440" w:gutter="0" w:footer="0" w:header="0"/>
        </w:sectPr>
      </w:pPr>
    </w:p>
    <w:p>
      <w:pPr>
        <w:spacing w:after="0" w:line="3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Forrest R. Wilson</w:t>
      </w:r>
    </w:p>
    <w:p>
      <w:pPr>
        <w:spacing w:after="0" w:line="14" w:lineRule="exact"/>
        <w:rPr>
          <w:sz w:val="20"/>
          <w:szCs w:val="20"/>
          <w:color w:val="auto"/>
        </w:rPr>
      </w:pPr>
    </w:p>
    <w:p>
      <w:pPr>
        <w:ind w:left="200"/>
        <w:spacing w:after="0" w:line="257" w:lineRule="auto"/>
        <w:rPr>
          <w:sz w:val="20"/>
          <w:szCs w:val="20"/>
          <w:color w:val="auto"/>
        </w:rPr>
      </w:pPr>
      <w:r>
        <w:rPr>
          <w:rFonts w:ascii="Arial" w:cs="Arial" w:eastAsia="Arial" w:hAnsi="Arial"/>
          <w:sz w:val="16"/>
          <w:szCs w:val="16"/>
          <w:color w:val="1AB2D2"/>
        </w:rPr>
        <w:t>Executive Vice President and Chief Retirement Services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104140</wp:posOffset>
            </wp:positionV>
            <wp:extent cx="1228725" cy="12287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56</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0" w:right="140"/>
        <w:spacing w:after="0" w:line="255" w:lineRule="auto"/>
        <w:rPr>
          <w:sz w:val="20"/>
          <w:szCs w:val="20"/>
          <w:color w:val="auto"/>
        </w:rPr>
      </w:pPr>
      <w:r>
        <w:rPr>
          <w:rFonts w:ascii="Arial" w:cs="Arial" w:eastAsia="Arial" w:hAnsi="Arial"/>
          <w:sz w:val="16"/>
          <w:szCs w:val="16"/>
          <w:b w:val="1"/>
          <w:bCs w:val="1"/>
          <w:color w:val="auto"/>
        </w:rPr>
        <w:t xml:space="preserve">Mr. Wilson </w:t>
      </w:r>
      <w:r>
        <w:rPr>
          <w:rFonts w:ascii="Arial" w:cs="Arial" w:eastAsia="Arial" w:hAnsi="Arial"/>
          <w:sz w:val="16"/>
          <w:szCs w:val="16"/>
          <w:color w:val="auto"/>
        </w:rPr>
        <w:t>joined Alerus as Executive Vice President and Chief Retirement Services</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in 2024. In this role, he is responsible for the overall leadership and direction of Alerus’ retirement and benefits division, which serves third-party advisors, plan sponsors, and participants nationwide.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-969645</wp:posOffset>
            </wp:positionV>
            <wp:extent cx="7134225" cy="3644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225" cy="364490"/>
                    </a:xfrm>
                    <a:prstGeom prst="rect">
                      <a:avLst/>
                    </a:prstGeom>
                    <a:noFill/>
                  </pic:spPr>
                </pic:pic>
              </a:graphicData>
            </a:graphic>
          </wp:anchor>
        </w:drawing>
      </w:r>
    </w:p>
    <w:p>
      <w:pPr>
        <w:spacing w:after="0" w:line="12" w:lineRule="exact"/>
        <w:rPr>
          <w:sz w:val="20"/>
          <w:szCs w:val="20"/>
          <w:color w:val="auto"/>
        </w:rPr>
      </w:pPr>
    </w:p>
    <w:p>
      <w:pPr>
        <w:ind w:left="190" w:right="200" w:hanging="190"/>
        <w:spacing w:after="0" w:line="252"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Wilson is a well-rounded retirement industry professional with over 25 years of experience on both the platform/recordkeeping and investment sides of the business. He has extensive knowledge in sales and distribution growth, product oversight and strategy, acquisitions, digital engagement, implementation, and service delivery, and has experience with all types of defined contribution plans.</w:t>
      </w:r>
    </w:p>
    <w:p>
      <w:pPr>
        <w:spacing w:after="0" w:line="48" w:lineRule="exact"/>
        <w:rPr>
          <w:rFonts w:ascii="Arial" w:cs="Arial" w:eastAsia="Arial" w:hAnsi="Arial"/>
          <w:sz w:val="16"/>
          <w:szCs w:val="16"/>
          <w:color w:val="auto"/>
        </w:rPr>
      </w:pPr>
    </w:p>
    <w:p>
      <w:pPr>
        <w:ind w:left="190" w:right="120" w:hanging="190"/>
        <w:spacing w:after="0" w:line="278"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Before joining the Company, Mr. Wilson served as Senior Vice President of Retirement Plans Sales and Distribution at Ameritas Mutual Holding Company.</w:t>
      </w:r>
    </w:p>
    <w:p>
      <w:pPr>
        <w:spacing w:after="0" w:line="14" w:lineRule="exact"/>
        <w:rPr>
          <w:rFonts w:ascii="Arial" w:cs="Arial" w:eastAsia="Arial" w:hAnsi="Arial"/>
          <w:sz w:val="16"/>
          <w:szCs w:val="16"/>
          <w:color w:val="auto"/>
        </w:rPr>
      </w:pPr>
    </w:p>
    <w:p>
      <w:pPr>
        <w:ind w:left="190" w:right="20" w:hanging="190"/>
        <w:spacing w:after="0" w:line="261" w:lineRule="auto"/>
        <w:tabs>
          <w:tab w:leader="none" w:pos="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Wilson holds a bachelor’s degree in marketing from Central Connecticut State University and an MBA in finance and marketing from New York University Stern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144780</wp:posOffset>
            </wp:positionV>
            <wp:extent cx="7134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80" w:space="630"/>
            <w:col w:w="6430"/>
          </w:cols>
          <w:pgMar w:left="320" w:top="57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Missy S. Keney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4225" cy="245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225" cy="24574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1AB2D2"/>
        </w:rPr>
        <w:t>Executive Vice President and Chief Engagement Officer</w:t>
      </w:r>
    </w:p>
    <w:p>
      <w:pPr>
        <w:spacing w:after="0" w:line="174" w:lineRule="exact"/>
        <w:rPr>
          <w:sz w:val="20"/>
          <w:szCs w:val="20"/>
          <w:color w:val="auto"/>
        </w:rPr>
      </w:pPr>
    </w:p>
    <w:p>
      <w:pPr>
        <w:ind w:left="4820" w:right="140"/>
        <w:spacing w:after="0" w:line="255" w:lineRule="auto"/>
        <w:rPr>
          <w:sz w:val="20"/>
          <w:szCs w:val="20"/>
          <w:color w:val="auto"/>
        </w:rPr>
      </w:pPr>
      <w:r>
        <w:rPr>
          <w:rFonts w:ascii="Arial" w:cs="Arial" w:eastAsia="Arial" w:hAnsi="Arial"/>
          <w:sz w:val="16"/>
          <w:szCs w:val="16"/>
          <w:b w:val="1"/>
          <w:bCs w:val="1"/>
          <w:color w:val="auto"/>
        </w:rPr>
        <w:t xml:space="preserve">Ms. Keney </w:t>
      </w:r>
      <w:r>
        <w:rPr>
          <w:rFonts w:ascii="Arial" w:cs="Arial" w:eastAsia="Arial" w:hAnsi="Arial"/>
          <w:sz w:val="16"/>
          <w:szCs w:val="16"/>
          <w:color w:val="auto"/>
        </w:rPr>
        <w:t>serves as Executive Vice President and Chief Engagement Officer, a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she has occupied since 2022, overseeing our Company’s employee and client engagement strategies, including strategic alignment and planning in the areas of marketing and client experience, human resources, and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-487045</wp:posOffset>
            </wp:positionV>
            <wp:extent cx="1228725" cy="1228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28725" cy="1228725"/>
                    </a:xfrm>
                    <a:prstGeom prst="rect">
                      <a:avLst/>
                    </a:prstGeom>
                    <a:noFill/>
                  </pic:spPr>
                </pic:pic>
              </a:graphicData>
            </a:graphic>
          </wp:anchor>
        </w:drawing>
      </w:r>
    </w:p>
    <w:p>
      <w:pPr>
        <w:spacing w:after="0" w:line="12" w:lineRule="exact"/>
        <w:rPr>
          <w:sz w:val="20"/>
          <w:szCs w:val="20"/>
          <w:color w:val="auto"/>
        </w:rPr>
      </w:pPr>
    </w:p>
    <w:p>
      <w:pPr>
        <w:ind w:left="5000" w:right="520" w:hanging="190"/>
        <w:spacing w:after="0" w:line="278" w:lineRule="auto"/>
        <w:tabs>
          <w:tab w:leader="none" w:pos="499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Ms. Keney joined the Company in 2005 and previously served as the Company’s Director of Marketing and Client experience.</w:t>
      </w:r>
    </w:p>
    <w:p>
      <w:pPr>
        <w:spacing w:after="0" w:line="27" w:lineRule="exact"/>
        <w:rPr>
          <w:rFonts w:ascii="Arial" w:cs="Arial" w:eastAsia="Arial" w:hAnsi="Arial"/>
          <w:sz w:val="16"/>
          <w:szCs w:val="16"/>
          <w:color w:val="auto"/>
        </w:rPr>
      </w:pPr>
    </w:p>
    <w:p>
      <w:pPr>
        <w:ind w:left="5000" w:hanging="190"/>
        <w:spacing w:after="0" w:line="261" w:lineRule="auto"/>
        <w:tabs>
          <w:tab w:leader="none" w:pos="499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Ms. Keney received a Bachelor of Science degree in business administration from North Dakota State University and also earned the Certified Financial Marketing Professional designation through the Institute of Certified Bankers.</w:t>
      </w:r>
    </w:p>
    <w:p>
      <w:pPr>
        <w:spacing w:after="0" w:line="67"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44</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color w:val="auto"/>
        </w:rPr>
        <w:t>years with Alerus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1342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263525</wp:posOffset>
            </wp:positionV>
            <wp:extent cx="593090" cy="1187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20</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28"/>
          <w:szCs w:val="28"/>
          <w:color w:val="062B48"/>
        </w:rPr>
        <w:t>Compensation Discussion and Analysis</w:t>
      </w:r>
    </w:p>
    <w:p>
      <w:pPr>
        <w:spacing w:after="0" w:line="243"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This Compensation Discussion and Analysis describes our compensation philosophy and policies as applicable to the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listed below for 2025. This CD&amp;A also describes the Compensation Committee’s process for making pay decisions, as well as the rationale for specific decisions related to the fiscal year ended December 31, 2025.</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NAMED EXECUTIVE OFFICERS</w:t>
      </w:r>
    </w:p>
    <w:p>
      <w:pPr>
        <w:spacing w:after="0" w:line="70"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Our NEOs for 2025, which consist of our principal executive officer, our principal financial officer, and the Company’s three other most highly compensated executive officers, were:</w:t>
      </w:r>
    </w:p>
    <w:p>
      <w:pPr>
        <w:spacing w:after="0" w:line="161"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Katie A. Lorenson, President and Chief Executive Officer;</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Alan A. Villalon, Executive Vice President and Chief Financial Officer;</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Jim R. Collins, Executive Vice President and Chief Banking and Revenue Officer;</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Karin M. Taylor, Executive Vice President and Chief Operating Officer; and</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Forrest R. Wilson, Executive Vice President and Chief Retirement Services Officer.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1AB2D2"/>
        </w:rPr>
        <w:t>OUR COMPENSATION PHILOSOPHY AND GOVERNANCE PRACTICES</w:t>
      </w:r>
    </w:p>
    <w:p>
      <w:pPr>
        <w:spacing w:after="0" w:line="8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Compensation Committee, which consists solely of independent directors, oversees our compensation program and reviews and approves the compensation of our NEOs. The primary objectives of our executive compensation program are to (1) align compensation programs with stockholder interests,</w:t>
      </w:r>
    </w:p>
    <w:p>
      <w:pPr>
        <w:ind w:firstLine="7"/>
        <w:spacing w:after="0" w:line="246" w:lineRule="auto"/>
        <w:tabs>
          <w:tab w:leader="none" w:pos="2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utilize compensation programs that support the Company’s core values and promote high ethical standards, (3) incorporate risk management features that encourage prudent decision-making without excessive risk, (4) ensure compensation programs reflect regulatory guidance, and (5) attract, motivate, and retain talented individuals. Our Board believes the executive compensation packages that we provide to our executives, including our NEOs, should include both cash and equity components that reward performance as measured against established Company goals. We compensate our NEOs with a combination of base salary, annual cash incentive bonuses, annual grants of equity, and other benefits (including perquisites). Each element is designed to achieve a specific purpose and to contribute to a total package that is competitive with similar packages provided by other institutions that compete for the services of individuals like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593090" cy="1187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7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Elements of Compensation</w:t>
      </w:r>
    </w:p>
    <w:p>
      <w:pPr>
        <w:spacing w:after="0" w:line="83"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The Compensation Committee reviews and evaluates all components of each NEO’s total compensation package, including cash payments and non-cash incentives and benefits. The chart below summarizes the major elements of NEO compensation.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980" w:type="dxa"/>
            <w:vAlign w:val="bottom"/>
            <w:shd w:val="clear" w:color="auto" w:fill="062B48"/>
          </w:tcPr>
          <w:p>
            <w:pPr>
              <w:spacing w:after="0"/>
              <w:rPr>
                <w:sz w:val="16"/>
                <w:szCs w:val="16"/>
                <w:color w:val="auto"/>
              </w:rPr>
            </w:pPr>
          </w:p>
        </w:tc>
        <w:tc>
          <w:tcPr>
            <w:tcW w:w="2500" w:type="dxa"/>
            <w:vAlign w:val="bottom"/>
            <w:shd w:val="clear" w:color="auto" w:fill="062B48"/>
          </w:tcPr>
          <w:p>
            <w:pPr>
              <w:spacing w:after="0"/>
              <w:rPr>
                <w:sz w:val="16"/>
                <w:szCs w:val="16"/>
                <w:color w:val="auto"/>
              </w:rPr>
            </w:pPr>
          </w:p>
        </w:tc>
        <w:tc>
          <w:tcPr>
            <w:tcW w:w="2400" w:type="dxa"/>
            <w:vAlign w:val="bottom"/>
            <w:shd w:val="clear" w:color="auto" w:fill="062B48"/>
          </w:tcPr>
          <w:p>
            <w:pPr>
              <w:ind w:left="60"/>
              <w:spacing w:after="0"/>
              <w:rPr>
                <w:sz w:val="20"/>
                <w:szCs w:val="20"/>
                <w:color w:val="auto"/>
              </w:rPr>
            </w:pPr>
            <w:r>
              <w:rPr>
                <w:rFonts w:ascii="Arial" w:cs="Arial" w:eastAsia="Arial" w:hAnsi="Arial"/>
                <w:sz w:val="14"/>
                <w:szCs w:val="14"/>
                <w:color w:val="FFFFFF"/>
              </w:rPr>
              <w:t>Why We Pay this</w:t>
            </w:r>
          </w:p>
        </w:tc>
        <w:tc>
          <w:tcPr>
            <w:tcW w:w="2160" w:type="dxa"/>
            <w:vAlign w:val="bottom"/>
            <w:shd w:val="clear" w:color="auto" w:fill="062B48"/>
          </w:tcPr>
          <w:p>
            <w:pPr>
              <w:ind w:left="40"/>
              <w:spacing w:after="0"/>
              <w:rPr>
                <w:sz w:val="20"/>
                <w:szCs w:val="20"/>
                <w:color w:val="auto"/>
              </w:rPr>
            </w:pPr>
            <w:r>
              <w:rPr>
                <w:rFonts w:ascii="Arial" w:cs="Arial" w:eastAsia="Arial" w:hAnsi="Arial"/>
                <w:sz w:val="14"/>
                <w:szCs w:val="14"/>
                <w:color w:val="FFFFFF"/>
              </w:rPr>
              <w:t>How We Determine</w:t>
            </w:r>
          </w:p>
        </w:tc>
        <w:tc>
          <w:tcPr>
            <w:tcW w:w="2200" w:type="dxa"/>
            <w:vAlign w:val="bottom"/>
            <w:shd w:val="clear" w:color="auto" w:fill="062B48"/>
          </w:tcPr>
          <w:p>
            <w:pPr>
              <w:spacing w:after="0"/>
              <w:rPr>
                <w:sz w:val="16"/>
                <w:szCs w:val="16"/>
                <w:color w:val="auto"/>
              </w:rPr>
            </w:pPr>
          </w:p>
        </w:tc>
      </w:tr>
      <w:tr>
        <w:trPr>
          <w:trHeight w:val="189"/>
        </w:trPr>
        <w:tc>
          <w:tcPr>
            <w:tcW w:w="1980" w:type="dxa"/>
            <w:vAlign w:val="bottom"/>
            <w:tcBorders>
              <w:bottom w:val="single" w:sz="8" w:color="062B48"/>
            </w:tcBorders>
            <w:shd w:val="clear" w:color="auto" w:fill="062B48"/>
          </w:tcPr>
          <w:p>
            <w:pPr>
              <w:ind w:left="260"/>
              <w:spacing w:after="0"/>
              <w:rPr>
                <w:sz w:val="20"/>
                <w:szCs w:val="20"/>
                <w:color w:val="auto"/>
              </w:rPr>
            </w:pPr>
            <w:r>
              <w:rPr>
                <w:rFonts w:ascii="Arial" w:cs="Arial" w:eastAsia="Arial" w:hAnsi="Arial"/>
                <w:sz w:val="14"/>
                <w:szCs w:val="14"/>
                <w:color w:val="FFFFFF"/>
              </w:rPr>
              <w:t>Pay Element</w:t>
            </w:r>
          </w:p>
        </w:tc>
        <w:tc>
          <w:tcPr>
            <w:tcW w:w="2500" w:type="dxa"/>
            <w:vAlign w:val="bottom"/>
            <w:tcBorders>
              <w:bottom w:val="single" w:sz="8" w:color="062B48"/>
            </w:tcBorders>
            <w:shd w:val="clear" w:color="auto" w:fill="062B48"/>
          </w:tcPr>
          <w:p>
            <w:pPr>
              <w:ind w:left="380"/>
              <w:spacing w:after="0"/>
              <w:rPr>
                <w:sz w:val="20"/>
                <w:szCs w:val="20"/>
                <w:color w:val="auto"/>
              </w:rPr>
            </w:pPr>
            <w:r>
              <w:rPr>
                <w:rFonts w:ascii="Arial" w:cs="Arial" w:eastAsia="Arial" w:hAnsi="Arial"/>
                <w:sz w:val="14"/>
                <w:szCs w:val="14"/>
                <w:color w:val="FFFFFF"/>
              </w:rPr>
              <w:t>Key Characteristics</w:t>
            </w:r>
          </w:p>
        </w:tc>
        <w:tc>
          <w:tcPr>
            <w:tcW w:w="2400" w:type="dxa"/>
            <w:vAlign w:val="bottom"/>
            <w:tcBorders>
              <w:bottom w:val="single" w:sz="8" w:color="062B48"/>
            </w:tcBorders>
            <w:shd w:val="clear" w:color="auto" w:fill="062B48"/>
          </w:tcPr>
          <w:p>
            <w:pPr>
              <w:ind w:left="60"/>
              <w:spacing w:after="0"/>
              <w:rPr>
                <w:sz w:val="20"/>
                <w:szCs w:val="20"/>
                <w:color w:val="auto"/>
              </w:rPr>
            </w:pPr>
            <w:r>
              <w:rPr>
                <w:rFonts w:ascii="Arial" w:cs="Arial" w:eastAsia="Arial" w:hAnsi="Arial"/>
                <w:sz w:val="14"/>
                <w:szCs w:val="14"/>
                <w:color w:val="FFFFFF"/>
              </w:rPr>
              <w:t>Element</w:t>
            </w:r>
          </w:p>
        </w:tc>
        <w:tc>
          <w:tcPr>
            <w:tcW w:w="2160" w:type="dxa"/>
            <w:vAlign w:val="bottom"/>
            <w:tcBorders>
              <w:bottom w:val="single" w:sz="8" w:color="062B48"/>
            </w:tcBorders>
            <w:shd w:val="clear" w:color="auto" w:fill="062B48"/>
          </w:tcPr>
          <w:p>
            <w:pPr>
              <w:ind w:left="40"/>
              <w:spacing w:after="0"/>
              <w:rPr>
                <w:sz w:val="20"/>
                <w:szCs w:val="20"/>
                <w:color w:val="auto"/>
              </w:rPr>
            </w:pPr>
            <w:r>
              <w:rPr>
                <w:rFonts w:ascii="Arial" w:cs="Arial" w:eastAsia="Arial" w:hAnsi="Arial"/>
                <w:sz w:val="14"/>
                <w:szCs w:val="14"/>
                <w:color w:val="FFFFFF"/>
              </w:rPr>
              <w:t>the Amount</w:t>
            </w:r>
          </w:p>
        </w:tc>
        <w:tc>
          <w:tcPr>
            <w:tcW w:w="2200" w:type="dxa"/>
            <w:vAlign w:val="bottom"/>
            <w:tcBorders>
              <w:bottom w:val="single" w:sz="8" w:color="062B48"/>
            </w:tcBorders>
            <w:shd w:val="clear" w:color="auto" w:fill="062B48"/>
          </w:tcPr>
          <w:p>
            <w:pPr>
              <w:ind w:left="60"/>
              <w:spacing w:after="0"/>
              <w:rPr>
                <w:sz w:val="20"/>
                <w:szCs w:val="20"/>
                <w:color w:val="auto"/>
              </w:rPr>
            </w:pPr>
            <w:r>
              <w:rPr>
                <w:rFonts w:ascii="Arial" w:cs="Arial" w:eastAsia="Arial" w:hAnsi="Arial"/>
                <w:sz w:val="14"/>
                <w:szCs w:val="14"/>
                <w:color w:val="FFFFFF"/>
              </w:rPr>
              <w:t>2025 Decisions</w:t>
            </w:r>
          </w:p>
        </w:tc>
      </w:tr>
      <w:tr>
        <w:trPr>
          <w:trHeight w:val="191"/>
        </w:trPr>
        <w:tc>
          <w:tcPr>
            <w:tcW w:w="1980" w:type="dxa"/>
            <w:vAlign w:val="bottom"/>
          </w:tcPr>
          <w:p>
            <w:pPr>
              <w:ind w:left="260"/>
              <w:spacing w:after="0"/>
              <w:rPr>
                <w:sz w:val="20"/>
                <w:szCs w:val="20"/>
                <w:color w:val="auto"/>
              </w:rPr>
            </w:pPr>
            <w:r>
              <w:rPr>
                <w:rFonts w:ascii="Arial" w:cs="Arial" w:eastAsia="Arial" w:hAnsi="Arial"/>
                <w:sz w:val="14"/>
                <w:szCs w:val="14"/>
                <w:color w:val="auto"/>
              </w:rPr>
              <w:t>Base Salary</w:t>
            </w:r>
          </w:p>
        </w:tc>
        <w:tc>
          <w:tcPr>
            <w:tcW w:w="2500" w:type="dxa"/>
            <w:vAlign w:val="bottom"/>
          </w:tcPr>
          <w:p>
            <w:pPr>
              <w:ind w:left="380"/>
              <w:spacing w:after="0"/>
              <w:rPr>
                <w:sz w:val="20"/>
                <w:szCs w:val="20"/>
                <w:color w:val="auto"/>
              </w:rPr>
            </w:pPr>
            <w:r>
              <w:rPr>
                <w:rFonts w:ascii="Arial" w:cs="Arial" w:eastAsia="Arial" w:hAnsi="Arial"/>
                <w:sz w:val="14"/>
                <w:szCs w:val="14"/>
                <w:color w:val="auto"/>
              </w:rPr>
              <w:t>Fixed compensation paid in</w:t>
            </w:r>
          </w:p>
        </w:tc>
        <w:tc>
          <w:tcPr>
            <w:tcW w:w="2400" w:type="dxa"/>
            <w:vAlign w:val="bottom"/>
          </w:tcPr>
          <w:p>
            <w:pPr>
              <w:ind w:left="60"/>
              <w:spacing w:after="0"/>
              <w:rPr>
                <w:sz w:val="20"/>
                <w:szCs w:val="20"/>
                <w:color w:val="auto"/>
              </w:rPr>
            </w:pPr>
            <w:r>
              <w:rPr>
                <w:rFonts w:ascii="Arial" w:cs="Arial" w:eastAsia="Arial" w:hAnsi="Arial"/>
                <w:sz w:val="14"/>
                <w:szCs w:val="14"/>
                <w:color w:val="auto"/>
              </w:rPr>
              <w:t>Provide a competitive base salary to</w:t>
            </w:r>
          </w:p>
        </w:tc>
        <w:tc>
          <w:tcPr>
            <w:tcW w:w="2160" w:type="dxa"/>
            <w:vAlign w:val="bottom"/>
          </w:tcPr>
          <w:p>
            <w:pPr>
              <w:ind w:left="40"/>
              <w:spacing w:after="0"/>
              <w:rPr>
                <w:sz w:val="20"/>
                <w:szCs w:val="20"/>
                <w:color w:val="auto"/>
              </w:rPr>
            </w:pPr>
            <w:r>
              <w:rPr>
                <w:rFonts w:ascii="Arial" w:cs="Arial" w:eastAsia="Arial" w:hAnsi="Arial"/>
                <w:sz w:val="14"/>
                <w:szCs w:val="14"/>
                <w:color w:val="auto"/>
              </w:rPr>
              <w:t>Experience, industry knowledge,</w:t>
            </w:r>
          </w:p>
        </w:tc>
        <w:tc>
          <w:tcPr>
            <w:tcW w:w="2200" w:type="dxa"/>
            <w:vAlign w:val="bottom"/>
          </w:tcPr>
          <w:p>
            <w:pPr>
              <w:ind w:left="60"/>
              <w:spacing w:after="0"/>
              <w:rPr>
                <w:sz w:val="20"/>
                <w:szCs w:val="20"/>
                <w:color w:val="auto"/>
              </w:rPr>
            </w:pPr>
            <w:r>
              <w:rPr>
                <w:rFonts w:ascii="Arial" w:cs="Arial" w:eastAsia="Arial" w:hAnsi="Arial"/>
                <w:sz w:val="14"/>
                <w:szCs w:val="14"/>
                <w:color w:val="auto"/>
              </w:rPr>
              <w:t>Base salary increases ranged</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cash. Reviewed annually and</w:t>
            </w:r>
          </w:p>
        </w:tc>
        <w:tc>
          <w:tcPr>
            <w:tcW w:w="2400" w:type="dxa"/>
            <w:vAlign w:val="bottom"/>
          </w:tcPr>
          <w:p>
            <w:pPr>
              <w:ind w:left="60"/>
              <w:spacing w:after="0"/>
              <w:rPr>
                <w:sz w:val="20"/>
                <w:szCs w:val="20"/>
                <w:color w:val="auto"/>
              </w:rPr>
            </w:pPr>
            <w:r>
              <w:rPr>
                <w:rFonts w:ascii="Arial" w:cs="Arial" w:eastAsia="Arial" w:hAnsi="Arial"/>
                <w:sz w:val="14"/>
                <w:szCs w:val="14"/>
                <w:color w:val="auto"/>
              </w:rPr>
              <w:t>attract and retain critical executive</w:t>
            </w:r>
          </w:p>
        </w:tc>
        <w:tc>
          <w:tcPr>
            <w:tcW w:w="2160" w:type="dxa"/>
            <w:vAlign w:val="bottom"/>
          </w:tcPr>
          <w:p>
            <w:pPr>
              <w:ind w:left="40"/>
              <w:spacing w:after="0"/>
              <w:rPr>
                <w:sz w:val="20"/>
                <w:szCs w:val="20"/>
                <w:color w:val="auto"/>
              </w:rPr>
            </w:pPr>
            <w:r>
              <w:rPr>
                <w:rFonts w:ascii="Arial" w:cs="Arial" w:eastAsia="Arial" w:hAnsi="Arial"/>
                <w:sz w:val="14"/>
                <w:szCs w:val="14"/>
                <w:color w:val="auto"/>
              </w:rPr>
              <w:t>peer data, company</w:t>
            </w:r>
          </w:p>
        </w:tc>
        <w:tc>
          <w:tcPr>
            <w:tcW w:w="2200" w:type="dxa"/>
            <w:vAlign w:val="bottom"/>
          </w:tcPr>
          <w:p>
            <w:pPr>
              <w:ind w:left="60"/>
              <w:spacing w:after="0"/>
              <w:rPr>
                <w:sz w:val="20"/>
                <w:szCs w:val="20"/>
                <w:color w:val="auto"/>
              </w:rPr>
            </w:pPr>
            <w:r>
              <w:rPr>
                <w:rFonts w:ascii="Arial" w:cs="Arial" w:eastAsia="Arial" w:hAnsi="Arial"/>
                <w:sz w:val="14"/>
                <w:szCs w:val="14"/>
                <w:color w:val="auto"/>
              </w:rPr>
              <w:t>from 4.0% to 7.1%.</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adjusted when appropriate.</w:t>
            </w:r>
          </w:p>
        </w:tc>
        <w:tc>
          <w:tcPr>
            <w:tcW w:w="2400" w:type="dxa"/>
            <w:vAlign w:val="bottom"/>
          </w:tcPr>
          <w:p>
            <w:pPr>
              <w:ind w:left="60"/>
              <w:spacing w:after="0"/>
              <w:rPr>
                <w:sz w:val="20"/>
                <w:szCs w:val="20"/>
                <w:color w:val="auto"/>
              </w:rPr>
            </w:pPr>
            <w:r>
              <w:rPr>
                <w:rFonts w:ascii="Arial" w:cs="Arial" w:eastAsia="Arial" w:hAnsi="Arial"/>
                <w:sz w:val="14"/>
                <w:szCs w:val="14"/>
                <w:color w:val="auto"/>
              </w:rPr>
              <w:t>talent.</w:t>
            </w:r>
          </w:p>
        </w:tc>
        <w:tc>
          <w:tcPr>
            <w:tcW w:w="2160" w:type="dxa"/>
            <w:vAlign w:val="bottom"/>
          </w:tcPr>
          <w:p>
            <w:pPr>
              <w:ind w:left="40"/>
              <w:spacing w:after="0"/>
              <w:rPr>
                <w:sz w:val="20"/>
                <w:szCs w:val="20"/>
                <w:color w:val="auto"/>
              </w:rPr>
            </w:pPr>
            <w:r>
              <w:rPr>
                <w:rFonts w:ascii="Arial" w:cs="Arial" w:eastAsia="Arial" w:hAnsi="Arial"/>
                <w:sz w:val="14"/>
                <w:szCs w:val="14"/>
                <w:color w:val="auto"/>
              </w:rPr>
              <w:t>performance, and individual</w:t>
            </w:r>
          </w:p>
        </w:tc>
        <w:tc>
          <w:tcPr>
            <w:tcW w:w="2200" w:type="dxa"/>
            <w:vAlign w:val="bottom"/>
          </w:tcPr>
          <w:p>
            <w:pPr>
              <w:spacing w:after="0"/>
              <w:rPr>
                <w:sz w:val="13"/>
                <w:szCs w:val="13"/>
                <w:color w:val="auto"/>
              </w:rPr>
            </w:pPr>
          </w:p>
        </w:tc>
      </w:tr>
      <w:tr>
        <w:trPr>
          <w:trHeight w:val="189"/>
        </w:trPr>
        <w:tc>
          <w:tcPr>
            <w:tcW w:w="19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60" w:type="dxa"/>
            <w:vAlign w:val="bottom"/>
          </w:tcPr>
          <w:p>
            <w:pPr>
              <w:ind w:left="40"/>
              <w:spacing w:after="0"/>
              <w:rPr>
                <w:sz w:val="20"/>
                <w:szCs w:val="20"/>
                <w:color w:val="auto"/>
              </w:rPr>
            </w:pPr>
            <w:r>
              <w:rPr>
                <w:rFonts w:ascii="Arial" w:cs="Arial" w:eastAsia="Arial" w:hAnsi="Arial"/>
                <w:sz w:val="14"/>
                <w:szCs w:val="14"/>
                <w:color w:val="auto"/>
              </w:rPr>
              <w:t>performance.</w:t>
            </w:r>
          </w:p>
        </w:tc>
        <w:tc>
          <w:tcPr>
            <w:tcW w:w="2200" w:type="dxa"/>
            <w:vAlign w:val="bottom"/>
          </w:tcPr>
          <w:p>
            <w:pPr>
              <w:spacing w:after="0"/>
              <w:rPr>
                <w:sz w:val="16"/>
                <w:szCs w:val="16"/>
                <w:color w:val="auto"/>
              </w:rPr>
            </w:pPr>
          </w:p>
        </w:tc>
      </w:tr>
      <w:tr>
        <w:trPr>
          <w:trHeight w:val="21"/>
        </w:trPr>
        <w:tc>
          <w:tcPr>
            <w:tcW w:w="1980" w:type="dxa"/>
            <w:vAlign w:val="bottom"/>
            <w:tcBorders>
              <w:bottom w:val="single" w:sz="8" w:color="1AB2D2"/>
            </w:tcBorders>
          </w:tcPr>
          <w:p>
            <w:pPr>
              <w:spacing w:after="0" w:line="20" w:lineRule="exact"/>
              <w:rPr>
                <w:sz w:val="1"/>
                <w:szCs w:val="1"/>
                <w:color w:val="auto"/>
              </w:rPr>
            </w:pPr>
          </w:p>
        </w:tc>
        <w:tc>
          <w:tcPr>
            <w:tcW w:w="2500" w:type="dxa"/>
            <w:vAlign w:val="bottom"/>
            <w:tcBorders>
              <w:bottom w:val="single" w:sz="8" w:color="1AB2D2"/>
            </w:tcBorders>
          </w:tcPr>
          <w:p>
            <w:pPr>
              <w:spacing w:after="0" w:line="20" w:lineRule="exact"/>
              <w:rPr>
                <w:sz w:val="1"/>
                <w:szCs w:val="1"/>
                <w:color w:val="auto"/>
              </w:rPr>
            </w:pPr>
          </w:p>
        </w:tc>
        <w:tc>
          <w:tcPr>
            <w:tcW w:w="2400" w:type="dxa"/>
            <w:vAlign w:val="bottom"/>
            <w:tcBorders>
              <w:bottom w:val="single" w:sz="8" w:color="1AB2D2"/>
            </w:tcBorders>
          </w:tcPr>
          <w:p>
            <w:pPr>
              <w:spacing w:after="0" w:line="20" w:lineRule="exact"/>
              <w:rPr>
                <w:sz w:val="1"/>
                <w:szCs w:val="1"/>
                <w:color w:val="auto"/>
              </w:rPr>
            </w:pPr>
          </w:p>
        </w:tc>
        <w:tc>
          <w:tcPr>
            <w:tcW w:w="2160" w:type="dxa"/>
            <w:vAlign w:val="bottom"/>
            <w:tcBorders>
              <w:bottom w:val="single" w:sz="8" w:color="1AB2D2"/>
            </w:tcBorders>
          </w:tcPr>
          <w:p>
            <w:pPr>
              <w:spacing w:after="0" w:line="20" w:lineRule="exact"/>
              <w:rPr>
                <w:sz w:val="1"/>
                <w:szCs w:val="1"/>
                <w:color w:val="auto"/>
              </w:rPr>
            </w:pPr>
          </w:p>
        </w:tc>
        <w:tc>
          <w:tcPr>
            <w:tcW w:w="2200" w:type="dxa"/>
            <w:vAlign w:val="bottom"/>
            <w:tcBorders>
              <w:bottom w:val="single" w:sz="8" w:color="1AB2D2"/>
            </w:tcBorders>
          </w:tcPr>
          <w:p>
            <w:pPr>
              <w:spacing w:after="0" w:line="20" w:lineRule="exact"/>
              <w:rPr>
                <w:sz w:val="1"/>
                <w:szCs w:val="1"/>
                <w:color w:val="auto"/>
              </w:rPr>
            </w:pPr>
          </w:p>
        </w:tc>
      </w:tr>
      <w:tr>
        <w:trPr>
          <w:trHeight w:val="184"/>
        </w:trPr>
        <w:tc>
          <w:tcPr>
            <w:tcW w:w="1980" w:type="dxa"/>
            <w:vAlign w:val="bottom"/>
          </w:tcPr>
          <w:p>
            <w:pPr>
              <w:ind w:left="260"/>
              <w:spacing w:after="0"/>
              <w:rPr>
                <w:sz w:val="20"/>
                <w:szCs w:val="20"/>
                <w:color w:val="auto"/>
              </w:rPr>
            </w:pPr>
            <w:r>
              <w:rPr>
                <w:rFonts w:ascii="Arial" w:cs="Arial" w:eastAsia="Arial" w:hAnsi="Arial"/>
                <w:sz w:val="14"/>
                <w:szCs w:val="14"/>
                <w:color w:val="auto"/>
              </w:rPr>
              <w:t>Annual Bonus</w:t>
            </w:r>
          </w:p>
        </w:tc>
        <w:tc>
          <w:tcPr>
            <w:tcW w:w="2500" w:type="dxa"/>
            <w:vAlign w:val="bottom"/>
          </w:tcPr>
          <w:p>
            <w:pPr>
              <w:ind w:left="380"/>
              <w:spacing w:after="0"/>
              <w:rPr>
                <w:sz w:val="20"/>
                <w:szCs w:val="20"/>
                <w:color w:val="auto"/>
              </w:rPr>
            </w:pPr>
            <w:r>
              <w:rPr>
                <w:rFonts w:ascii="Arial" w:cs="Arial" w:eastAsia="Arial" w:hAnsi="Arial"/>
                <w:sz w:val="14"/>
                <w:szCs w:val="14"/>
                <w:color w:val="auto"/>
              </w:rPr>
              <w:t>Variable compensation paid in</w:t>
            </w:r>
          </w:p>
        </w:tc>
        <w:tc>
          <w:tcPr>
            <w:tcW w:w="2400" w:type="dxa"/>
            <w:vAlign w:val="bottom"/>
          </w:tcPr>
          <w:p>
            <w:pPr>
              <w:ind w:left="60"/>
              <w:spacing w:after="0"/>
              <w:rPr>
                <w:sz w:val="20"/>
                <w:szCs w:val="20"/>
                <w:color w:val="auto"/>
              </w:rPr>
            </w:pPr>
            <w:r>
              <w:rPr>
                <w:rFonts w:ascii="Arial" w:cs="Arial" w:eastAsia="Arial" w:hAnsi="Arial"/>
                <w:sz w:val="14"/>
                <w:szCs w:val="14"/>
                <w:color w:val="auto"/>
              </w:rPr>
              <w:t>Motivate and reward executive</w:t>
            </w:r>
          </w:p>
        </w:tc>
        <w:tc>
          <w:tcPr>
            <w:tcW w:w="2160" w:type="dxa"/>
            <w:vAlign w:val="bottom"/>
          </w:tcPr>
          <w:p>
            <w:pPr>
              <w:ind w:left="40"/>
              <w:spacing w:after="0"/>
              <w:rPr>
                <w:sz w:val="20"/>
                <w:szCs w:val="20"/>
                <w:color w:val="auto"/>
              </w:rPr>
            </w:pPr>
            <w:r>
              <w:rPr>
                <w:rFonts w:ascii="Arial" w:cs="Arial" w:eastAsia="Arial" w:hAnsi="Arial"/>
                <w:sz w:val="14"/>
                <w:szCs w:val="14"/>
                <w:color w:val="auto"/>
              </w:rPr>
              <w:t>Market practices with payouts</w:t>
            </w:r>
          </w:p>
        </w:tc>
        <w:tc>
          <w:tcPr>
            <w:tcW w:w="2200" w:type="dxa"/>
            <w:vAlign w:val="bottom"/>
          </w:tcPr>
          <w:p>
            <w:pPr>
              <w:ind w:left="60"/>
              <w:spacing w:after="0"/>
              <w:rPr>
                <w:sz w:val="20"/>
                <w:szCs w:val="20"/>
                <w:color w:val="auto"/>
              </w:rPr>
            </w:pPr>
            <w:r>
              <w:rPr>
                <w:rFonts w:ascii="Arial" w:cs="Arial" w:eastAsia="Arial" w:hAnsi="Arial"/>
                <w:sz w:val="14"/>
                <w:szCs w:val="14"/>
                <w:color w:val="auto"/>
              </w:rPr>
              <w:t>Annual bonus paid out at 141%</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cash. Target bonuses are</w:t>
            </w:r>
          </w:p>
        </w:tc>
        <w:tc>
          <w:tcPr>
            <w:tcW w:w="2400" w:type="dxa"/>
            <w:vAlign w:val="bottom"/>
          </w:tcPr>
          <w:p>
            <w:pPr>
              <w:ind w:left="60"/>
              <w:spacing w:after="0"/>
              <w:rPr>
                <w:sz w:val="20"/>
                <w:szCs w:val="20"/>
                <w:color w:val="auto"/>
              </w:rPr>
            </w:pPr>
            <w:r>
              <w:rPr>
                <w:rFonts w:ascii="Arial" w:cs="Arial" w:eastAsia="Arial" w:hAnsi="Arial"/>
                <w:sz w:val="14"/>
                <w:szCs w:val="14"/>
                <w:color w:val="auto"/>
              </w:rPr>
              <w:t>officers for delivering on annual</w:t>
            </w:r>
          </w:p>
        </w:tc>
        <w:tc>
          <w:tcPr>
            <w:tcW w:w="2160" w:type="dxa"/>
            <w:vAlign w:val="bottom"/>
          </w:tcPr>
          <w:p>
            <w:pPr>
              <w:ind w:left="40"/>
              <w:spacing w:after="0"/>
              <w:rPr>
                <w:sz w:val="20"/>
                <w:szCs w:val="20"/>
                <w:color w:val="auto"/>
              </w:rPr>
            </w:pPr>
            <w:r>
              <w:rPr>
                <w:rFonts w:ascii="Arial" w:cs="Arial" w:eastAsia="Arial" w:hAnsi="Arial"/>
                <w:sz w:val="14"/>
                <w:szCs w:val="14"/>
                <w:color w:val="auto"/>
              </w:rPr>
              <w:t>based on level of achievement of</w:t>
            </w:r>
          </w:p>
        </w:tc>
        <w:tc>
          <w:tcPr>
            <w:tcW w:w="2200" w:type="dxa"/>
            <w:vAlign w:val="bottom"/>
          </w:tcPr>
          <w:p>
            <w:pPr>
              <w:ind w:left="60"/>
              <w:spacing w:after="0"/>
              <w:rPr>
                <w:sz w:val="20"/>
                <w:szCs w:val="20"/>
                <w:color w:val="auto"/>
              </w:rPr>
            </w:pPr>
            <w:r>
              <w:rPr>
                <w:rFonts w:ascii="Arial" w:cs="Arial" w:eastAsia="Arial" w:hAnsi="Arial"/>
                <w:sz w:val="14"/>
                <w:szCs w:val="14"/>
                <w:color w:val="auto"/>
              </w:rPr>
              <w:t>of target for all NEOs.</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established as a percentage of</w:t>
            </w:r>
          </w:p>
        </w:tc>
        <w:tc>
          <w:tcPr>
            <w:tcW w:w="2400" w:type="dxa"/>
            <w:vAlign w:val="bottom"/>
          </w:tcPr>
          <w:p>
            <w:pPr>
              <w:ind w:left="60"/>
              <w:spacing w:after="0"/>
              <w:rPr>
                <w:sz w:val="20"/>
                <w:szCs w:val="20"/>
                <w:color w:val="auto"/>
              </w:rPr>
            </w:pPr>
            <w:r>
              <w:rPr>
                <w:rFonts w:ascii="Arial" w:cs="Arial" w:eastAsia="Arial" w:hAnsi="Arial"/>
                <w:sz w:val="14"/>
                <w:szCs w:val="14"/>
                <w:color w:val="auto"/>
              </w:rPr>
              <w:t>financial objectives that contribute to</w:t>
            </w:r>
          </w:p>
        </w:tc>
        <w:tc>
          <w:tcPr>
            <w:tcW w:w="2160" w:type="dxa"/>
            <w:vAlign w:val="bottom"/>
          </w:tcPr>
          <w:p>
            <w:pPr>
              <w:ind w:left="40"/>
              <w:spacing w:after="0"/>
              <w:rPr>
                <w:sz w:val="20"/>
                <w:szCs w:val="20"/>
                <w:color w:val="auto"/>
              </w:rPr>
            </w:pPr>
            <w:r>
              <w:rPr>
                <w:rFonts w:ascii="Arial" w:cs="Arial" w:eastAsia="Arial" w:hAnsi="Arial"/>
                <w:sz w:val="14"/>
                <w:szCs w:val="14"/>
                <w:color w:val="auto"/>
              </w:rPr>
              <w:t>Company performance goals.</w:t>
            </w:r>
          </w:p>
        </w:tc>
        <w:tc>
          <w:tcPr>
            <w:tcW w:w="2200" w:type="dxa"/>
            <w:vAlign w:val="bottom"/>
          </w:tcPr>
          <w:p>
            <w:pPr>
              <w:spacing w:after="0"/>
              <w:rPr>
                <w:sz w:val="13"/>
                <w:szCs w:val="13"/>
                <w:color w:val="auto"/>
              </w:rPr>
            </w:pP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annual salary, and payment is</w:t>
            </w:r>
          </w:p>
        </w:tc>
        <w:tc>
          <w:tcPr>
            <w:tcW w:w="2400" w:type="dxa"/>
            <w:vAlign w:val="bottom"/>
          </w:tcPr>
          <w:p>
            <w:pPr>
              <w:ind w:left="60"/>
              <w:spacing w:after="0"/>
              <w:rPr>
                <w:sz w:val="20"/>
                <w:szCs w:val="20"/>
                <w:color w:val="auto"/>
              </w:rPr>
            </w:pPr>
            <w:r>
              <w:rPr>
                <w:rFonts w:ascii="Arial" w:cs="Arial" w:eastAsia="Arial" w:hAnsi="Arial"/>
                <w:sz w:val="14"/>
                <w:szCs w:val="14"/>
                <w:color w:val="auto"/>
              </w:rPr>
              <w:t>the creation of stockholder value.</w:t>
            </w:r>
          </w:p>
        </w:tc>
        <w:tc>
          <w:tcPr>
            <w:tcW w:w="2160" w:type="dxa"/>
            <w:vAlign w:val="bottom"/>
          </w:tcPr>
          <w:p>
            <w:pPr>
              <w:spacing w:after="0"/>
              <w:rPr>
                <w:sz w:val="13"/>
                <w:szCs w:val="13"/>
                <w:color w:val="auto"/>
              </w:rPr>
            </w:pPr>
          </w:p>
        </w:tc>
        <w:tc>
          <w:tcPr>
            <w:tcW w:w="2200" w:type="dxa"/>
            <w:vAlign w:val="bottom"/>
          </w:tcPr>
          <w:p>
            <w:pPr>
              <w:spacing w:after="0"/>
              <w:rPr>
                <w:sz w:val="13"/>
                <w:szCs w:val="13"/>
                <w:color w:val="auto"/>
              </w:rPr>
            </w:pPr>
          </w:p>
        </w:tc>
      </w:tr>
      <w:tr>
        <w:trPr>
          <w:trHeight w:val="189"/>
        </w:trPr>
        <w:tc>
          <w:tcPr>
            <w:tcW w:w="1980" w:type="dxa"/>
            <w:vAlign w:val="bottom"/>
          </w:tcPr>
          <w:p>
            <w:pPr>
              <w:spacing w:after="0"/>
              <w:rPr>
                <w:sz w:val="16"/>
                <w:szCs w:val="16"/>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capped at 150% of target.</w:t>
            </w:r>
          </w:p>
        </w:tc>
        <w:tc>
          <w:tcPr>
            <w:tcW w:w="2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spacing w:after="0"/>
              <w:rPr>
                <w:sz w:val="16"/>
                <w:szCs w:val="16"/>
                <w:color w:val="auto"/>
              </w:rPr>
            </w:pPr>
          </w:p>
        </w:tc>
      </w:tr>
      <w:tr>
        <w:trPr>
          <w:trHeight w:val="21"/>
        </w:trPr>
        <w:tc>
          <w:tcPr>
            <w:tcW w:w="1980" w:type="dxa"/>
            <w:vAlign w:val="bottom"/>
            <w:tcBorders>
              <w:bottom w:val="single" w:sz="8" w:color="1AB2D2"/>
            </w:tcBorders>
          </w:tcPr>
          <w:p>
            <w:pPr>
              <w:spacing w:after="0" w:line="20" w:lineRule="exact"/>
              <w:rPr>
                <w:sz w:val="1"/>
                <w:szCs w:val="1"/>
                <w:color w:val="auto"/>
              </w:rPr>
            </w:pPr>
          </w:p>
        </w:tc>
        <w:tc>
          <w:tcPr>
            <w:tcW w:w="2500" w:type="dxa"/>
            <w:vAlign w:val="bottom"/>
            <w:tcBorders>
              <w:bottom w:val="single" w:sz="8" w:color="1AB2D2"/>
            </w:tcBorders>
          </w:tcPr>
          <w:p>
            <w:pPr>
              <w:spacing w:after="0" w:line="20" w:lineRule="exact"/>
              <w:rPr>
                <w:sz w:val="1"/>
                <w:szCs w:val="1"/>
                <w:color w:val="auto"/>
              </w:rPr>
            </w:pPr>
          </w:p>
        </w:tc>
        <w:tc>
          <w:tcPr>
            <w:tcW w:w="2400" w:type="dxa"/>
            <w:vAlign w:val="bottom"/>
            <w:tcBorders>
              <w:bottom w:val="single" w:sz="8" w:color="1AB2D2"/>
            </w:tcBorders>
          </w:tcPr>
          <w:p>
            <w:pPr>
              <w:spacing w:after="0" w:line="20" w:lineRule="exact"/>
              <w:rPr>
                <w:sz w:val="1"/>
                <w:szCs w:val="1"/>
                <w:color w:val="auto"/>
              </w:rPr>
            </w:pPr>
          </w:p>
        </w:tc>
        <w:tc>
          <w:tcPr>
            <w:tcW w:w="2160" w:type="dxa"/>
            <w:vAlign w:val="bottom"/>
            <w:tcBorders>
              <w:bottom w:val="single" w:sz="8" w:color="1AB2D2"/>
            </w:tcBorders>
          </w:tcPr>
          <w:p>
            <w:pPr>
              <w:spacing w:after="0" w:line="20" w:lineRule="exact"/>
              <w:rPr>
                <w:sz w:val="1"/>
                <w:szCs w:val="1"/>
                <w:color w:val="auto"/>
              </w:rPr>
            </w:pPr>
          </w:p>
        </w:tc>
        <w:tc>
          <w:tcPr>
            <w:tcW w:w="2200" w:type="dxa"/>
            <w:vAlign w:val="bottom"/>
            <w:tcBorders>
              <w:bottom w:val="single" w:sz="8" w:color="1AB2D2"/>
            </w:tcBorders>
          </w:tcPr>
          <w:p>
            <w:pPr>
              <w:spacing w:after="0" w:line="20" w:lineRule="exact"/>
              <w:rPr>
                <w:sz w:val="1"/>
                <w:szCs w:val="1"/>
                <w:color w:val="auto"/>
              </w:rPr>
            </w:pPr>
          </w:p>
        </w:tc>
      </w:tr>
      <w:tr>
        <w:trPr>
          <w:trHeight w:val="184"/>
        </w:trPr>
        <w:tc>
          <w:tcPr>
            <w:tcW w:w="1980" w:type="dxa"/>
            <w:vAlign w:val="bottom"/>
          </w:tcPr>
          <w:p>
            <w:pPr>
              <w:ind w:left="260"/>
              <w:spacing w:after="0"/>
              <w:rPr>
                <w:sz w:val="20"/>
                <w:szCs w:val="20"/>
                <w:color w:val="auto"/>
              </w:rPr>
            </w:pPr>
            <w:r>
              <w:rPr>
                <w:rFonts w:ascii="Arial" w:cs="Arial" w:eastAsia="Arial" w:hAnsi="Arial"/>
                <w:sz w:val="14"/>
                <w:szCs w:val="14"/>
                <w:color w:val="auto"/>
              </w:rPr>
              <w:t>Long-Term Incentives</w:t>
            </w:r>
          </w:p>
        </w:tc>
        <w:tc>
          <w:tcPr>
            <w:tcW w:w="2500" w:type="dxa"/>
            <w:vAlign w:val="bottom"/>
          </w:tcPr>
          <w:p>
            <w:pPr>
              <w:ind w:left="380"/>
              <w:spacing w:after="0"/>
              <w:rPr>
                <w:sz w:val="20"/>
                <w:szCs w:val="20"/>
                <w:color w:val="auto"/>
              </w:rPr>
            </w:pPr>
            <w:r>
              <w:rPr>
                <w:rFonts w:ascii="Arial" w:cs="Arial" w:eastAsia="Arial" w:hAnsi="Arial"/>
                <w:sz w:val="14"/>
                <w:szCs w:val="14"/>
                <w:color w:val="auto"/>
              </w:rPr>
              <w:t>Variable compensation paid in</w:t>
            </w:r>
          </w:p>
        </w:tc>
        <w:tc>
          <w:tcPr>
            <w:tcW w:w="2400" w:type="dxa"/>
            <w:vAlign w:val="bottom"/>
          </w:tcPr>
          <w:p>
            <w:pPr>
              <w:ind w:left="60"/>
              <w:spacing w:after="0"/>
              <w:rPr>
                <w:sz w:val="20"/>
                <w:szCs w:val="20"/>
                <w:color w:val="auto"/>
              </w:rPr>
            </w:pPr>
            <w:r>
              <w:rPr>
                <w:rFonts w:ascii="Arial" w:cs="Arial" w:eastAsia="Arial" w:hAnsi="Arial"/>
                <w:sz w:val="14"/>
                <w:szCs w:val="14"/>
                <w:color w:val="auto"/>
              </w:rPr>
              <w:t>Motivate executives to execute on</w:t>
            </w:r>
          </w:p>
        </w:tc>
        <w:tc>
          <w:tcPr>
            <w:tcW w:w="2160" w:type="dxa"/>
            <w:vAlign w:val="bottom"/>
          </w:tcPr>
          <w:p>
            <w:pPr>
              <w:ind w:left="40"/>
              <w:spacing w:after="0"/>
              <w:rPr>
                <w:sz w:val="20"/>
                <w:szCs w:val="20"/>
                <w:color w:val="auto"/>
              </w:rPr>
            </w:pPr>
            <w:r>
              <w:rPr>
                <w:rFonts w:ascii="Arial" w:cs="Arial" w:eastAsia="Arial" w:hAnsi="Arial"/>
                <w:sz w:val="14"/>
                <w:szCs w:val="14"/>
                <w:color w:val="auto"/>
              </w:rPr>
              <w:t>Market practices with payouts</w:t>
            </w:r>
          </w:p>
        </w:tc>
        <w:tc>
          <w:tcPr>
            <w:tcW w:w="2200" w:type="dxa"/>
            <w:vAlign w:val="bottom"/>
          </w:tcPr>
          <w:p>
            <w:pPr>
              <w:ind w:left="60"/>
              <w:spacing w:after="0"/>
              <w:rPr>
                <w:sz w:val="20"/>
                <w:szCs w:val="20"/>
                <w:color w:val="auto"/>
              </w:rPr>
            </w:pPr>
            <w:r>
              <w:rPr>
                <w:rFonts w:ascii="Arial" w:cs="Arial" w:eastAsia="Arial" w:hAnsi="Arial"/>
                <w:sz w:val="14"/>
                <w:szCs w:val="14"/>
                <w:color w:val="auto"/>
              </w:rPr>
              <w:t>Performance-based restricted</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restricted stock units. NEOs</w:t>
            </w:r>
          </w:p>
        </w:tc>
        <w:tc>
          <w:tcPr>
            <w:tcW w:w="2400" w:type="dxa"/>
            <w:vAlign w:val="bottom"/>
          </w:tcPr>
          <w:p>
            <w:pPr>
              <w:ind w:left="60"/>
              <w:spacing w:after="0"/>
              <w:rPr>
                <w:sz w:val="20"/>
                <w:szCs w:val="20"/>
                <w:color w:val="auto"/>
              </w:rPr>
            </w:pPr>
            <w:r>
              <w:rPr>
                <w:rFonts w:ascii="Arial" w:cs="Arial" w:eastAsia="Arial" w:hAnsi="Arial"/>
                <w:sz w:val="14"/>
                <w:szCs w:val="14"/>
                <w:color w:val="auto"/>
              </w:rPr>
              <w:t>longer-term financial goals that drive</w:t>
            </w:r>
          </w:p>
        </w:tc>
        <w:tc>
          <w:tcPr>
            <w:tcW w:w="2160" w:type="dxa"/>
            <w:vAlign w:val="bottom"/>
          </w:tcPr>
          <w:p>
            <w:pPr>
              <w:ind w:left="40"/>
              <w:spacing w:after="0"/>
              <w:rPr>
                <w:sz w:val="20"/>
                <w:szCs w:val="20"/>
                <w:color w:val="auto"/>
              </w:rPr>
            </w:pPr>
            <w:r>
              <w:rPr>
                <w:rFonts w:ascii="Arial" w:cs="Arial" w:eastAsia="Arial" w:hAnsi="Arial"/>
                <w:sz w:val="14"/>
                <w:szCs w:val="14"/>
                <w:color w:val="auto"/>
              </w:rPr>
              <w:t>based on level of achievement of</w:t>
            </w:r>
          </w:p>
        </w:tc>
        <w:tc>
          <w:tcPr>
            <w:tcW w:w="2200" w:type="dxa"/>
            <w:vAlign w:val="bottom"/>
          </w:tcPr>
          <w:p>
            <w:pPr>
              <w:ind w:left="60"/>
              <w:spacing w:after="0"/>
              <w:rPr>
                <w:sz w:val="20"/>
                <w:szCs w:val="20"/>
                <w:color w:val="auto"/>
              </w:rPr>
            </w:pPr>
            <w:r>
              <w:rPr>
                <w:rFonts w:ascii="Arial" w:cs="Arial" w:eastAsia="Arial" w:hAnsi="Arial"/>
                <w:sz w:val="14"/>
                <w:szCs w:val="14"/>
                <w:color w:val="auto"/>
              </w:rPr>
              <w:t>stock units for the 2023-</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receive 60% performance-based</w:t>
            </w:r>
          </w:p>
        </w:tc>
        <w:tc>
          <w:tcPr>
            <w:tcW w:w="2400" w:type="dxa"/>
            <w:vAlign w:val="bottom"/>
          </w:tcPr>
          <w:p>
            <w:pPr>
              <w:ind w:left="60"/>
              <w:spacing w:after="0"/>
              <w:rPr>
                <w:sz w:val="20"/>
                <w:szCs w:val="20"/>
                <w:color w:val="auto"/>
              </w:rPr>
            </w:pPr>
            <w:r>
              <w:rPr>
                <w:rFonts w:ascii="Arial" w:cs="Arial" w:eastAsia="Arial" w:hAnsi="Arial"/>
                <w:sz w:val="14"/>
                <w:szCs w:val="14"/>
                <w:color w:val="auto"/>
              </w:rPr>
              <w:t>the creation of stockholder value in</w:t>
            </w:r>
          </w:p>
        </w:tc>
        <w:tc>
          <w:tcPr>
            <w:tcW w:w="2160" w:type="dxa"/>
            <w:vAlign w:val="bottom"/>
          </w:tcPr>
          <w:p>
            <w:pPr>
              <w:ind w:left="40"/>
              <w:spacing w:after="0"/>
              <w:rPr>
                <w:sz w:val="20"/>
                <w:szCs w:val="20"/>
                <w:color w:val="auto"/>
              </w:rPr>
            </w:pPr>
            <w:r>
              <w:rPr>
                <w:rFonts w:ascii="Arial" w:cs="Arial" w:eastAsia="Arial" w:hAnsi="Arial"/>
                <w:sz w:val="14"/>
                <w:szCs w:val="14"/>
                <w:color w:val="auto"/>
              </w:rPr>
              <w:t>Company performance goals.</w:t>
            </w:r>
          </w:p>
        </w:tc>
        <w:tc>
          <w:tcPr>
            <w:tcW w:w="2200" w:type="dxa"/>
            <w:vAlign w:val="bottom"/>
          </w:tcPr>
          <w:p>
            <w:pPr>
              <w:ind w:left="60"/>
              <w:spacing w:after="0"/>
              <w:rPr>
                <w:sz w:val="20"/>
                <w:szCs w:val="20"/>
                <w:color w:val="auto"/>
              </w:rPr>
            </w:pPr>
            <w:r>
              <w:rPr>
                <w:rFonts w:ascii="Arial" w:cs="Arial" w:eastAsia="Arial" w:hAnsi="Arial"/>
                <w:sz w:val="14"/>
                <w:szCs w:val="14"/>
                <w:color w:val="auto"/>
              </w:rPr>
              <w:t>2025 Long-Term Incentive Plan</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restricted stock units capped at</w:t>
            </w:r>
          </w:p>
        </w:tc>
        <w:tc>
          <w:tcPr>
            <w:tcW w:w="2400" w:type="dxa"/>
            <w:vAlign w:val="bottom"/>
          </w:tcPr>
          <w:p>
            <w:pPr>
              <w:ind w:left="60"/>
              <w:spacing w:after="0"/>
              <w:rPr>
                <w:sz w:val="20"/>
                <w:szCs w:val="20"/>
                <w:color w:val="auto"/>
              </w:rPr>
            </w:pPr>
            <w:r>
              <w:rPr>
                <w:rFonts w:ascii="Arial" w:cs="Arial" w:eastAsia="Arial" w:hAnsi="Arial"/>
                <w:sz w:val="14"/>
                <w:szCs w:val="14"/>
                <w:color w:val="auto"/>
              </w:rPr>
              <w:t>support of the Company’s strategic</w:t>
            </w:r>
          </w:p>
        </w:tc>
        <w:tc>
          <w:tcPr>
            <w:tcW w:w="216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paid out at 112% based on</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150% of target, and 40% time-</w:t>
            </w:r>
          </w:p>
        </w:tc>
        <w:tc>
          <w:tcPr>
            <w:tcW w:w="2400" w:type="dxa"/>
            <w:vAlign w:val="bottom"/>
          </w:tcPr>
          <w:p>
            <w:pPr>
              <w:ind w:left="60"/>
              <w:spacing w:after="0"/>
              <w:rPr>
                <w:sz w:val="20"/>
                <w:szCs w:val="20"/>
                <w:color w:val="auto"/>
              </w:rPr>
            </w:pPr>
            <w:r>
              <w:rPr>
                <w:rFonts w:ascii="Arial" w:cs="Arial" w:eastAsia="Arial" w:hAnsi="Arial"/>
                <w:sz w:val="14"/>
                <w:szCs w:val="14"/>
                <w:color w:val="auto"/>
              </w:rPr>
              <w:t>direction.</w:t>
            </w:r>
          </w:p>
        </w:tc>
        <w:tc>
          <w:tcPr>
            <w:tcW w:w="216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performance against three-year</w:t>
            </w:r>
          </w:p>
        </w:tc>
      </w:tr>
      <w:tr>
        <w:trPr>
          <w:trHeight w:val="160"/>
        </w:trPr>
        <w:tc>
          <w:tcPr>
            <w:tcW w:w="1980" w:type="dxa"/>
            <w:vAlign w:val="bottom"/>
          </w:tcPr>
          <w:p>
            <w:pPr>
              <w:spacing w:after="0"/>
              <w:rPr>
                <w:sz w:val="13"/>
                <w:szCs w:val="13"/>
                <w:color w:val="auto"/>
              </w:rPr>
            </w:pPr>
          </w:p>
        </w:tc>
        <w:tc>
          <w:tcPr>
            <w:tcW w:w="2500" w:type="dxa"/>
            <w:vAlign w:val="bottom"/>
          </w:tcPr>
          <w:p>
            <w:pPr>
              <w:ind w:left="380"/>
              <w:spacing w:after="0"/>
              <w:rPr>
                <w:sz w:val="20"/>
                <w:szCs w:val="20"/>
                <w:color w:val="auto"/>
              </w:rPr>
            </w:pPr>
            <w:r>
              <w:rPr>
                <w:rFonts w:ascii="Arial" w:cs="Arial" w:eastAsia="Arial" w:hAnsi="Arial"/>
                <w:sz w:val="14"/>
                <w:szCs w:val="14"/>
                <w:color w:val="auto"/>
              </w:rPr>
              <w:t>based restricted stock units.</w:t>
            </w:r>
          </w:p>
        </w:tc>
        <w:tc>
          <w:tcPr>
            <w:tcW w:w="24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Cumulative Net Income target</w:t>
            </w:r>
          </w:p>
        </w:tc>
      </w:tr>
      <w:tr>
        <w:trPr>
          <w:trHeight w:val="160"/>
        </w:trPr>
        <w:tc>
          <w:tcPr>
            <w:tcW w:w="1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(as described in the "Equity</w:t>
            </w:r>
          </w:p>
        </w:tc>
      </w:tr>
      <w:tr>
        <w:trPr>
          <w:trHeight w:val="160"/>
        </w:trPr>
        <w:tc>
          <w:tcPr>
            <w:tcW w:w="1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Awards - Long-Term Incentive</w:t>
            </w:r>
          </w:p>
        </w:tc>
      </w:tr>
      <w:tr>
        <w:trPr>
          <w:trHeight w:val="189"/>
        </w:trPr>
        <w:tc>
          <w:tcPr>
            <w:tcW w:w="19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Plan" section below).</w:t>
            </w:r>
          </w:p>
        </w:tc>
      </w:tr>
      <w:tr>
        <w:trPr>
          <w:trHeight w:val="21"/>
        </w:trPr>
        <w:tc>
          <w:tcPr>
            <w:tcW w:w="1980" w:type="dxa"/>
            <w:vAlign w:val="bottom"/>
            <w:tcBorders>
              <w:bottom w:val="single" w:sz="8" w:color="1AB2D2"/>
            </w:tcBorders>
          </w:tcPr>
          <w:p>
            <w:pPr>
              <w:spacing w:after="0" w:line="20" w:lineRule="exact"/>
              <w:rPr>
                <w:sz w:val="1"/>
                <w:szCs w:val="1"/>
                <w:color w:val="auto"/>
              </w:rPr>
            </w:pPr>
          </w:p>
        </w:tc>
        <w:tc>
          <w:tcPr>
            <w:tcW w:w="2500" w:type="dxa"/>
            <w:vAlign w:val="bottom"/>
            <w:tcBorders>
              <w:bottom w:val="single" w:sz="8" w:color="1AB2D2"/>
            </w:tcBorders>
          </w:tcPr>
          <w:p>
            <w:pPr>
              <w:spacing w:after="0" w:line="20" w:lineRule="exact"/>
              <w:rPr>
                <w:sz w:val="1"/>
                <w:szCs w:val="1"/>
                <w:color w:val="auto"/>
              </w:rPr>
            </w:pPr>
          </w:p>
        </w:tc>
        <w:tc>
          <w:tcPr>
            <w:tcW w:w="2400" w:type="dxa"/>
            <w:vAlign w:val="bottom"/>
            <w:tcBorders>
              <w:bottom w:val="single" w:sz="8" w:color="1AB2D2"/>
            </w:tcBorders>
          </w:tcPr>
          <w:p>
            <w:pPr>
              <w:spacing w:after="0" w:line="20" w:lineRule="exact"/>
              <w:rPr>
                <w:sz w:val="1"/>
                <w:szCs w:val="1"/>
                <w:color w:val="auto"/>
              </w:rPr>
            </w:pPr>
          </w:p>
        </w:tc>
        <w:tc>
          <w:tcPr>
            <w:tcW w:w="2160" w:type="dxa"/>
            <w:vAlign w:val="bottom"/>
            <w:tcBorders>
              <w:bottom w:val="single" w:sz="8" w:color="1AB2D2"/>
            </w:tcBorders>
          </w:tcPr>
          <w:p>
            <w:pPr>
              <w:spacing w:after="0" w:line="20" w:lineRule="exact"/>
              <w:rPr>
                <w:sz w:val="1"/>
                <w:szCs w:val="1"/>
                <w:color w:val="auto"/>
              </w:rPr>
            </w:pPr>
          </w:p>
        </w:tc>
        <w:tc>
          <w:tcPr>
            <w:tcW w:w="2200" w:type="dxa"/>
            <w:vAlign w:val="bottom"/>
            <w:tcBorders>
              <w:bottom w:val="single" w:sz="8" w:color="1AB2D2"/>
            </w:tcBorders>
          </w:tcPr>
          <w:p>
            <w:pPr>
              <w:spacing w:after="0" w:line="20" w:lineRule="exact"/>
              <w:rPr>
                <w:sz w:val="1"/>
                <w:szCs w:val="1"/>
                <w:color w:val="auto"/>
              </w:rPr>
            </w:pPr>
          </w:p>
        </w:tc>
      </w:tr>
      <w:tr>
        <w:trPr>
          <w:trHeight w:val="184"/>
        </w:trPr>
        <w:tc>
          <w:tcPr>
            <w:tcW w:w="1980" w:type="dxa"/>
            <w:vAlign w:val="bottom"/>
          </w:tcPr>
          <w:p>
            <w:pPr>
              <w:ind w:left="260"/>
              <w:spacing w:after="0"/>
              <w:rPr>
                <w:sz w:val="20"/>
                <w:szCs w:val="20"/>
                <w:color w:val="auto"/>
              </w:rPr>
            </w:pPr>
            <w:r>
              <w:rPr>
                <w:rFonts w:ascii="Arial" w:cs="Arial" w:eastAsia="Arial" w:hAnsi="Arial"/>
                <w:sz w:val="14"/>
                <w:szCs w:val="14"/>
                <w:color w:val="auto"/>
              </w:rPr>
              <w:t>Other Compensation</w:t>
            </w:r>
          </w:p>
        </w:tc>
        <w:tc>
          <w:tcPr>
            <w:tcW w:w="2500" w:type="dxa"/>
            <w:vAlign w:val="bottom"/>
          </w:tcPr>
          <w:p>
            <w:pPr>
              <w:ind w:left="380"/>
              <w:spacing w:after="0"/>
              <w:rPr>
                <w:sz w:val="20"/>
                <w:szCs w:val="20"/>
                <w:color w:val="auto"/>
              </w:rPr>
            </w:pPr>
            <w:r>
              <w:rPr>
                <w:rFonts w:ascii="Arial" w:cs="Arial" w:eastAsia="Arial" w:hAnsi="Arial"/>
                <w:sz w:val="14"/>
                <w:szCs w:val="14"/>
                <w:color w:val="auto"/>
              </w:rPr>
              <w:t>Compensation to provide basic</w:t>
            </w:r>
          </w:p>
        </w:tc>
        <w:tc>
          <w:tcPr>
            <w:tcW w:w="2400" w:type="dxa"/>
            <w:vAlign w:val="bottom"/>
          </w:tcPr>
          <w:p>
            <w:pPr>
              <w:ind w:left="60"/>
              <w:spacing w:after="0"/>
              <w:rPr>
                <w:sz w:val="20"/>
                <w:szCs w:val="20"/>
                <w:color w:val="auto"/>
              </w:rPr>
            </w:pPr>
            <w:r>
              <w:rPr>
                <w:rFonts w:ascii="Arial" w:cs="Arial" w:eastAsia="Arial" w:hAnsi="Arial"/>
                <w:sz w:val="14"/>
                <w:szCs w:val="14"/>
                <w:color w:val="auto"/>
              </w:rPr>
              <w:t>Provide a base level of competitive</w:t>
            </w:r>
          </w:p>
        </w:tc>
        <w:tc>
          <w:tcPr>
            <w:tcW w:w="2160" w:type="dxa"/>
            <w:vAlign w:val="bottom"/>
          </w:tcPr>
          <w:p>
            <w:pPr>
              <w:ind w:left="40"/>
              <w:spacing w:after="0"/>
              <w:rPr>
                <w:sz w:val="20"/>
                <w:szCs w:val="20"/>
                <w:color w:val="auto"/>
              </w:rPr>
            </w:pPr>
            <w:r>
              <w:rPr>
                <w:rFonts w:ascii="Arial" w:cs="Arial" w:eastAsia="Arial" w:hAnsi="Arial"/>
                <w:sz w:val="14"/>
                <w:szCs w:val="14"/>
                <w:color w:val="auto"/>
              </w:rPr>
              <w:t>Periodic assessment of</w:t>
            </w:r>
          </w:p>
        </w:tc>
        <w:tc>
          <w:tcPr>
            <w:tcW w:w="2200" w:type="dxa"/>
            <w:vAlign w:val="bottom"/>
          </w:tcPr>
          <w:p>
            <w:pPr>
              <w:ind w:left="60"/>
              <w:spacing w:after="0"/>
              <w:rPr>
                <w:sz w:val="20"/>
                <w:szCs w:val="20"/>
                <w:color w:val="auto"/>
              </w:rPr>
            </w:pPr>
            <w:r>
              <w:rPr>
                <w:rFonts w:ascii="Arial" w:cs="Arial" w:eastAsia="Arial" w:hAnsi="Arial"/>
                <w:sz w:val="14"/>
                <w:szCs w:val="14"/>
                <w:color w:val="auto"/>
              </w:rPr>
              <w:t>Beginning in 2025, a Company</w:t>
            </w:r>
          </w:p>
        </w:tc>
      </w:tr>
      <w:tr>
        <w:trPr>
          <w:trHeight w:val="160"/>
        </w:trPr>
        <w:tc>
          <w:tcPr>
            <w:tcW w:w="1980" w:type="dxa"/>
            <w:vAlign w:val="bottom"/>
          </w:tcPr>
          <w:p>
            <w:pPr>
              <w:ind w:left="260"/>
              <w:spacing w:after="0"/>
              <w:rPr>
                <w:sz w:val="20"/>
                <w:szCs w:val="20"/>
                <w:color w:val="auto"/>
              </w:rPr>
            </w:pPr>
            <w:r>
              <w:rPr>
                <w:rFonts w:ascii="Arial" w:cs="Arial" w:eastAsia="Arial" w:hAnsi="Arial"/>
                <w:sz w:val="14"/>
                <w:szCs w:val="14"/>
                <w:color w:val="auto"/>
              </w:rPr>
              <w:t>and Perquisites</w:t>
            </w:r>
          </w:p>
        </w:tc>
        <w:tc>
          <w:tcPr>
            <w:tcW w:w="2500" w:type="dxa"/>
            <w:vAlign w:val="bottom"/>
          </w:tcPr>
          <w:p>
            <w:pPr>
              <w:ind w:left="380"/>
              <w:spacing w:after="0"/>
              <w:rPr>
                <w:sz w:val="20"/>
                <w:szCs w:val="20"/>
                <w:color w:val="auto"/>
              </w:rPr>
            </w:pPr>
            <w:r>
              <w:rPr>
                <w:rFonts w:ascii="Arial" w:cs="Arial" w:eastAsia="Arial" w:hAnsi="Arial"/>
                <w:sz w:val="14"/>
                <w:szCs w:val="14"/>
                <w:color w:val="auto"/>
              </w:rPr>
              <w:t>competitive benefits.</w:t>
            </w:r>
          </w:p>
        </w:tc>
        <w:tc>
          <w:tcPr>
            <w:tcW w:w="2400" w:type="dxa"/>
            <w:vAlign w:val="bottom"/>
          </w:tcPr>
          <w:p>
            <w:pPr>
              <w:ind w:left="60"/>
              <w:spacing w:after="0"/>
              <w:rPr>
                <w:sz w:val="20"/>
                <w:szCs w:val="20"/>
                <w:color w:val="auto"/>
              </w:rPr>
            </w:pPr>
            <w:r>
              <w:rPr>
                <w:rFonts w:ascii="Arial" w:cs="Arial" w:eastAsia="Arial" w:hAnsi="Arial"/>
                <w:sz w:val="14"/>
                <w:szCs w:val="14"/>
                <w:color w:val="auto"/>
              </w:rPr>
              <w:t>compensation to attract and retain</w:t>
            </w:r>
          </w:p>
        </w:tc>
        <w:tc>
          <w:tcPr>
            <w:tcW w:w="2160" w:type="dxa"/>
            <w:vAlign w:val="bottom"/>
          </w:tcPr>
          <w:p>
            <w:pPr>
              <w:ind w:left="40"/>
              <w:spacing w:after="0"/>
              <w:rPr>
                <w:sz w:val="20"/>
                <w:szCs w:val="20"/>
                <w:color w:val="auto"/>
              </w:rPr>
            </w:pPr>
            <w:r>
              <w:rPr>
                <w:rFonts w:ascii="Arial" w:cs="Arial" w:eastAsia="Arial" w:hAnsi="Arial"/>
                <w:sz w:val="14"/>
                <w:szCs w:val="14"/>
                <w:color w:val="auto"/>
              </w:rPr>
              <w:t>competitive offerings.</w:t>
            </w:r>
          </w:p>
        </w:tc>
        <w:tc>
          <w:tcPr>
            <w:tcW w:w="2200" w:type="dxa"/>
            <w:vAlign w:val="bottom"/>
          </w:tcPr>
          <w:p>
            <w:pPr>
              <w:ind w:left="60"/>
              <w:spacing w:after="0"/>
              <w:rPr>
                <w:sz w:val="20"/>
                <w:szCs w:val="20"/>
                <w:color w:val="auto"/>
              </w:rPr>
            </w:pPr>
            <w:r>
              <w:rPr>
                <w:rFonts w:ascii="Arial" w:cs="Arial" w:eastAsia="Arial" w:hAnsi="Arial"/>
                <w:sz w:val="14"/>
                <w:szCs w:val="14"/>
                <w:color w:val="auto"/>
              </w:rPr>
              <w:t>contribution to a non-qualified</w:t>
            </w:r>
          </w:p>
        </w:tc>
      </w:tr>
      <w:tr>
        <w:trPr>
          <w:trHeight w:val="160"/>
        </w:trPr>
        <w:tc>
          <w:tcPr>
            <w:tcW w:w="19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4"/>
                <w:szCs w:val="14"/>
                <w:color w:val="auto"/>
              </w:rPr>
              <w:t>critical executive talent.</w:t>
            </w:r>
          </w:p>
        </w:tc>
        <w:tc>
          <w:tcPr>
            <w:tcW w:w="2160" w:type="dxa"/>
            <w:vAlign w:val="bottom"/>
          </w:tcPr>
          <w:p>
            <w:pPr>
              <w:spacing w:after="0"/>
              <w:rPr>
                <w:sz w:val="13"/>
                <w:szCs w:val="13"/>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deferred compensation plan was</w:t>
            </w:r>
          </w:p>
        </w:tc>
      </w:tr>
      <w:tr>
        <w:trPr>
          <w:trHeight w:val="189"/>
        </w:trPr>
        <w:tc>
          <w:tcPr>
            <w:tcW w:w="19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2200" w:type="dxa"/>
            <w:vAlign w:val="bottom"/>
          </w:tcPr>
          <w:p>
            <w:pPr>
              <w:ind w:left="60"/>
              <w:spacing w:after="0"/>
              <w:rPr>
                <w:sz w:val="20"/>
                <w:szCs w:val="20"/>
                <w:color w:val="auto"/>
              </w:rPr>
            </w:pPr>
            <w:r>
              <w:rPr>
                <w:rFonts w:ascii="Arial" w:cs="Arial" w:eastAsia="Arial" w:hAnsi="Arial"/>
                <w:sz w:val="14"/>
                <w:szCs w:val="14"/>
                <w:color w:val="auto"/>
              </w:rPr>
              <w:t>provided to all executives.</w:t>
            </w:r>
          </w:p>
        </w:tc>
      </w:tr>
      <w:tr>
        <w:trPr>
          <w:trHeight w:val="21"/>
        </w:trPr>
        <w:tc>
          <w:tcPr>
            <w:tcW w:w="1980" w:type="dxa"/>
            <w:vAlign w:val="bottom"/>
            <w:tcBorders>
              <w:bottom w:val="single" w:sz="8" w:color="1AB2D2"/>
            </w:tcBorders>
          </w:tcPr>
          <w:p>
            <w:pPr>
              <w:spacing w:after="0" w:line="20" w:lineRule="exact"/>
              <w:rPr>
                <w:sz w:val="1"/>
                <w:szCs w:val="1"/>
                <w:color w:val="auto"/>
              </w:rPr>
            </w:pPr>
          </w:p>
        </w:tc>
        <w:tc>
          <w:tcPr>
            <w:tcW w:w="2500" w:type="dxa"/>
            <w:vAlign w:val="bottom"/>
            <w:tcBorders>
              <w:bottom w:val="single" w:sz="8" w:color="1AB2D2"/>
            </w:tcBorders>
          </w:tcPr>
          <w:p>
            <w:pPr>
              <w:spacing w:after="0" w:line="20" w:lineRule="exact"/>
              <w:rPr>
                <w:sz w:val="1"/>
                <w:szCs w:val="1"/>
                <w:color w:val="auto"/>
              </w:rPr>
            </w:pPr>
          </w:p>
        </w:tc>
        <w:tc>
          <w:tcPr>
            <w:tcW w:w="2400" w:type="dxa"/>
            <w:vAlign w:val="bottom"/>
            <w:tcBorders>
              <w:bottom w:val="single" w:sz="8" w:color="1AB2D2"/>
            </w:tcBorders>
          </w:tcPr>
          <w:p>
            <w:pPr>
              <w:spacing w:after="0" w:line="20" w:lineRule="exact"/>
              <w:rPr>
                <w:sz w:val="1"/>
                <w:szCs w:val="1"/>
                <w:color w:val="auto"/>
              </w:rPr>
            </w:pPr>
          </w:p>
        </w:tc>
        <w:tc>
          <w:tcPr>
            <w:tcW w:w="2160" w:type="dxa"/>
            <w:vAlign w:val="bottom"/>
            <w:tcBorders>
              <w:bottom w:val="single" w:sz="8" w:color="1AB2D2"/>
            </w:tcBorders>
          </w:tcPr>
          <w:p>
            <w:pPr>
              <w:spacing w:after="0" w:line="20" w:lineRule="exact"/>
              <w:rPr>
                <w:sz w:val="1"/>
                <w:szCs w:val="1"/>
                <w:color w:val="auto"/>
              </w:rPr>
            </w:pPr>
          </w:p>
        </w:tc>
        <w:tc>
          <w:tcPr>
            <w:tcW w:w="2200" w:type="dxa"/>
            <w:vAlign w:val="bottom"/>
            <w:tcBorders>
              <w:bottom w:val="single" w:sz="8" w:color="1AB2D2"/>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Role of the Compensation Committee</w:t>
      </w:r>
    </w:p>
    <w:p>
      <w:pPr>
        <w:spacing w:after="0" w:line="70" w:lineRule="exact"/>
        <w:rPr>
          <w:sz w:val="20"/>
          <w:szCs w:val="20"/>
          <w:color w:val="auto"/>
        </w:rPr>
      </w:pPr>
    </w:p>
    <w:p>
      <w:pPr>
        <w:ind w:right="600"/>
        <w:spacing w:after="0" w:line="252" w:lineRule="auto"/>
        <w:rPr>
          <w:sz w:val="20"/>
          <w:szCs w:val="20"/>
          <w:color w:val="auto"/>
        </w:rPr>
      </w:pPr>
      <w:r>
        <w:rPr>
          <w:rFonts w:ascii="Arial" w:cs="Arial" w:eastAsia="Arial" w:hAnsi="Arial"/>
          <w:sz w:val="16"/>
          <w:szCs w:val="16"/>
          <w:color w:val="auto"/>
        </w:rPr>
        <w:t>The Compensation Committee has overall responsibility for evaluating the compensation plans, policies, and programs relating to the NEOs. The Compensation Committee is comprised of independent directors of the Board. The Compensation Committee works very closely with its independent compensation consultant and management to examine the effectiveness of the Company’s executive compensation throughout the year. Details of the Compensation Committee’s authority and responsibilities are specified in its charter, which is available on our investor relations website at investors.alerus.com.</w:t>
      </w:r>
    </w:p>
    <w:p>
      <w:pPr>
        <w:spacing w:after="0" w:line="182"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Members of our Board are, generally, free to attend committee meetings even where such Board members are not members of the particular committee, unless they are excluded by the committee. The Compensation Committee sometimes receives input from other members of the Board as the Compensation Committee is deliberating executive compensation-related matters. The Compensation Committee considers such input if and as received, but does not specifically rely on such input in making executive compensation-related decisions.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Role of Executive Officers</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requested by the Compensation Committee, some members of management support the Compensation Committee’s review and consideration of executive compensation by providing information for the Compensation Committee’s review. The Compensation Committee relies upon the CEO’s assessment of each NEO’s individual performance. The Compensation Committee reviews and approves the corporate goals and objectives applicable to the compensation of the CEO and evaluates annually the CEO’s performance in light of those goals and objectives. The CEO also provides recommendations regarding compensation provided to NEOs (other than herself), technical and regulatory considerations, and input on program design and possible modifications.</w:t>
      </w:r>
    </w:p>
    <w:p>
      <w:pPr>
        <w:spacing w:after="0" w:line="37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Compensation Committee holds final authority over all compensation decisions for the NEOs. The Compensation Committee has historically placed significant weight on the CEO’s recommendations with respect to compensation of NEOs (other than the CEO), but always maintains oversight and decisional authority with respect to NEO compensation. The CEO does not make recommendations to the Committee on her own pay levels. The Committee, in executive session, and without the CEO present, determines the pay levels for the CEO.</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Independent Compensation Consultant</w:t>
      </w:r>
    </w:p>
    <w:p>
      <w:pPr>
        <w:spacing w:after="0" w:line="83"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Compensation Committee has the authority to directly select, engage, and terminate such counsel, consultants (including compensation consultants), and other experts it deems necessary or appropriate to assist it in carrying out its responsibilities. For 2025, the Compensation Committee retained FW Cook, a compensation consulting firm, to assess the effectiveness of the Company’s executive and director compensation programs. FW Cook is independent, reports directly to the Compensation Committee, and performs no other work for the Company other than assisting the Committee in its review of the Company’s executive and director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107315</wp:posOffset>
            </wp:positionV>
            <wp:extent cx="593090" cy="1187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25" w:name="page26"/>
    <w:bookmarkEnd w:id="25"/>
    <w:p>
      <w:pPr>
        <w:ind w:right="160"/>
        <w:spacing w:after="0" w:line="261" w:lineRule="auto"/>
        <w:rPr>
          <w:sz w:val="20"/>
          <w:szCs w:val="20"/>
          <w:color w:val="auto"/>
        </w:rPr>
      </w:pPr>
      <w:r>
        <w:rPr>
          <w:rFonts w:ascii="Arial" w:cs="Arial" w:eastAsia="Arial" w:hAnsi="Arial"/>
          <w:sz w:val="16"/>
          <w:szCs w:val="16"/>
          <w:color w:val="auto"/>
        </w:rPr>
        <w:t>The Compensation Committee utilized FW Cook’s 2025 reports to assist with executive and board compensation decisions in 2025, but did not rely solely on them. The Compensation Committee made all decisions based upon a balance of internal views, strategy, and external competitive factors, along with the outside perspective of FW Cook.</w:t>
      </w:r>
    </w:p>
    <w:p>
      <w:pPr>
        <w:spacing w:after="0" w:line="174"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The Compensation Committee reviews the independence of its compensation consultants against the six “Independence Factors” described in the Nasdaq listing standards and applicable SEC guidance. For 2025, the Compensation Committee determined that FW Cook was independent.</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Say-on-Pay Vote on Executive Compensation</w:t>
      </w:r>
    </w:p>
    <w:p>
      <w:pPr>
        <w:spacing w:after="0" w:line="83"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We conducted our first say-on-pay vote at our 2025 annual meeting of stockholders, at which 90.75% of the votes cast were cast in favor of approving, on a non-binding, advisory basis, the 2024 compensation of our NEOs. Based on this outcome, the Compensation Committee concluded that stockholders generally support our executive compensation philosophy. Because we value the opinions of our stockholders, our Board and Compensation Committee will consider the outcome of the say-on-pay vote described in Proposal 2 of this Proxy Statement, as well as feedback received throughout the year, when making compensation decisions for our NEOs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62B48"/>
        </w:rPr>
        <w:t>Best Practices</w:t>
      </w:r>
    </w:p>
    <w:p>
      <w:pPr>
        <w:spacing w:after="0" w:line="70"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The Compensation Committee reviews its policies and procedures to ensure they are consistent with strong corporate governance guidelines with the intention that our compensation philosophies promote high ethical standards and encourage prudent decision-making without excessive risk.</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460" w:type="dxa"/>
            <w:vAlign w:val="bottom"/>
            <w:shd w:val="clear" w:color="auto" w:fill="062B48"/>
          </w:tcPr>
          <w:p>
            <w:pPr>
              <w:ind w:left="220"/>
              <w:spacing w:after="0"/>
              <w:rPr>
                <w:sz w:val="20"/>
                <w:szCs w:val="20"/>
                <w:color w:val="auto"/>
              </w:rPr>
            </w:pPr>
            <w:r>
              <w:rPr>
                <w:rFonts w:ascii="Arial" w:cs="Arial" w:eastAsia="Arial" w:hAnsi="Arial"/>
                <w:sz w:val="14"/>
                <w:szCs w:val="14"/>
                <w:b w:val="1"/>
                <w:bCs w:val="1"/>
                <w:color w:val="FFFFFF"/>
              </w:rPr>
              <w:t>What We Do</w:t>
            </w:r>
          </w:p>
        </w:tc>
        <w:tc>
          <w:tcPr>
            <w:tcW w:w="5780" w:type="dxa"/>
            <w:vAlign w:val="bottom"/>
            <w:shd w:val="clear" w:color="auto" w:fill="062B48"/>
          </w:tcPr>
          <w:p>
            <w:pPr>
              <w:ind w:left="160"/>
              <w:spacing w:after="0"/>
              <w:rPr>
                <w:sz w:val="20"/>
                <w:szCs w:val="20"/>
                <w:color w:val="auto"/>
              </w:rPr>
            </w:pPr>
            <w:r>
              <w:rPr>
                <w:rFonts w:ascii="Arial" w:cs="Arial" w:eastAsia="Arial" w:hAnsi="Arial"/>
                <w:sz w:val="14"/>
                <w:szCs w:val="14"/>
                <w:b w:val="1"/>
                <w:bCs w:val="1"/>
                <w:color w:val="FFFFFF"/>
              </w:rPr>
              <w:t>What We Don’t Do</w:t>
            </w:r>
          </w:p>
        </w:tc>
      </w:tr>
      <w:tr>
        <w:trPr>
          <w:trHeight w:val="191"/>
        </w:trPr>
        <w:tc>
          <w:tcPr>
            <w:tcW w:w="5460" w:type="dxa"/>
            <w:vAlign w:val="bottom"/>
          </w:tcPr>
          <w:p>
            <w:pPr>
              <w:ind w:left="220"/>
              <w:spacing w:after="0"/>
              <w:rPr>
                <w:sz w:val="20"/>
                <w:szCs w:val="20"/>
                <w:color w:val="auto"/>
              </w:rPr>
            </w:pPr>
            <w:r>
              <w:rPr>
                <w:rFonts w:ascii="Arial" w:cs="Arial" w:eastAsia="Arial" w:hAnsi="Arial"/>
                <w:sz w:val="14"/>
                <w:szCs w:val="14"/>
                <w:color w:val="auto"/>
              </w:rPr>
              <w:t>Align pay and performance</w:t>
            </w:r>
          </w:p>
        </w:tc>
        <w:tc>
          <w:tcPr>
            <w:tcW w:w="5780" w:type="dxa"/>
            <w:vAlign w:val="bottom"/>
          </w:tcPr>
          <w:p>
            <w:pPr>
              <w:ind w:left="160"/>
              <w:spacing w:after="0"/>
              <w:rPr>
                <w:sz w:val="20"/>
                <w:szCs w:val="20"/>
                <w:color w:val="auto"/>
              </w:rPr>
            </w:pPr>
            <w:r>
              <w:rPr>
                <w:rFonts w:ascii="Arial" w:cs="Arial" w:eastAsia="Arial" w:hAnsi="Arial"/>
                <w:sz w:val="14"/>
                <w:szCs w:val="14"/>
                <w:color w:val="auto"/>
              </w:rPr>
              <w:t>No guaranteed bonuses for NEOs; incentive compensation may be reduced to zero if</w:t>
            </w:r>
          </w:p>
        </w:tc>
      </w:tr>
      <w:tr>
        <w:trPr>
          <w:trHeight w:val="189"/>
        </w:trPr>
        <w:tc>
          <w:tcPr>
            <w:tcW w:w="5460" w:type="dxa"/>
            <w:vAlign w:val="bottom"/>
          </w:tcPr>
          <w:p>
            <w:pPr>
              <w:spacing w:after="0"/>
              <w:rPr>
                <w:sz w:val="16"/>
                <w:szCs w:val="16"/>
                <w:color w:val="auto"/>
              </w:rPr>
            </w:pPr>
          </w:p>
        </w:tc>
        <w:tc>
          <w:tcPr>
            <w:tcW w:w="5780" w:type="dxa"/>
            <w:vAlign w:val="bottom"/>
          </w:tcPr>
          <w:p>
            <w:pPr>
              <w:ind w:left="160"/>
              <w:spacing w:after="0"/>
              <w:rPr>
                <w:sz w:val="20"/>
                <w:szCs w:val="20"/>
                <w:color w:val="auto"/>
              </w:rPr>
            </w:pPr>
            <w:r>
              <w:rPr>
                <w:rFonts w:ascii="Arial" w:cs="Arial" w:eastAsia="Arial" w:hAnsi="Arial"/>
                <w:sz w:val="14"/>
                <w:szCs w:val="14"/>
                <w:color w:val="auto"/>
              </w:rPr>
              <w:t>financial metrics are not met</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r>
        <w:trPr>
          <w:trHeight w:val="184"/>
        </w:trPr>
        <w:tc>
          <w:tcPr>
            <w:tcW w:w="5460" w:type="dxa"/>
            <w:vAlign w:val="bottom"/>
          </w:tcPr>
          <w:p>
            <w:pPr>
              <w:ind w:left="220"/>
              <w:spacing w:after="0"/>
              <w:rPr>
                <w:sz w:val="20"/>
                <w:szCs w:val="20"/>
                <w:color w:val="auto"/>
              </w:rPr>
            </w:pPr>
            <w:r>
              <w:rPr>
                <w:rFonts w:ascii="Arial" w:cs="Arial" w:eastAsia="Arial" w:hAnsi="Arial"/>
                <w:sz w:val="14"/>
                <w:szCs w:val="14"/>
                <w:color w:val="auto"/>
              </w:rPr>
              <w:t>Utilize a balanced mix of cash and equity compensation together with annual and</w:t>
            </w:r>
          </w:p>
        </w:tc>
        <w:tc>
          <w:tcPr>
            <w:tcW w:w="5780" w:type="dxa"/>
            <w:vAlign w:val="bottom"/>
          </w:tcPr>
          <w:p>
            <w:pPr>
              <w:spacing w:after="0"/>
              <w:rPr>
                <w:sz w:val="16"/>
                <w:szCs w:val="16"/>
                <w:color w:val="auto"/>
              </w:rPr>
            </w:pPr>
          </w:p>
        </w:tc>
      </w:tr>
      <w:tr>
        <w:trPr>
          <w:trHeight w:val="189"/>
        </w:trPr>
        <w:tc>
          <w:tcPr>
            <w:tcW w:w="5460" w:type="dxa"/>
            <w:vAlign w:val="bottom"/>
          </w:tcPr>
          <w:p>
            <w:pPr>
              <w:ind w:left="220"/>
              <w:spacing w:after="0"/>
              <w:rPr>
                <w:sz w:val="20"/>
                <w:szCs w:val="20"/>
                <w:color w:val="auto"/>
              </w:rPr>
            </w:pPr>
            <w:r>
              <w:rPr>
                <w:rFonts w:ascii="Arial" w:cs="Arial" w:eastAsia="Arial" w:hAnsi="Arial"/>
                <w:sz w:val="14"/>
                <w:szCs w:val="14"/>
                <w:color w:val="auto"/>
              </w:rPr>
              <w:t>long-term incentives</w:t>
            </w:r>
          </w:p>
        </w:tc>
        <w:tc>
          <w:tcPr>
            <w:tcW w:w="5780" w:type="dxa"/>
            <w:vAlign w:val="bottom"/>
          </w:tcPr>
          <w:p>
            <w:pPr>
              <w:ind w:left="160"/>
              <w:spacing w:after="0"/>
              <w:rPr>
                <w:sz w:val="20"/>
                <w:szCs w:val="20"/>
                <w:color w:val="auto"/>
              </w:rPr>
            </w:pPr>
            <w:r>
              <w:rPr>
                <w:rFonts w:ascii="Arial" w:cs="Arial" w:eastAsia="Arial" w:hAnsi="Arial"/>
                <w:sz w:val="14"/>
                <w:szCs w:val="14"/>
                <w:color w:val="auto"/>
              </w:rPr>
              <w:t>No excessive perquisites for our directors and NEOs</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r>
        <w:trPr>
          <w:trHeight w:val="184"/>
        </w:trPr>
        <w:tc>
          <w:tcPr>
            <w:tcW w:w="5460" w:type="dxa"/>
            <w:vAlign w:val="bottom"/>
          </w:tcPr>
          <w:p>
            <w:pPr>
              <w:ind w:left="220"/>
              <w:spacing w:after="0"/>
              <w:rPr>
                <w:sz w:val="20"/>
                <w:szCs w:val="20"/>
                <w:color w:val="auto"/>
              </w:rPr>
            </w:pPr>
            <w:r>
              <w:rPr>
                <w:rFonts w:ascii="Arial" w:cs="Arial" w:eastAsia="Arial" w:hAnsi="Arial"/>
                <w:sz w:val="14"/>
                <w:szCs w:val="14"/>
                <w:color w:val="auto"/>
              </w:rPr>
              <w:t>Independent third-party compensation consultant retained by and reports to the</w:t>
            </w:r>
          </w:p>
        </w:tc>
        <w:tc>
          <w:tcPr>
            <w:tcW w:w="5780" w:type="dxa"/>
            <w:vAlign w:val="bottom"/>
          </w:tcPr>
          <w:p>
            <w:pPr>
              <w:spacing w:after="0"/>
              <w:rPr>
                <w:sz w:val="16"/>
                <w:szCs w:val="16"/>
                <w:color w:val="auto"/>
              </w:rPr>
            </w:pPr>
          </w:p>
        </w:tc>
      </w:tr>
      <w:tr>
        <w:trPr>
          <w:trHeight w:val="189"/>
        </w:trPr>
        <w:tc>
          <w:tcPr>
            <w:tcW w:w="5460" w:type="dxa"/>
            <w:vAlign w:val="bottom"/>
          </w:tcPr>
          <w:p>
            <w:pPr>
              <w:ind w:left="220"/>
              <w:spacing w:after="0"/>
              <w:rPr>
                <w:sz w:val="20"/>
                <w:szCs w:val="20"/>
                <w:color w:val="auto"/>
              </w:rPr>
            </w:pPr>
            <w:r>
              <w:rPr>
                <w:rFonts w:ascii="Arial" w:cs="Arial" w:eastAsia="Arial" w:hAnsi="Arial"/>
                <w:sz w:val="14"/>
                <w:szCs w:val="14"/>
                <w:color w:val="auto"/>
              </w:rPr>
              <w:t>Compensation Committee</w:t>
            </w:r>
          </w:p>
        </w:tc>
        <w:tc>
          <w:tcPr>
            <w:tcW w:w="5780" w:type="dxa"/>
            <w:vAlign w:val="bottom"/>
          </w:tcPr>
          <w:p>
            <w:pPr>
              <w:ind w:left="160"/>
              <w:spacing w:after="0"/>
              <w:rPr>
                <w:sz w:val="20"/>
                <w:szCs w:val="20"/>
                <w:color w:val="auto"/>
              </w:rPr>
            </w:pPr>
            <w:r>
              <w:rPr>
                <w:rFonts w:ascii="Arial" w:cs="Arial" w:eastAsia="Arial" w:hAnsi="Arial"/>
                <w:sz w:val="14"/>
                <w:szCs w:val="14"/>
                <w:color w:val="auto"/>
              </w:rPr>
              <w:t>No uncapped incentive award payments</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r>
        <w:trPr>
          <w:trHeight w:val="213"/>
        </w:trPr>
        <w:tc>
          <w:tcPr>
            <w:tcW w:w="5460" w:type="dxa"/>
            <w:vAlign w:val="bottom"/>
          </w:tcPr>
          <w:p>
            <w:pPr>
              <w:ind w:left="220"/>
              <w:spacing w:after="0"/>
              <w:rPr>
                <w:sz w:val="20"/>
                <w:szCs w:val="20"/>
                <w:color w:val="auto"/>
              </w:rPr>
            </w:pPr>
            <w:r>
              <w:rPr>
                <w:rFonts w:ascii="Arial" w:cs="Arial" w:eastAsia="Arial" w:hAnsi="Arial"/>
                <w:sz w:val="14"/>
                <w:szCs w:val="14"/>
                <w:color w:val="auto"/>
              </w:rPr>
              <w:t>Peer group benchmarking</w:t>
            </w:r>
          </w:p>
        </w:tc>
        <w:tc>
          <w:tcPr>
            <w:tcW w:w="5780" w:type="dxa"/>
            <w:vAlign w:val="bottom"/>
          </w:tcPr>
          <w:p>
            <w:pPr>
              <w:ind w:left="160"/>
              <w:spacing w:after="0"/>
              <w:rPr>
                <w:sz w:val="20"/>
                <w:szCs w:val="20"/>
                <w:color w:val="auto"/>
              </w:rPr>
            </w:pPr>
            <w:r>
              <w:rPr>
                <w:rFonts w:ascii="Arial" w:cs="Arial" w:eastAsia="Arial" w:hAnsi="Arial"/>
                <w:sz w:val="14"/>
                <w:szCs w:val="14"/>
                <w:color w:val="auto"/>
              </w:rPr>
              <w:t>No highly leveraged incentive plans that encourage excessive risk taking</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r>
        <w:trPr>
          <w:trHeight w:val="213"/>
        </w:trPr>
        <w:tc>
          <w:tcPr>
            <w:tcW w:w="5460" w:type="dxa"/>
            <w:vAlign w:val="bottom"/>
          </w:tcPr>
          <w:p>
            <w:pPr>
              <w:ind w:left="220"/>
              <w:spacing w:after="0"/>
              <w:rPr>
                <w:sz w:val="20"/>
                <w:szCs w:val="20"/>
                <w:color w:val="auto"/>
              </w:rPr>
            </w:pPr>
            <w:r>
              <w:rPr>
                <w:rFonts w:ascii="Arial" w:cs="Arial" w:eastAsia="Arial" w:hAnsi="Arial"/>
                <w:sz w:val="14"/>
                <w:szCs w:val="14"/>
                <w:color w:val="auto"/>
              </w:rPr>
              <w:t>Maintain stock ownership guidelines for NEOs and directors</w:t>
            </w:r>
          </w:p>
        </w:tc>
        <w:tc>
          <w:tcPr>
            <w:tcW w:w="5780" w:type="dxa"/>
            <w:vAlign w:val="bottom"/>
          </w:tcPr>
          <w:p>
            <w:pPr>
              <w:ind w:left="160"/>
              <w:spacing w:after="0"/>
              <w:rPr>
                <w:sz w:val="20"/>
                <w:szCs w:val="20"/>
                <w:color w:val="auto"/>
              </w:rPr>
            </w:pPr>
            <w:r>
              <w:rPr>
                <w:rFonts w:ascii="Arial" w:cs="Arial" w:eastAsia="Arial" w:hAnsi="Arial"/>
                <w:sz w:val="14"/>
                <w:szCs w:val="14"/>
                <w:color w:val="auto"/>
              </w:rPr>
              <w:t>No hedging of stock</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r>
        <w:trPr>
          <w:trHeight w:val="213"/>
        </w:trPr>
        <w:tc>
          <w:tcPr>
            <w:tcW w:w="5460" w:type="dxa"/>
            <w:vAlign w:val="bottom"/>
          </w:tcPr>
          <w:p>
            <w:pPr>
              <w:ind w:left="220"/>
              <w:spacing w:after="0"/>
              <w:rPr>
                <w:sz w:val="20"/>
                <w:szCs w:val="20"/>
                <w:color w:val="auto"/>
              </w:rPr>
            </w:pPr>
            <w:r>
              <w:rPr>
                <w:rFonts w:ascii="Arial" w:cs="Arial" w:eastAsia="Arial" w:hAnsi="Arial"/>
                <w:sz w:val="14"/>
                <w:szCs w:val="14"/>
                <w:color w:val="auto"/>
              </w:rPr>
              <w:t>Maintain a clawback policy</w:t>
            </w:r>
          </w:p>
        </w:tc>
        <w:tc>
          <w:tcPr>
            <w:tcW w:w="5780" w:type="dxa"/>
            <w:vAlign w:val="bottom"/>
          </w:tcPr>
          <w:p>
            <w:pPr>
              <w:ind w:left="160"/>
              <w:spacing w:after="0"/>
              <w:rPr>
                <w:sz w:val="20"/>
                <w:szCs w:val="20"/>
                <w:color w:val="auto"/>
              </w:rPr>
            </w:pPr>
            <w:r>
              <w:rPr>
                <w:rFonts w:ascii="Arial" w:cs="Arial" w:eastAsia="Arial" w:hAnsi="Arial"/>
                <w:sz w:val="14"/>
                <w:szCs w:val="14"/>
                <w:color w:val="auto"/>
              </w:rPr>
              <w:t>No golden parachute excise tax gross ups</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r>
        <w:trPr>
          <w:trHeight w:val="213"/>
        </w:trPr>
        <w:tc>
          <w:tcPr>
            <w:tcW w:w="5460" w:type="dxa"/>
            <w:vAlign w:val="bottom"/>
          </w:tcPr>
          <w:p>
            <w:pPr>
              <w:ind w:left="220"/>
              <w:spacing w:after="0"/>
              <w:rPr>
                <w:sz w:val="20"/>
                <w:szCs w:val="20"/>
                <w:color w:val="auto"/>
              </w:rPr>
            </w:pPr>
            <w:r>
              <w:rPr>
                <w:rFonts w:ascii="Arial" w:cs="Arial" w:eastAsia="Arial" w:hAnsi="Arial"/>
                <w:sz w:val="14"/>
                <w:szCs w:val="14"/>
                <w:color w:val="auto"/>
              </w:rPr>
              <w:t>Conduct ongoing stockholder outreach and communications</w:t>
            </w:r>
          </w:p>
        </w:tc>
        <w:tc>
          <w:tcPr>
            <w:tcW w:w="5780" w:type="dxa"/>
            <w:vAlign w:val="bottom"/>
          </w:tcPr>
          <w:p>
            <w:pPr>
              <w:ind w:left="160"/>
              <w:spacing w:after="0"/>
              <w:rPr>
                <w:sz w:val="20"/>
                <w:szCs w:val="20"/>
                <w:color w:val="auto"/>
              </w:rPr>
            </w:pPr>
            <w:r>
              <w:rPr>
                <w:rFonts w:ascii="Arial" w:cs="Arial" w:eastAsia="Arial" w:hAnsi="Arial"/>
                <w:sz w:val="14"/>
                <w:szCs w:val="14"/>
                <w:color w:val="auto"/>
              </w:rPr>
              <w:t>No “single trigger” severance upon a change in control</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r>
        <w:trPr>
          <w:trHeight w:val="184"/>
        </w:trPr>
        <w:tc>
          <w:tcPr>
            <w:tcW w:w="5460" w:type="dxa"/>
            <w:vAlign w:val="bottom"/>
          </w:tcPr>
          <w:p>
            <w:pPr>
              <w:ind w:left="220"/>
              <w:spacing w:after="0"/>
              <w:rPr>
                <w:sz w:val="20"/>
                <w:szCs w:val="20"/>
                <w:color w:val="auto"/>
              </w:rPr>
            </w:pPr>
            <w:r>
              <w:rPr>
                <w:rFonts w:ascii="Arial" w:cs="Arial" w:eastAsia="Arial" w:hAnsi="Arial"/>
                <w:sz w:val="14"/>
                <w:szCs w:val="14"/>
                <w:color w:val="auto"/>
              </w:rPr>
              <w:t>Responsible use of shares under our 2019 Equity Incentive Plan</w:t>
            </w:r>
          </w:p>
        </w:tc>
        <w:tc>
          <w:tcPr>
            <w:tcW w:w="5780" w:type="dxa"/>
            <w:vAlign w:val="bottom"/>
          </w:tcPr>
          <w:p>
            <w:pPr>
              <w:ind w:left="160"/>
              <w:spacing w:after="0"/>
              <w:rPr>
                <w:sz w:val="20"/>
                <w:szCs w:val="20"/>
                <w:color w:val="auto"/>
              </w:rPr>
            </w:pPr>
            <w:r>
              <w:rPr>
                <w:rFonts w:ascii="Arial" w:cs="Arial" w:eastAsia="Arial" w:hAnsi="Arial"/>
                <w:sz w:val="14"/>
                <w:szCs w:val="14"/>
                <w:color w:val="auto"/>
              </w:rPr>
              <w:t>No dividends or dividend equivalents on unearned performance-based equity</w:t>
            </w:r>
          </w:p>
        </w:tc>
      </w:tr>
      <w:tr>
        <w:trPr>
          <w:trHeight w:val="189"/>
        </w:trPr>
        <w:tc>
          <w:tcPr>
            <w:tcW w:w="5460" w:type="dxa"/>
            <w:vAlign w:val="bottom"/>
          </w:tcPr>
          <w:p>
            <w:pPr>
              <w:spacing w:after="0"/>
              <w:rPr>
                <w:sz w:val="16"/>
                <w:szCs w:val="16"/>
                <w:color w:val="auto"/>
              </w:rPr>
            </w:pPr>
          </w:p>
        </w:tc>
        <w:tc>
          <w:tcPr>
            <w:tcW w:w="5780" w:type="dxa"/>
            <w:vAlign w:val="bottom"/>
          </w:tcPr>
          <w:p>
            <w:pPr>
              <w:ind w:left="160"/>
              <w:spacing w:after="0"/>
              <w:rPr>
                <w:sz w:val="20"/>
                <w:szCs w:val="20"/>
                <w:color w:val="auto"/>
              </w:rPr>
            </w:pPr>
            <w:r>
              <w:rPr>
                <w:rFonts w:ascii="Arial" w:cs="Arial" w:eastAsia="Arial" w:hAnsi="Arial"/>
                <w:sz w:val="14"/>
                <w:szCs w:val="14"/>
                <w:color w:val="auto"/>
              </w:rPr>
              <w:t>compensation</w:t>
            </w:r>
          </w:p>
        </w:tc>
      </w:tr>
      <w:tr>
        <w:trPr>
          <w:trHeight w:val="21"/>
        </w:trPr>
        <w:tc>
          <w:tcPr>
            <w:tcW w:w="5460" w:type="dxa"/>
            <w:vAlign w:val="bottom"/>
            <w:tcBorders>
              <w:bottom w:val="single" w:sz="8" w:color="1AB2D2"/>
            </w:tcBorders>
          </w:tcPr>
          <w:p>
            <w:pPr>
              <w:spacing w:after="0" w:line="20" w:lineRule="exact"/>
              <w:rPr>
                <w:sz w:val="1"/>
                <w:szCs w:val="1"/>
                <w:color w:val="auto"/>
              </w:rPr>
            </w:pPr>
          </w:p>
        </w:tc>
        <w:tc>
          <w:tcPr>
            <w:tcW w:w="5780" w:type="dxa"/>
            <w:vAlign w:val="bottom"/>
            <w:tcBorders>
              <w:bottom w:val="single" w:sz="8" w:color="1AB2D2"/>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1AB2D2"/>
        </w:rPr>
        <w:t>PEER GROUP SELECTION AND ANALYSIS</w:t>
      </w:r>
    </w:p>
    <w:p>
      <w:pPr>
        <w:spacing w:after="0" w:line="70"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Compensation Committee works with FW Cook to determine and utilize a peer group of publicly traded financial institutions which is typically evaluated annually and updated as needed. As part of this annual review, certain refinements were made to the 2025 peer group ("</w:t>
      </w:r>
      <w:r>
        <w:rPr>
          <w:rFonts w:ascii="Arial" w:cs="Arial" w:eastAsia="Arial" w:hAnsi="Arial"/>
          <w:sz w:val="16"/>
          <w:szCs w:val="16"/>
          <w:b w:val="1"/>
          <w:bCs w:val="1"/>
          <w:color w:val="auto"/>
        </w:rPr>
        <w:t>peer group</w:t>
      </w:r>
      <w:r>
        <w:rPr>
          <w:rFonts w:ascii="Arial" w:cs="Arial" w:eastAsia="Arial" w:hAnsi="Arial"/>
          <w:sz w:val="16"/>
          <w:szCs w:val="16"/>
          <w:color w:val="auto"/>
        </w:rPr>
        <w:t>") over the last year based on established screening criteria. The peer group is based on an analysis of publicly traded, diversified financial institutions to identify peers with similar characteristics to Alerus based on a variety of factors including commercial banks of similar asset size, financial performance, and similar business model traits such as more than 30% of revenue being driven by non-interest income or national companies with wealth management and similar assets under management. The Compensation Committee utilizes market data regarding the compensation practices of the peer group to establish compensation of the NEOs. The Compensation Committee benchmarks NEO compensation against the peer group median for each pay component, however the median is only a point of reference and NEOs may be positioned at a level less than or greater than the median based on time in position, experience, competitive pay objectives, and other factors. In connection with its 2025 analysis of the executive compensation peer group review, FW Cook compiled a market reference group of 16 publicly traded companies with stable-to-strong performance history. The Compensation Committee believes this peer group is appropriate for comparative analysis, but the Compensation Committee does not base its executive compensation decisions solely upon the peer group comparison. The companies included in this peer group used for 2025 compensation decisions are listed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940" w:type="dxa"/>
            <w:vAlign w:val="bottom"/>
          </w:tcPr>
          <w:p>
            <w:pPr>
              <w:spacing w:after="0"/>
              <w:rPr>
                <w:sz w:val="20"/>
                <w:szCs w:val="20"/>
                <w:color w:val="auto"/>
              </w:rPr>
            </w:pPr>
            <w:r>
              <w:rPr>
                <w:rFonts w:ascii="Arial" w:cs="Arial" w:eastAsia="Arial" w:hAnsi="Arial"/>
                <w:sz w:val="16"/>
                <w:szCs w:val="16"/>
                <w:color w:val="auto"/>
              </w:rPr>
              <w:t>■   Bank First Corporation (BFC) – Manitowoc, Wisconsin</w:t>
            </w:r>
          </w:p>
        </w:tc>
        <w:tc>
          <w:tcPr>
            <w:tcW w:w="6300" w:type="dxa"/>
            <w:vAlign w:val="bottom"/>
          </w:tcPr>
          <w:p>
            <w:pPr>
              <w:jc w:val="right"/>
              <w:ind w:right="989"/>
              <w:spacing w:after="0"/>
              <w:rPr>
                <w:sz w:val="20"/>
                <w:szCs w:val="20"/>
                <w:color w:val="auto"/>
              </w:rPr>
            </w:pPr>
            <w:r>
              <w:rPr>
                <w:rFonts w:ascii="Arial" w:cs="Arial" w:eastAsia="Arial" w:hAnsi="Arial"/>
                <w:sz w:val="16"/>
                <w:szCs w:val="16"/>
                <w:color w:val="auto"/>
              </w:rPr>
              <w:t>■   Lakeland Financial Corporation (LKFN) – Warsaw, Indiana</w:t>
            </w:r>
          </w:p>
        </w:tc>
        <w:tc>
          <w:tcPr>
            <w:tcW w:w="0" w:type="dxa"/>
            <w:vAlign w:val="bottom"/>
          </w:tcPr>
          <w:p>
            <w:pPr>
              <w:spacing w:after="0"/>
              <w:rPr>
                <w:sz w:val="1"/>
                <w:szCs w:val="1"/>
                <w:color w:val="auto"/>
              </w:rPr>
            </w:pPr>
          </w:p>
        </w:tc>
      </w:tr>
      <w:tr>
        <w:trPr>
          <w:trHeight w:val="687"/>
        </w:trPr>
        <w:tc>
          <w:tcPr>
            <w:tcW w:w="494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6300" w:type="dxa"/>
            <w:vAlign w:val="bottom"/>
          </w:tcPr>
          <w:p>
            <w:pPr>
              <w:jc w:val="right"/>
              <w:spacing w:after="0"/>
              <w:rPr>
                <w:sz w:val="20"/>
                <w:szCs w:val="20"/>
                <w:color w:val="auto"/>
              </w:rPr>
            </w:pPr>
            <w:r>
              <w:rPr>
                <w:rFonts w:ascii="Calibri" w:cs="Calibri" w:eastAsia="Calibri" w:hAnsi="Calibri"/>
                <w:sz w:val="12"/>
                <w:szCs w:val="12"/>
                <w:color w:val="auto"/>
              </w:rPr>
              <w:t>23</w:t>
            </w:r>
          </w:p>
        </w:tc>
        <w:tc>
          <w:tcPr>
            <w:tcW w:w="0" w:type="dxa"/>
            <w:vAlign w:val="bottom"/>
          </w:tcPr>
          <w:p>
            <w:pPr>
              <w:spacing w:after="0"/>
              <w:rPr>
                <w:sz w:val="1"/>
                <w:szCs w:val="1"/>
                <w:color w:val="auto"/>
              </w:rPr>
            </w:pPr>
          </w:p>
        </w:tc>
      </w:tr>
      <w:tr>
        <w:trPr>
          <w:trHeight w:val="40"/>
        </w:trPr>
        <w:tc>
          <w:tcPr>
            <w:tcW w:w="4940" w:type="dxa"/>
            <w:vAlign w:val="bottom"/>
            <w:vMerge w:val="continue"/>
          </w:tcPr>
          <w:p>
            <w:pPr>
              <w:spacing w:after="0"/>
              <w:rPr>
                <w:sz w:val="3"/>
                <w:szCs w:val="3"/>
                <w:color w:val="auto"/>
              </w:rPr>
            </w:pPr>
          </w:p>
        </w:tc>
        <w:tc>
          <w:tcPr>
            <w:tcW w:w="6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49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-380365</wp:posOffset>
            </wp:positionV>
            <wp:extent cx="593090" cy="1187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26" w:name="page27"/>
    <w:bookmarkEnd w:id="26"/>
    <w:p>
      <w:pPr>
        <w:spacing w:after="0"/>
        <w:tabs>
          <w:tab w:leader="none" w:pos="300" w:val="left"/>
        </w:tabs>
        <w:rPr>
          <w:sz w:val="20"/>
          <w:szCs w:val="20"/>
          <w:color w:val="auto"/>
        </w:rPr>
      </w:pPr>
      <w:r>
        <w:rPr>
          <w:rFonts w:ascii="Arial" w:cs="Arial" w:eastAsia="Arial" w:hAnsi="Arial"/>
          <w:sz w:val="16"/>
          <w:szCs w:val="16"/>
          <w:color w:val="auto"/>
        </w:rPr>
        <w:t>■</w:t>
        <w:tab/>
        <w:t>Cass Information Systems (CASS) – St. Louis, Missouri</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Midland States Bancorp, Inc. (MSBI) – Effingham, Illinois</w:t>
      </w:r>
    </w:p>
    <w:p>
      <w:pPr>
        <w:spacing w:after="0" w:line="70" w:lineRule="exact"/>
        <w:rPr>
          <w:sz w:val="20"/>
          <w:szCs w:val="20"/>
          <w:color w:val="auto"/>
        </w:rPr>
      </w:pPr>
    </w:p>
    <w:p>
      <w:pPr>
        <w:sectPr>
          <w:pgSz w:w="11900" w:h="16838" w:orient="portrait"/>
          <w:cols w:equalWidth="0" w:num="2">
            <w:col w:w="5020" w:space="720"/>
            <w:col w:w="5500"/>
          </w:cols>
          <w:pgMar w:left="320" w:top="579" w:right="339" w:bottom="1440" w:gutter="0" w:footer="0" w:header="0"/>
        </w:sectPr>
      </w:pPr>
    </w:p>
    <w:p>
      <w:pPr>
        <w:spacing w:after="0"/>
        <w:tabs>
          <w:tab w:leader="none" w:pos="300" w:val="left"/>
        </w:tabs>
        <w:rPr>
          <w:sz w:val="20"/>
          <w:szCs w:val="20"/>
          <w:color w:val="auto"/>
        </w:rPr>
      </w:pPr>
      <w:r>
        <w:rPr>
          <w:rFonts w:ascii="Arial" w:cs="Arial" w:eastAsia="Arial" w:hAnsi="Arial"/>
          <w:sz w:val="15"/>
          <w:szCs w:val="15"/>
          <w:color w:val="auto"/>
        </w:rPr>
        <w:t>■</w:t>
        <w:tab/>
        <w:t>Community Trust Bancorp (CTBI) – Pikeville, Kentucky</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Northpointe Bancshares, Inc. (NPB) – Grand Rapids, Michigan</w:t>
      </w:r>
    </w:p>
    <w:p>
      <w:pPr>
        <w:spacing w:after="0" w:line="70" w:lineRule="exact"/>
        <w:rPr>
          <w:sz w:val="20"/>
          <w:szCs w:val="20"/>
          <w:color w:val="auto"/>
        </w:rPr>
      </w:pPr>
    </w:p>
    <w:p>
      <w:pPr>
        <w:sectPr>
          <w:pgSz w:w="11900" w:h="16838" w:orient="portrait"/>
          <w:cols w:equalWidth="0" w:num="2">
            <w:col w:w="5020" w:space="720"/>
            <w:col w:w="5500"/>
          </w:cols>
          <w:pgMar w:left="320" w:top="579"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6"/>
          <w:szCs w:val="16"/>
          <w:color w:val="auto"/>
        </w:rPr>
        <w:t>■</w:t>
        <w:tab/>
        <w:t>First Business Financial Services, Inc. (FBIZ) – Madison, Wisconsin</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6"/>
          <w:szCs w:val="16"/>
          <w:color w:val="auto"/>
        </w:rPr>
        <w:t>■</w:t>
        <w:tab/>
        <w:t>Peoples Bancorp Inc. (PEBO) – Marietta, Ohio</w:t>
      </w:r>
    </w:p>
    <w:p>
      <w:pPr>
        <w:spacing w:after="0" w:line="70" w:lineRule="exact"/>
        <w:rPr>
          <w:sz w:val="20"/>
          <w:szCs w:val="20"/>
          <w:color w:val="auto"/>
        </w:rPr>
      </w:pPr>
    </w:p>
    <w:p>
      <w:pPr>
        <w:sectPr>
          <w:pgSz w:w="11900" w:h="16838" w:orient="portrait"/>
          <w:cols w:equalWidth="0" w:num="2">
            <w:col w:w="5120" w:space="620"/>
            <w:col w:w="5500"/>
          </w:cols>
          <w:pgMar w:left="320" w:top="579"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6"/>
          <w:szCs w:val="16"/>
          <w:color w:val="auto"/>
        </w:rPr>
        <w:t>■</w:t>
        <w:tab/>
        <w:t>First Mid Bancshares (FMBH) – Mattoon, Illinois</w:t>
      </w:r>
    </w:p>
    <w:p>
      <w:pPr>
        <w:spacing w:after="0" w:line="20" w:lineRule="exact"/>
        <w:rPr>
          <w:sz w:val="20"/>
          <w:szCs w:val="20"/>
          <w:color w:val="auto"/>
        </w:rPr>
      </w:pPr>
      <w:r>
        <w:rPr>
          <w:sz w:val="20"/>
          <w:szCs w:val="20"/>
          <w:color w:val="auto"/>
        </w:rPr>
        <w:br w:type="column"/>
      </w:r>
    </w:p>
    <w:p>
      <w:pPr>
        <w:jc w:val="center"/>
        <w:ind w:right="2000"/>
        <w:spacing w:after="0"/>
        <w:tabs>
          <w:tab w:leader="none" w:pos="200" w:val="left"/>
        </w:tabs>
        <w:rPr>
          <w:sz w:val="20"/>
          <w:szCs w:val="20"/>
          <w:color w:val="auto"/>
        </w:rPr>
      </w:pPr>
      <w:r>
        <w:rPr>
          <w:rFonts w:ascii="Arial" w:cs="Arial" w:eastAsia="Arial" w:hAnsi="Arial"/>
          <w:sz w:val="16"/>
          <w:szCs w:val="16"/>
          <w:color w:val="auto"/>
        </w:rPr>
        <w:t>■</w:t>
        <w:tab/>
        <w:t>QCR Holdings, Inc. (QCRH) – Moline, Illinois</w:t>
      </w:r>
    </w:p>
    <w:p>
      <w:pPr>
        <w:spacing w:after="0" w:line="70" w:lineRule="exact"/>
        <w:rPr>
          <w:sz w:val="20"/>
          <w:szCs w:val="20"/>
          <w:color w:val="auto"/>
        </w:rPr>
      </w:pPr>
    </w:p>
    <w:p>
      <w:pPr>
        <w:sectPr>
          <w:pgSz w:w="11900" w:h="16838" w:orient="portrait"/>
          <w:cols w:equalWidth="0" w:num="2">
            <w:col w:w="5020" w:space="720"/>
            <w:col w:w="5500"/>
          </w:cols>
          <w:pgMar w:left="320" w:top="579"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5"/>
          <w:szCs w:val="15"/>
          <w:color w:val="auto"/>
        </w:rPr>
        <w:t>■</w:t>
        <w:tab/>
        <w:t>First Western Financial (MYFW) – Denver, Colorado</w:t>
      </w:r>
    </w:p>
    <w:p>
      <w:pPr>
        <w:spacing w:after="0" w:line="20" w:lineRule="exact"/>
        <w:rPr>
          <w:sz w:val="20"/>
          <w:szCs w:val="20"/>
          <w:color w:val="auto"/>
        </w:rPr>
      </w:pPr>
      <w:r>
        <w:rPr>
          <w:sz w:val="20"/>
          <w:szCs w:val="20"/>
          <w:color w:val="auto"/>
        </w:rPr>
        <w:br w:type="column"/>
      </w:r>
    </w:p>
    <w:p>
      <w:pPr>
        <w:jc w:val="center"/>
        <w:ind w:right="1580"/>
        <w:spacing w:after="0"/>
        <w:tabs>
          <w:tab w:leader="none" w:pos="200" w:val="left"/>
        </w:tabs>
        <w:rPr>
          <w:sz w:val="20"/>
          <w:szCs w:val="20"/>
          <w:color w:val="auto"/>
        </w:rPr>
      </w:pPr>
      <w:r>
        <w:rPr>
          <w:rFonts w:ascii="Arial" w:cs="Arial" w:eastAsia="Arial" w:hAnsi="Arial"/>
          <w:sz w:val="16"/>
          <w:szCs w:val="16"/>
          <w:color w:val="auto"/>
        </w:rPr>
        <w:t>■</w:t>
        <w:tab/>
        <w:t>S&amp;T Bancorp, Inc. (STBA) – Pennsylvania, Indiana</w:t>
      </w:r>
    </w:p>
    <w:p>
      <w:pPr>
        <w:spacing w:after="0" w:line="70" w:lineRule="exact"/>
        <w:rPr>
          <w:sz w:val="20"/>
          <w:szCs w:val="20"/>
          <w:color w:val="auto"/>
        </w:rPr>
      </w:pPr>
    </w:p>
    <w:p>
      <w:pPr>
        <w:sectPr>
          <w:pgSz w:w="11900" w:h="16838" w:orient="portrait"/>
          <w:cols w:equalWidth="0" w:num="2">
            <w:col w:w="5020" w:space="720"/>
            <w:col w:w="5500"/>
          </w:cols>
          <w:pgMar w:left="320" w:top="579"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6"/>
          <w:szCs w:val="16"/>
          <w:color w:val="auto"/>
        </w:rPr>
        <w:t>■</w:t>
        <w:tab/>
        <w:t>German American Bancorp (GABC) – Jasper, Indiana</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15"/>
          <w:szCs w:val="15"/>
          <w:color w:val="auto"/>
        </w:rPr>
        <w:t>■</w:t>
        <w:tab/>
        <w:t>1st Source Corporation (SRCE) – South Bend, Indiana</w:t>
      </w:r>
    </w:p>
    <w:p>
      <w:pPr>
        <w:spacing w:after="0" w:line="81" w:lineRule="exact"/>
        <w:rPr>
          <w:sz w:val="20"/>
          <w:szCs w:val="20"/>
          <w:color w:val="auto"/>
        </w:rPr>
      </w:pPr>
    </w:p>
    <w:p>
      <w:pPr>
        <w:sectPr>
          <w:pgSz w:w="11900" w:h="16838" w:orient="portrait"/>
          <w:cols w:equalWidth="0" w:num="2">
            <w:col w:w="5020" w:space="720"/>
            <w:col w:w="5500"/>
          </w:cols>
          <w:pgMar w:left="320" w:top="579"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6"/>
          <w:szCs w:val="16"/>
          <w:color w:val="auto"/>
        </w:rPr>
        <w:t>■</w:t>
        <w:tab/>
        <w:t>Great Southern Bancorp (GSBC) – Springfield, Missouri</w:t>
      </w:r>
    </w:p>
    <w:p>
      <w:pPr>
        <w:spacing w:after="0" w:line="70"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w:t>
        <w:tab/>
        <w:t>Independent Bank Corporation (IBCP) – Grand Rapids, Michigan</w:t>
      </w:r>
    </w:p>
    <w:p>
      <w:pPr>
        <w:sectPr>
          <w:pgSz w:w="11900" w:h="16838" w:orient="portrait"/>
          <w:cols w:equalWidth="0" w:num="1">
            <w:col w:w="11240"/>
          </w:cols>
          <w:pgMar w:left="320" w:top="579"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1AB2D2"/>
        </w:rPr>
        <w:t>2025 EXECUTIVE COMPENSATION PROGRAM</w:t>
      </w:r>
    </w:p>
    <w:p>
      <w:pPr>
        <w:spacing w:after="0" w:line="7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compensate our NEOs with a combination of base salary, annual cash incentive bonuses, annual grants of equity, and other benefits (including perquisites). Each element is designed to achieve a specific purpose and to contribute to a total package that is competitive with similar packages provided by other institutions that compete for the services of individuals like our NEOs.</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Base salary is an essential component to any market-competitive compensation program. Annual incentives reward the achievement of short-term goals, while long-term incentives, like equity awards, serve as an important retention mechanism and drive our NEOs to focus on long-term sustainable stockholder value creation. Based on our performance and consistent with the design of our program, the Compensation Committee made the following decisions relating to 2025 NEO compensation:</w:t>
      </w:r>
    </w:p>
    <w:p>
      <w:pPr>
        <w:spacing w:after="0" w:line="179" w:lineRule="exact"/>
        <w:rPr>
          <w:sz w:val="20"/>
          <w:szCs w:val="20"/>
          <w:color w:val="auto"/>
        </w:rPr>
      </w:pPr>
    </w:p>
    <w:p>
      <w:pPr>
        <w:ind w:left="320" w:right="100" w:hanging="313"/>
        <w:spacing w:after="0" w:line="254"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Base Salary. </w:t>
      </w:r>
      <w:r>
        <w:rPr>
          <w:rFonts w:ascii="Arial" w:cs="Arial" w:eastAsia="Arial" w:hAnsi="Arial"/>
          <w:sz w:val="16"/>
          <w:szCs w:val="16"/>
          <w:color w:val="auto"/>
        </w:rPr>
        <w:t>The Compensation Committee approved increases to base salaries for 2025 between 4.0% and 7.1%. See “Base Salary” within this CD&amp;A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more information.</w:t>
      </w:r>
    </w:p>
    <w:p>
      <w:pPr>
        <w:ind w:left="320" w:right="100" w:hanging="313"/>
        <w:spacing w:after="0" w:line="243"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Bonus. </w:t>
      </w:r>
      <w:r>
        <w:rPr>
          <w:rFonts w:ascii="Arial" w:cs="Arial" w:eastAsia="Arial" w:hAnsi="Arial"/>
          <w:sz w:val="16"/>
          <w:szCs w:val="16"/>
          <w:color w:val="auto"/>
        </w:rPr>
        <w:t>Based on circumstances that drove 2025 performance results, the Compensation Committee approved award payouts at 141% of target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the Company’s Short Term Incentive Plan. See “Annual Bonus - Short Term Incentive” within this CD&amp;A for more information.</w:t>
      </w:r>
    </w:p>
    <w:p>
      <w:pPr>
        <w:spacing w:after="0" w:line="1" w:lineRule="exact"/>
        <w:rPr>
          <w:rFonts w:ascii="Arial" w:cs="Arial" w:eastAsia="Arial" w:hAnsi="Arial"/>
          <w:sz w:val="16"/>
          <w:szCs w:val="16"/>
          <w:color w:val="auto"/>
        </w:rPr>
      </w:pPr>
    </w:p>
    <w:p>
      <w:pPr>
        <w:ind w:left="320" w:right="140" w:hanging="313"/>
        <w:spacing w:after="0" w:line="250" w:lineRule="auto"/>
        <w:tabs>
          <w:tab w:leader="none" w:pos="320"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Equity Awards. </w:t>
      </w:r>
      <w:r>
        <w:rPr>
          <w:rFonts w:ascii="Arial" w:cs="Arial" w:eastAsia="Arial" w:hAnsi="Arial"/>
          <w:sz w:val="16"/>
          <w:szCs w:val="16"/>
          <w:color w:val="auto"/>
        </w:rPr>
        <w:t>Based on 2023-2025 financial performance, the Company approved award payouts at 112% of target for performance shares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Long-Term Incentive Plan. NEOs were also granted time-based equity awards for the 2023-2025 period. See “Equity Awards – Long-Term Incentive” within this CD&amp;A for more information.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1AB2D2"/>
        </w:rPr>
        <w:t>BASE SALARY</w:t>
      </w:r>
    </w:p>
    <w:p>
      <w:pPr>
        <w:spacing w:after="0" w:line="7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On an annual basis, the Compensation Committee reviews and approves base salaries of NEOs. Base salary levels set the foundation for direct compensation, since the opportunity levels of our incentive plans (short- and long-term) are defined as a percentage of base salary. When setting base salaries of the NEOs, the Compensation Committee considers input from FW Cook, the current market environment, and individual considerations with respect to each NEO. Individual considerations include professional experience and background of the NEO, the quality and effectiveness of their leadership at the Company, all other executive compensation including bonus, stock awards, retirement and other benefits and perquisites, and internal pay equity among the Company’s executives. The Committee approved raises for all NEOs for 2025 based on the factors described above. The base salaries for 2024 and 2025 are set forth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440" w:type="dxa"/>
            <w:vAlign w:val="bottom"/>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NAME</w:t>
            </w:r>
          </w:p>
        </w:tc>
        <w:tc>
          <w:tcPr>
            <w:tcW w:w="4400" w:type="dxa"/>
            <w:vAlign w:val="bottom"/>
            <w:shd w:val="clear" w:color="auto" w:fill="062B48"/>
          </w:tcPr>
          <w:p>
            <w:pPr>
              <w:ind w:left="2280"/>
              <w:spacing w:after="0"/>
              <w:rPr>
                <w:sz w:val="20"/>
                <w:szCs w:val="20"/>
                <w:color w:val="auto"/>
              </w:rPr>
            </w:pPr>
            <w:r>
              <w:rPr>
                <w:rFonts w:ascii="Calibri" w:cs="Calibri" w:eastAsia="Calibri" w:hAnsi="Calibri"/>
                <w:sz w:val="14"/>
                <w:szCs w:val="14"/>
                <w:b w:val="1"/>
                <w:bCs w:val="1"/>
                <w:color w:val="FFFFFF"/>
              </w:rPr>
              <w:t>Positon</w:t>
            </w:r>
          </w:p>
        </w:tc>
        <w:tc>
          <w:tcPr>
            <w:tcW w:w="640" w:type="dxa"/>
            <w:vAlign w:val="bottom"/>
            <w:shd w:val="clear" w:color="auto" w:fill="062B48"/>
          </w:tcPr>
          <w:p>
            <w:pPr>
              <w:spacing w:after="0"/>
              <w:rPr>
                <w:sz w:val="17"/>
                <w:szCs w:val="17"/>
                <w:color w:val="auto"/>
              </w:rPr>
            </w:pPr>
          </w:p>
        </w:tc>
        <w:tc>
          <w:tcPr>
            <w:tcW w:w="1420" w:type="dxa"/>
            <w:vAlign w:val="bottom"/>
            <w:shd w:val="clear" w:color="auto" w:fill="062B48"/>
          </w:tcPr>
          <w:p>
            <w:pPr>
              <w:jc w:val="right"/>
              <w:ind w:right="269"/>
              <w:spacing w:after="0"/>
              <w:rPr>
                <w:sz w:val="20"/>
                <w:szCs w:val="20"/>
                <w:color w:val="auto"/>
              </w:rPr>
            </w:pPr>
            <w:r>
              <w:rPr>
                <w:rFonts w:ascii="Calibri" w:cs="Calibri" w:eastAsia="Calibri" w:hAnsi="Calibri"/>
                <w:sz w:val="14"/>
                <w:szCs w:val="14"/>
                <w:b w:val="1"/>
                <w:bCs w:val="1"/>
                <w:color w:val="FFFFFF"/>
              </w:rPr>
              <w:t>2024 Base Salary</w:t>
            </w:r>
          </w:p>
        </w:tc>
        <w:tc>
          <w:tcPr>
            <w:tcW w:w="260" w:type="dxa"/>
            <w:vAlign w:val="bottom"/>
            <w:shd w:val="clear" w:color="auto" w:fill="062B48"/>
          </w:tcPr>
          <w:p>
            <w:pPr>
              <w:spacing w:after="0"/>
              <w:rPr>
                <w:sz w:val="17"/>
                <w:szCs w:val="17"/>
                <w:color w:val="auto"/>
              </w:rPr>
            </w:pPr>
          </w:p>
        </w:tc>
        <w:tc>
          <w:tcPr>
            <w:tcW w:w="1540" w:type="dxa"/>
            <w:vAlign w:val="bottom"/>
            <w:shd w:val="clear" w:color="auto" w:fill="062B48"/>
          </w:tcPr>
          <w:p>
            <w:pPr>
              <w:jc w:val="right"/>
              <w:ind w:right="389"/>
              <w:spacing w:after="0"/>
              <w:rPr>
                <w:sz w:val="20"/>
                <w:szCs w:val="20"/>
                <w:color w:val="auto"/>
              </w:rPr>
            </w:pPr>
            <w:r>
              <w:rPr>
                <w:rFonts w:ascii="Calibri" w:cs="Calibri" w:eastAsia="Calibri" w:hAnsi="Calibri"/>
                <w:sz w:val="14"/>
                <w:szCs w:val="14"/>
                <w:b w:val="1"/>
                <w:bCs w:val="1"/>
                <w:color w:val="FFFFFF"/>
              </w:rPr>
              <w:t>2025 Base Salary</w:t>
            </w:r>
          </w:p>
        </w:tc>
        <w:tc>
          <w:tcPr>
            <w:tcW w:w="1540" w:type="dxa"/>
            <w:vAlign w:val="bottom"/>
            <w:shd w:val="clear" w:color="auto" w:fill="062B48"/>
          </w:tcPr>
          <w:p>
            <w:pPr>
              <w:jc w:val="right"/>
              <w:ind w:right="309"/>
              <w:spacing w:after="0"/>
              <w:rPr>
                <w:sz w:val="20"/>
                <w:szCs w:val="20"/>
                <w:color w:val="auto"/>
              </w:rPr>
            </w:pPr>
            <w:r>
              <w:rPr>
                <w:rFonts w:ascii="Calibri" w:cs="Calibri" w:eastAsia="Calibri" w:hAnsi="Calibri"/>
                <w:sz w:val="14"/>
                <w:szCs w:val="14"/>
                <w:b w:val="1"/>
                <w:bCs w:val="1"/>
                <w:color w:val="FFFFFF"/>
              </w:rPr>
              <w:t>Percent Change</w:t>
            </w:r>
          </w:p>
        </w:tc>
      </w:tr>
      <w:tr>
        <w:trPr>
          <w:trHeight w:val="169"/>
        </w:trPr>
        <w:tc>
          <w:tcPr>
            <w:tcW w:w="1440" w:type="dxa"/>
            <w:vAlign w:val="bottom"/>
          </w:tcPr>
          <w:p>
            <w:pPr>
              <w:ind w:left="160"/>
              <w:spacing w:after="0" w:line="169" w:lineRule="exact"/>
              <w:rPr>
                <w:sz w:val="20"/>
                <w:szCs w:val="20"/>
                <w:color w:val="auto"/>
              </w:rPr>
            </w:pPr>
            <w:r>
              <w:rPr>
                <w:rFonts w:ascii="Calibri" w:cs="Calibri" w:eastAsia="Calibri" w:hAnsi="Calibri"/>
                <w:sz w:val="14"/>
                <w:szCs w:val="14"/>
                <w:color w:val="auto"/>
              </w:rPr>
              <w:t>Kate A. Lorenson</w:t>
            </w:r>
          </w:p>
        </w:tc>
        <w:tc>
          <w:tcPr>
            <w:tcW w:w="4400" w:type="dxa"/>
            <w:vAlign w:val="bottom"/>
          </w:tcPr>
          <w:p>
            <w:pPr>
              <w:ind w:left="260"/>
              <w:spacing w:after="0" w:line="169" w:lineRule="exact"/>
              <w:rPr>
                <w:sz w:val="20"/>
                <w:szCs w:val="20"/>
                <w:color w:val="auto"/>
              </w:rPr>
            </w:pPr>
            <w:r>
              <w:rPr>
                <w:rFonts w:ascii="Calibri" w:cs="Calibri" w:eastAsia="Calibri" w:hAnsi="Calibri"/>
                <w:sz w:val="14"/>
                <w:szCs w:val="14"/>
                <w:color w:val="auto"/>
              </w:rPr>
              <w:t>President and Chief Executve Ofcer</w:t>
            </w:r>
          </w:p>
        </w:tc>
        <w:tc>
          <w:tcPr>
            <w:tcW w:w="64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600,000</w:t>
            </w:r>
          </w:p>
        </w:tc>
        <w:tc>
          <w:tcPr>
            <w:tcW w:w="2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169"/>
              <w:spacing w:after="0" w:line="169" w:lineRule="exact"/>
              <w:rPr>
                <w:sz w:val="20"/>
                <w:szCs w:val="20"/>
                <w:color w:val="auto"/>
              </w:rPr>
            </w:pPr>
            <w:r>
              <w:rPr>
                <w:rFonts w:ascii="Calibri" w:cs="Calibri" w:eastAsia="Calibri" w:hAnsi="Calibri"/>
                <w:sz w:val="14"/>
                <w:szCs w:val="14"/>
                <w:color w:val="auto"/>
              </w:rPr>
              <w:t>625,000</w:t>
            </w:r>
          </w:p>
        </w:tc>
        <w:tc>
          <w:tcPr>
            <w:tcW w:w="1540" w:type="dxa"/>
            <w:vAlign w:val="bottom"/>
          </w:tcPr>
          <w:p>
            <w:pPr>
              <w:jc w:val="right"/>
              <w:spacing w:after="0" w:line="169" w:lineRule="exact"/>
              <w:rPr>
                <w:sz w:val="20"/>
                <w:szCs w:val="20"/>
                <w:color w:val="auto"/>
              </w:rPr>
            </w:pPr>
            <w:r>
              <w:rPr>
                <w:rFonts w:ascii="Calibri" w:cs="Calibri" w:eastAsia="Calibri" w:hAnsi="Calibri"/>
                <w:sz w:val="14"/>
                <w:szCs w:val="14"/>
                <w:color w:val="auto"/>
              </w:rPr>
              <w:t>4.2%</w:t>
            </w:r>
          </w:p>
        </w:tc>
      </w:tr>
      <w:tr>
        <w:trPr>
          <w:trHeight w:val="31"/>
        </w:trPr>
        <w:tc>
          <w:tcPr>
            <w:tcW w:w="1440" w:type="dxa"/>
            <w:vAlign w:val="bottom"/>
            <w:tcBorders>
              <w:bottom w:val="single" w:sz="8" w:color="1AB2D2"/>
            </w:tcBorders>
          </w:tcPr>
          <w:p>
            <w:pPr>
              <w:spacing w:after="0"/>
              <w:rPr>
                <w:sz w:val="2"/>
                <w:szCs w:val="2"/>
                <w:color w:val="auto"/>
              </w:rPr>
            </w:pPr>
          </w:p>
        </w:tc>
        <w:tc>
          <w:tcPr>
            <w:tcW w:w="440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r>
      <w:tr>
        <w:trPr>
          <w:trHeight w:val="162"/>
        </w:trPr>
        <w:tc>
          <w:tcPr>
            <w:tcW w:w="1440" w:type="dxa"/>
            <w:vAlign w:val="bottom"/>
          </w:tcPr>
          <w:p>
            <w:pPr>
              <w:ind w:left="160"/>
              <w:spacing w:after="0" w:line="162" w:lineRule="exact"/>
              <w:rPr>
                <w:sz w:val="20"/>
                <w:szCs w:val="20"/>
                <w:color w:val="auto"/>
              </w:rPr>
            </w:pPr>
            <w:r>
              <w:rPr>
                <w:rFonts w:ascii="Calibri" w:cs="Calibri" w:eastAsia="Calibri" w:hAnsi="Calibri"/>
                <w:sz w:val="14"/>
                <w:szCs w:val="14"/>
                <w:color w:val="auto"/>
              </w:rPr>
              <w:t>Alan A. Villalon</w:t>
            </w:r>
          </w:p>
        </w:tc>
        <w:tc>
          <w:tcPr>
            <w:tcW w:w="4400" w:type="dxa"/>
            <w:vAlign w:val="bottom"/>
          </w:tcPr>
          <w:p>
            <w:pPr>
              <w:ind w:left="260"/>
              <w:spacing w:after="0" w:line="162" w:lineRule="exact"/>
              <w:rPr>
                <w:sz w:val="20"/>
                <w:szCs w:val="20"/>
                <w:color w:val="auto"/>
              </w:rPr>
            </w:pPr>
            <w:r>
              <w:rPr>
                <w:rFonts w:ascii="Calibri" w:cs="Calibri" w:eastAsia="Calibri" w:hAnsi="Calibri"/>
                <w:sz w:val="14"/>
                <w:szCs w:val="14"/>
                <w:color w:val="auto"/>
              </w:rPr>
              <w:t>Executve Vice President and Chief Financial Ofcer</w:t>
            </w:r>
          </w:p>
        </w:tc>
        <w:tc>
          <w:tcPr>
            <w:tcW w:w="64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345,000</w:t>
            </w:r>
          </w:p>
        </w:tc>
        <w:tc>
          <w:tcPr>
            <w:tcW w:w="26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169"/>
              <w:spacing w:after="0" w:line="162" w:lineRule="exact"/>
              <w:rPr>
                <w:sz w:val="20"/>
                <w:szCs w:val="20"/>
                <w:color w:val="auto"/>
              </w:rPr>
            </w:pPr>
            <w:r>
              <w:rPr>
                <w:rFonts w:ascii="Calibri" w:cs="Calibri" w:eastAsia="Calibri" w:hAnsi="Calibri"/>
                <w:sz w:val="14"/>
                <w:szCs w:val="14"/>
                <w:color w:val="auto"/>
              </w:rPr>
              <w:t>360,000</w:t>
            </w:r>
          </w:p>
        </w:tc>
        <w:tc>
          <w:tcPr>
            <w:tcW w:w="1540" w:type="dxa"/>
            <w:vAlign w:val="bottom"/>
          </w:tcPr>
          <w:p>
            <w:pPr>
              <w:jc w:val="right"/>
              <w:spacing w:after="0" w:line="162" w:lineRule="exact"/>
              <w:rPr>
                <w:sz w:val="20"/>
                <w:szCs w:val="20"/>
                <w:color w:val="auto"/>
              </w:rPr>
            </w:pPr>
            <w:r>
              <w:rPr>
                <w:rFonts w:ascii="Calibri" w:cs="Calibri" w:eastAsia="Calibri" w:hAnsi="Calibri"/>
                <w:sz w:val="14"/>
                <w:szCs w:val="14"/>
                <w:color w:val="auto"/>
              </w:rPr>
              <w:t>4.3%</w:t>
            </w:r>
          </w:p>
        </w:tc>
      </w:tr>
      <w:tr>
        <w:trPr>
          <w:trHeight w:val="31"/>
        </w:trPr>
        <w:tc>
          <w:tcPr>
            <w:tcW w:w="1440" w:type="dxa"/>
            <w:vAlign w:val="bottom"/>
            <w:tcBorders>
              <w:bottom w:val="single" w:sz="8" w:color="1AB2D2"/>
            </w:tcBorders>
          </w:tcPr>
          <w:p>
            <w:pPr>
              <w:spacing w:after="0"/>
              <w:rPr>
                <w:sz w:val="2"/>
                <w:szCs w:val="2"/>
                <w:color w:val="auto"/>
              </w:rPr>
            </w:pPr>
          </w:p>
        </w:tc>
        <w:tc>
          <w:tcPr>
            <w:tcW w:w="440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r>
      <w:tr>
        <w:trPr>
          <w:trHeight w:val="162"/>
        </w:trPr>
        <w:tc>
          <w:tcPr>
            <w:tcW w:w="1440" w:type="dxa"/>
            <w:vAlign w:val="bottom"/>
          </w:tcPr>
          <w:p>
            <w:pPr>
              <w:ind w:left="160"/>
              <w:spacing w:after="0" w:line="162" w:lineRule="exact"/>
              <w:rPr>
                <w:sz w:val="20"/>
                <w:szCs w:val="20"/>
                <w:color w:val="auto"/>
              </w:rPr>
            </w:pPr>
            <w:r>
              <w:rPr>
                <w:rFonts w:ascii="Calibri" w:cs="Calibri" w:eastAsia="Calibri" w:hAnsi="Calibri"/>
                <w:sz w:val="14"/>
                <w:szCs w:val="14"/>
                <w:color w:val="auto"/>
              </w:rPr>
              <w:t>Jim R. Collins</w:t>
            </w:r>
          </w:p>
        </w:tc>
        <w:tc>
          <w:tcPr>
            <w:tcW w:w="4400" w:type="dxa"/>
            <w:vAlign w:val="bottom"/>
          </w:tcPr>
          <w:p>
            <w:pPr>
              <w:ind w:left="260"/>
              <w:spacing w:after="0" w:line="162" w:lineRule="exact"/>
              <w:rPr>
                <w:sz w:val="20"/>
                <w:szCs w:val="20"/>
                <w:color w:val="auto"/>
              </w:rPr>
            </w:pPr>
            <w:r>
              <w:rPr>
                <w:rFonts w:ascii="Calibri" w:cs="Calibri" w:eastAsia="Calibri" w:hAnsi="Calibri"/>
                <w:sz w:val="14"/>
                <w:szCs w:val="14"/>
                <w:color w:val="auto"/>
              </w:rPr>
              <w:t>Executve Vice President and Chief Banking and Revenue Ofcer</w:t>
            </w:r>
          </w:p>
        </w:tc>
        <w:tc>
          <w:tcPr>
            <w:tcW w:w="64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445,000</w:t>
            </w:r>
          </w:p>
        </w:tc>
        <w:tc>
          <w:tcPr>
            <w:tcW w:w="26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169"/>
              <w:spacing w:after="0" w:line="162" w:lineRule="exact"/>
              <w:rPr>
                <w:sz w:val="20"/>
                <w:szCs w:val="20"/>
                <w:color w:val="auto"/>
              </w:rPr>
            </w:pPr>
            <w:r>
              <w:rPr>
                <w:rFonts w:ascii="Calibri" w:cs="Calibri" w:eastAsia="Calibri" w:hAnsi="Calibri"/>
                <w:sz w:val="14"/>
                <w:szCs w:val="14"/>
                <w:color w:val="auto"/>
              </w:rPr>
              <w:t>465,000</w:t>
            </w:r>
          </w:p>
        </w:tc>
        <w:tc>
          <w:tcPr>
            <w:tcW w:w="1540" w:type="dxa"/>
            <w:vAlign w:val="bottom"/>
          </w:tcPr>
          <w:p>
            <w:pPr>
              <w:jc w:val="right"/>
              <w:spacing w:after="0" w:line="162" w:lineRule="exact"/>
              <w:rPr>
                <w:sz w:val="20"/>
                <w:szCs w:val="20"/>
                <w:color w:val="auto"/>
              </w:rPr>
            </w:pPr>
            <w:r>
              <w:rPr>
                <w:rFonts w:ascii="Calibri" w:cs="Calibri" w:eastAsia="Calibri" w:hAnsi="Calibri"/>
                <w:sz w:val="14"/>
                <w:szCs w:val="14"/>
                <w:color w:val="auto"/>
              </w:rPr>
              <w:t>4.5%</w:t>
            </w:r>
          </w:p>
        </w:tc>
      </w:tr>
      <w:tr>
        <w:trPr>
          <w:trHeight w:val="31"/>
        </w:trPr>
        <w:tc>
          <w:tcPr>
            <w:tcW w:w="1440" w:type="dxa"/>
            <w:vAlign w:val="bottom"/>
            <w:tcBorders>
              <w:bottom w:val="single" w:sz="8" w:color="1AB2D2"/>
            </w:tcBorders>
          </w:tcPr>
          <w:p>
            <w:pPr>
              <w:spacing w:after="0"/>
              <w:rPr>
                <w:sz w:val="2"/>
                <w:szCs w:val="2"/>
                <w:color w:val="auto"/>
              </w:rPr>
            </w:pPr>
          </w:p>
        </w:tc>
        <w:tc>
          <w:tcPr>
            <w:tcW w:w="440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r>
      <w:tr>
        <w:trPr>
          <w:trHeight w:val="193"/>
        </w:trPr>
        <w:tc>
          <w:tcPr>
            <w:tcW w:w="144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Karin M. Taylor</w:t>
            </w:r>
            <w:r>
              <w:rPr>
                <w:rFonts w:ascii="Calibri" w:cs="Calibri" w:eastAsia="Calibri" w:hAnsi="Calibri"/>
                <w:sz w:val="21"/>
                <w:szCs w:val="21"/>
                <w:color w:val="auto"/>
                <w:vertAlign w:val="superscript"/>
              </w:rPr>
              <w:t>(1)</w:t>
            </w:r>
          </w:p>
        </w:tc>
        <w:tc>
          <w:tcPr>
            <w:tcW w:w="4400" w:type="dxa"/>
            <w:vAlign w:val="bottom"/>
            <w:tcBorders>
              <w:bottom w:val="single" w:sz="8" w:color="1AB2D2"/>
            </w:tcBorders>
          </w:tcPr>
          <w:p>
            <w:pPr>
              <w:ind w:left="260"/>
              <w:spacing w:after="0" w:line="169" w:lineRule="exact"/>
              <w:rPr>
                <w:sz w:val="20"/>
                <w:szCs w:val="20"/>
                <w:color w:val="auto"/>
              </w:rPr>
            </w:pPr>
            <w:r>
              <w:rPr>
                <w:rFonts w:ascii="Calibri" w:cs="Calibri" w:eastAsia="Calibri" w:hAnsi="Calibri"/>
                <w:sz w:val="14"/>
                <w:szCs w:val="14"/>
                <w:color w:val="auto"/>
              </w:rPr>
              <w:t>Executve Vice President and Chief Operatng Ofcer</w:t>
            </w:r>
          </w:p>
        </w:tc>
        <w:tc>
          <w:tcPr>
            <w:tcW w:w="640" w:type="dxa"/>
            <w:vAlign w:val="bottom"/>
            <w:tcBorders>
              <w:bottom w:val="single" w:sz="8" w:color="1AB2D2"/>
            </w:tcBorders>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420" w:type="dxa"/>
            <w:vAlign w:val="bottom"/>
            <w:tcBorders>
              <w:bottom w:val="single" w:sz="8" w:color="1AB2D2"/>
            </w:tcBorders>
          </w:tcPr>
          <w:p>
            <w:pPr>
              <w:jc w:val="right"/>
              <w:ind w:right="29"/>
              <w:spacing w:after="0" w:line="169" w:lineRule="exact"/>
              <w:rPr>
                <w:sz w:val="20"/>
                <w:szCs w:val="20"/>
                <w:color w:val="auto"/>
              </w:rPr>
            </w:pPr>
            <w:r>
              <w:rPr>
                <w:rFonts w:ascii="Calibri" w:cs="Calibri" w:eastAsia="Calibri" w:hAnsi="Calibri"/>
                <w:sz w:val="14"/>
                <w:szCs w:val="14"/>
                <w:color w:val="auto"/>
              </w:rPr>
              <w:t>378,000</w:t>
            </w:r>
          </w:p>
        </w:tc>
        <w:tc>
          <w:tcPr>
            <w:tcW w:w="260" w:type="dxa"/>
            <w:vAlign w:val="bottom"/>
            <w:tcBorders>
              <w:bottom w:val="single" w:sz="8" w:color="1AB2D2"/>
            </w:tcBorders>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540" w:type="dxa"/>
            <w:vAlign w:val="bottom"/>
            <w:tcBorders>
              <w:bottom w:val="single" w:sz="8" w:color="1AB2D2"/>
            </w:tcBorders>
          </w:tcPr>
          <w:p>
            <w:pPr>
              <w:jc w:val="right"/>
              <w:ind w:right="169"/>
              <w:spacing w:after="0" w:line="169" w:lineRule="exact"/>
              <w:rPr>
                <w:sz w:val="20"/>
                <w:szCs w:val="20"/>
                <w:color w:val="auto"/>
              </w:rPr>
            </w:pPr>
            <w:r>
              <w:rPr>
                <w:rFonts w:ascii="Calibri" w:cs="Calibri" w:eastAsia="Calibri" w:hAnsi="Calibri"/>
                <w:sz w:val="14"/>
                <w:szCs w:val="14"/>
                <w:color w:val="auto"/>
              </w:rPr>
              <w:t>405,000</w:t>
            </w:r>
          </w:p>
        </w:tc>
        <w:tc>
          <w:tcPr>
            <w:tcW w:w="154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7.1%</w:t>
            </w:r>
          </w:p>
        </w:tc>
      </w:tr>
      <w:tr>
        <w:trPr>
          <w:trHeight w:val="162"/>
        </w:trPr>
        <w:tc>
          <w:tcPr>
            <w:tcW w:w="1440" w:type="dxa"/>
            <w:vAlign w:val="bottom"/>
          </w:tcPr>
          <w:p>
            <w:pPr>
              <w:ind w:left="160"/>
              <w:spacing w:after="0" w:line="162" w:lineRule="exact"/>
              <w:rPr>
                <w:sz w:val="20"/>
                <w:szCs w:val="20"/>
                <w:color w:val="auto"/>
              </w:rPr>
            </w:pPr>
            <w:r>
              <w:rPr>
                <w:rFonts w:ascii="Calibri" w:cs="Calibri" w:eastAsia="Calibri" w:hAnsi="Calibri"/>
                <w:sz w:val="14"/>
                <w:szCs w:val="14"/>
                <w:color w:val="auto"/>
              </w:rPr>
              <w:t>Forrest R. Wilson</w:t>
            </w:r>
          </w:p>
        </w:tc>
        <w:tc>
          <w:tcPr>
            <w:tcW w:w="4400" w:type="dxa"/>
            <w:vAlign w:val="bottom"/>
          </w:tcPr>
          <w:p>
            <w:pPr>
              <w:ind w:left="260"/>
              <w:spacing w:after="0" w:line="162" w:lineRule="exact"/>
              <w:rPr>
                <w:sz w:val="20"/>
                <w:szCs w:val="20"/>
                <w:color w:val="auto"/>
              </w:rPr>
            </w:pPr>
            <w:r>
              <w:rPr>
                <w:rFonts w:ascii="Calibri" w:cs="Calibri" w:eastAsia="Calibri" w:hAnsi="Calibri"/>
                <w:sz w:val="14"/>
                <w:szCs w:val="14"/>
                <w:color w:val="auto"/>
              </w:rPr>
              <w:t>Executve Vice President and Chief Retrement Services Ofcer</w:t>
            </w:r>
          </w:p>
        </w:tc>
        <w:tc>
          <w:tcPr>
            <w:tcW w:w="64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42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375,000</w:t>
            </w:r>
          </w:p>
        </w:tc>
        <w:tc>
          <w:tcPr>
            <w:tcW w:w="26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169"/>
              <w:spacing w:after="0" w:line="162" w:lineRule="exact"/>
              <w:rPr>
                <w:sz w:val="20"/>
                <w:szCs w:val="20"/>
                <w:color w:val="auto"/>
              </w:rPr>
            </w:pPr>
            <w:r>
              <w:rPr>
                <w:rFonts w:ascii="Calibri" w:cs="Calibri" w:eastAsia="Calibri" w:hAnsi="Calibri"/>
                <w:sz w:val="14"/>
                <w:szCs w:val="14"/>
                <w:color w:val="auto"/>
              </w:rPr>
              <w:t>390,000</w:t>
            </w:r>
          </w:p>
        </w:tc>
        <w:tc>
          <w:tcPr>
            <w:tcW w:w="1540" w:type="dxa"/>
            <w:vAlign w:val="bottom"/>
          </w:tcPr>
          <w:p>
            <w:pPr>
              <w:jc w:val="right"/>
              <w:spacing w:after="0" w:line="162" w:lineRule="exact"/>
              <w:rPr>
                <w:sz w:val="20"/>
                <w:szCs w:val="20"/>
                <w:color w:val="auto"/>
              </w:rPr>
            </w:pPr>
            <w:r>
              <w:rPr>
                <w:rFonts w:ascii="Calibri" w:cs="Calibri" w:eastAsia="Calibri" w:hAnsi="Calibri"/>
                <w:sz w:val="14"/>
                <w:szCs w:val="14"/>
                <w:color w:val="auto"/>
              </w:rPr>
              <w:t>4.0%</w:t>
            </w:r>
          </w:p>
        </w:tc>
      </w:tr>
      <w:tr>
        <w:trPr>
          <w:trHeight w:val="31"/>
        </w:trPr>
        <w:tc>
          <w:tcPr>
            <w:tcW w:w="1440" w:type="dxa"/>
            <w:vAlign w:val="bottom"/>
            <w:tcBorders>
              <w:bottom w:val="single" w:sz="8" w:color="1AB2D2"/>
            </w:tcBorders>
          </w:tcPr>
          <w:p>
            <w:pPr>
              <w:spacing w:after="0"/>
              <w:rPr>
                <w:sz w:val="2"/>
                <w:szCs w:val="2"/>
                <w:color w:val="auto"/>
              </w:rPr>
            </w:pPr>
          </w:p>
        </w:tc>
        <w:tc>
          <w:tcPr>
            <w:tcW w:w="440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42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r>
    </w:tbl>
    <w:p>
      <w:pPr>
        <w:spacing w:after="0" w:line="100" w:lineRule="exact"/>
        <w:rPr>
          <w:sz w:val="20"/>
          <w:szCs w:val="20"/>
          <w:color w:val="auto"/>
        </w:rPr>
      </w:pPr>
    </w:p>
    <w:p>
      <w:pPr>
        <w:ind w:left="320" w:hanging="313"/>
        <w:spacing w:after="0"/>
        <w:tabs>
          <w:tab w:leader="none" w:pos="320" w:val="left"/>
        </w:tabs>
        <w:numPr>
          <w:ilvl w:val="0"/>
          <w:numId w:val="38"/>
        </w:numPr>
        <w:rPr>
          <w:rFonts w:ascii="Arial" w:cs="Arial" w:eastAsia="Arial" w:hAnsi="Arial"/>
          <w:sz w:val="27"/>
          <w:szCs w:val="27"/>
          <w:color w:val="auto"/>
          <w:vertAlign w:val="superscript"/>
        </w:rPr>
      </w:pPr>
      <w:r>
        <w:rPr>
          <w:rFonts w:ascii="Arial" w:cs="Arial" w:eastAsia="Arial" w:hAnsi="Arial"/>
          <w:sz w:val="16"/>
          <w:szCs w:val="16"/>
          <w:color w:val="auto"/>
        </w:rPr>
        <w:t>In January 2025, to reflect her additional responsibilities as our Chief Operating Officer, Ms. Taylor's base salary was increased by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593090" cy="1187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2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4620" w:type="dxa"/>
            <w:vAlign w:val="bottom"/>
          </w:tcPr>
          <w:p>
            <w:pPr>
              <w:jc w:val="right"/>
              <w:spacing w:after="0"/>
              <w:rPr>
                <w:sz w:val="20"/>
                <w:szCs w:val="20"/>
                <w:color w:val="auto"/>
              </w:rPr>
            </w:pPr>
            <w:r>
              <w:rPr>
                <w:rFonts w:ascii="Calibri" w:cs="Calibri" w:eastAsia="Calibri" w:hAnsi="Calibri"/>
                <w:sz w:val="12"/>
                <w:szCs w:val="12"/>
                <w:color w:val="auto"/>
              </w:rPr>
              <w:t>24</w:t>
            </w:r>
          </w:p>
        </w:tc>
        <w:tc>
          <w:tcPr>
            <w:tcW w:w="0" w:type="dxa"/>
            <w:vAlign w:val="bottom"/>
          </w:tcPr>
          <w:p>
            <w:pPr>
              <w:spacing w:after="0"/>
              <w:rPr>
                <w:sz w:val="1"/>
                <w:szCs w:val="1"/>
                <w:color w:val="auto"/>
              </w:rPr>
            </w:pPr>
          </w:p>
        </w:tc>
      </w:tr>
      <w:tr>
        <w:trPr>
          <w:trHeight w:val="40"/>
        </w:trPr>
        <w:tc>
          <w:tcPr>
            <w:tcW w:w="6620" w:type="dxa"/>
            <w:vAlign w:val="bottom"/>
            <w:vMerge w:val="continue"/>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6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6"/>
          <w:szCs w:val="16"/>
          <w:color w:val="1AB2D2"/>
        </w:rPr>
        <w:t>ANNUAL BONUS – SHORT-TERM INCENTIVE PLAN</w:t>
      </w:r>
    </w:p>
    <w:p>
      <w:pPr>
        <w:spacing w:after="0" w:line="8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Company’s short term incentive plan (“</w:t>
      </w:r>
      <w:r>
        <w:rPr>
          <w:rFonts w:ascii="Arial" w:cs="Arial" w:eastAsia="Arial" w:hAnsi="Arial"/>
          <w:sz w:val="16"/>
          <w:szCs w:val="16"/>
          <w:b w:val="1"/>
          <w:bCs w:val="1"/>
          <w:color w:val="auto"/>
        </w:rPr>
        <w:t>STI Plan</w:t>
      </w:r>
      <w:r>
        <w:rPr>
          <w:rFonts w:ascii="Arial" w:cs="Arial" w:eastAsia="Arial" w:hAnsi="Arial"/>
          <w:sz w:val="16"/>
          <w:szCs w:val="16"/>
          <w:color w:val="auto"/>
        </w:rPr>
        <w:t>”) for NEOs sets forth performance incentives that are designed to provide annual cash awards that are payable if the Company meets or exceeds annual performance objectives approved by the Board. The purpose of the STI Plan is to incentivize our NEOs to drive Company performance metrics established by the Compensation Committee on an annual basis. Under the STI Plan, the Compensation Committee establishes a threshold, target, and maximum bonus as a percentage of annual base salary for each NEO. The Compensation Committee reviews this percentage annually as part of its total executive compensation review. Bonus pay out is based upon actual levels of achievement. The maximum an NEO can earn is 150% of the target opportunity, and the minimum an NEO can earn is 50% of the target opportunity. For performance below the threshold level, no incentive is earned for that metric. Award payouts for performance between the minimum and target, or for performance between the target and maximum is determined by linear interpolation.</w:t>
      </w:r>
    </w:p>
    <w:p>
      <w:pPr>
        <w:spacing w:after="0" w:line="187"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As provided under the terms of the STI Plan, the Compensation Committee establishes Company performance metrics no later than February of the relevant year. The STI Plan does not include any individual performance metrics and is based solely on Company performance to align incentive pay with Company financial performance. The Compensation Committee has the right, in its sole and absolute discretion, to make adjustments to the Company performance metrics within the defined parameters set forth in the 2025 STI Plan including: to adjust for one-time, non-recurring, or extraordinary events as the Compensation Committee deems appropriate; to adjust any awards by considering factors such as regulatory compliance and credit quality; and to reduce, including a reduction to zero, any cash award otherwise payable.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2025, the Compensation Committee selected adjusted net income (“</w:t>
      </w:r>
      <w:r>
        <w:rPr>
          <w:rFonts w:ascii="Arial" w:cs="Arial" w:eastAsia="Arial" w:hAnsi="Arial"/>
          <w:sz w:val="16"/>
          <w:szCs w:val="16"/>
          <w:b w:val="1"/>
          <w:bCs w:val="1"/>
          <w:color w:val="auto"/>
        </w:rPr>
        <w:t>Adjusted Net Income</w:t>
      </w:r>
      <w:r>
        <w:rPr>
          <w:rFonts w:ascii="Arial" w:cs="Arial" w:eastAsia="Arial" w:hAnsi="Arial"/>
          <w:sz w:val="16"/>
          <w:szCs w:val="16"/>
          <w:color w:val="auto"/>
        </w:rPr>
        <w:t>”), a non-GAAP financial metric, adjusted total revenue</w:t>
      </w:r>
    </w:p>
    <w:p>
      <w:pPr>
        <w:spacing w:after="0" w:line="19"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Adjusted Total Revenue</w:t>
      </w:r>
      <w:r>
        <w:rPr>
          <w:rFonts w:ascii="Arial" w:cs="Arial" w:eastAsia="Arial" w:hAnsi="Arial"/>
          <w:sz w:val="16"/>
          <w:szCs w:val="16"/>
          <w:color w:val="auto"/>
        </w:rPr>
        <w:t>"), a non-GAAP financial measure, and return on equity (“</w:t>
      </w:r>
      <w:r>
        <w:rPr>
          <w:rFonts w:ascii="Arial" w:cs="Arial" w:eastAsia="Arial" w:hAnsi="Arial"/>
          <w:sz w:val="16"/>
          <w:szCs w:val="16"/>
          <w:b w:val="1"/>
          <w:bCs w:val="1"/>
          <w:color w:val="auto"/>
        </w:rPr>
        <w:t>Return on Equity</w:t>
      </w:r>
      <w:r>
        <w:rPr>
          <w:rFonts w:ascii="Arial" w:cs="Arial" w:eastAsia="Arial" w:hAnsi="Arial"/>
          <w:sz w:val="16"/>
          <w:szCs w:val="16"/>
          <w:color w:val="auto"/>
        </w:rPr>
        <w:t>” or “</w:t>
      </w:r>
      <w:r>
        <w:rPr>
          <w:rFonts w:ascii="Arial" w:cs="Arial" w:eastAsia="Arial" w:hAnsi="Arial"/>
          <w:sz w:val="16"/>
          <w:szCs w:val="16"/>
          <w:b w:val="1"/>
          <w:bCs w:val="1"/>
          <w:color w:val="auto"/>
        </w:rPr>
        <w:t>ROE</w:t>
      </w:r>
      <w:r>
        <w:rPr>
          <w:rFonts w:ascii="Arial" w:cs="Arial" w:eastAsia="Arial" w:hAnsi="Arial"/>
          <w:sz w:val="16"/>
          <w:szCs w:val="16"/>
          <w:color w:val="auto"/>
        </w:rPr>
        <w:t>”), a non-GAAP financial metric, as the Company’s performance metrics. Solely for purposes of measuring the Company’s achievement of performance metrics established under the STI Plan (and, as described below, the LTI Plan), the Compensation Committee calculated non-GAAP Adjusted Net Income, non-GAAP Adjusted Total Revenue, and non-GAAP ROE. To calculate 2025 Adjusted Net Income (“</w:t>
      </w:r>
      <w:r>
        <w:rPr>
          <w:rFonts w:ascii="Arial" w:cs="Arial" w:eastAsia="Arial" w:hAnsi="Arial"/>
          <w:sz w:val="16"/>
          <w:szCs w:val="16"/>
          <w:b w:val="1"/>
          <w:bCs w:val="1"/>
          <w:color w:val="auto"/>
        </w:rPr>
        <w:t>2025 ANI</w:t>
      </w:r>
      <w:r>
        <w:rPr>
          <w:rFonts w:ascii="Arial" w:cs="Arial" w:eastAsia="Arial" w:hAnsi="Arial"/>
          <w:sz w:val="16"/>
          <w:szCs w:val="16"/>
          <w:color w:val="auto"/>
        </w:rPr>
        <w:t>”), the Compensation Committee started with 2025 GAAP net income and excluded the loss on an investment securities sale during 2025, the net gain on sale of certain loans, one-time, merger and acquisition expenses related to the HMNF acquisition, and litigation expenses related to a legacy business previously sold by the Company. Adjusted Total Revenue, as calculated by the Compensation Committee solely for these incentive purposes, reflects 2025 GAAP net interest income, plus 2025 GAAP noninterest income, excluded the loss on an investment securities sale during 2025, less net gain on sale of certain loans. ROE, as calculated by the Compensation Committee solely for these incentive compensation purposes, reflects 2025 ANI divided by average stockholders’ common equity for the year. 2025 ANI was calculated as $70.183 million, Adjusted Total Revenue was calculated as $290.698 million, and ROE was calculated as 13.36% for 2025.</w:t>
      </w:r>
    </w:p>
    <w:p>
      <w:pPr>
        <w:spacing w:after="0" w:line="16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In determining the 2025 financial targets as noted in the table below, the Compensation Committee reviewed 2024 target levels and actual results along with management’s 2025 budgeting expectations. The 2025 ANI, Adjusted Total Revenue, and ROE targets include integration of the HMNF acquisition and growth in lending, deposit, wealth management and retirement when compared to 2024. The Compensation Committee believed that these performance metrics remained appropriate and aligned with long-term stockholder interests. Actual results for 2025 were above target, driven by the positive impact of the HMNF acquisition, which resulted in earnings-per-share accretion, as well as disciplined expense management, and continued growth across lending, deposits, wealth management, and retirement services.</w:t>
      </w:r>
    </w:p>
    <w:p>
      <w:pPr>
        <w:spacing w:after="0" w:line="184"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The following table sets forth the target financial metrics and performance weightings as approved by the Compensation Committee for use in calculating the 2025 STI Plan incentive payouts.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80" w:type="dxa"/>
            <w:vAlign w:val="bottom"/>
            <w:shd w:val="clear" w:color="auto" w:fill="062B48"/>
          </w:tcPr>
          <w:p>
            <w:pPr>
              <w:ind w:left="160"/>
              <w:spacing w:after="0"/>
              <w:rPr>
                <w:sz w:val="20"/>
                <w:szCs w:val="20"/>
                <w:color w:val="auto"/>
              </w:rPr>
            </w:pPr>
            <w:r>
              <w:rPr>
                <w:rFonts w:ascii="Arial" w:cs="Arial" w:eastAsia="Arial" w:hAnsi="Arial"/>
                <w:sz w:val="16"/>
                <w:szCs w:val="16"/>
                <w:b w:val="1"/>
                <w:bCs w:val="1"/>
                <w:color w:val="FFFFFF"/>
              </w:rPr>
              <w:t>PERFORMANCE</w:t>
            </w:r>
          </w:p>
        </w:tc>
        <w:tc>
          <w:tcPr>
            <w:tcW w:w="2040" w:type="dxa"/>
            <w:vAlign w:val="bottom"/>
            <w:shd w:val="clear" w:color="auto" w:fill="062B48"/>
          </w:tcPr>
          <w:p>
            <w:pPr>
              <w:spacing w:after="0"/>
              <w:rPr>
                <w:sz w:val="16"/>
                <w:szCs w:val="16"/>
                <w:color w:val="auto"/>
              </w:rPr>
            </w:pPr>
          </w:p>
        </w:tc>
        <w:tc>
          <w:tcPr>
            <w:tcW w:w="1820" w:type="dxa"/>
            <w:vAlign w:val="bottom"/>
            <w:shd w:val="clear" w:color="auto" w:fill="062B48"/>
          </w:tcPr>
          <w:p>
            <w:pPr>
              <w:spacing w:after="0"/>
              <w:rPr>
                <w:sz w:val="16"/>
                <w:szCs w:val="16"/>
                <w:color w:val="auto"/>
              </w:rPr>
            </w:pPr>
          </w:p>
        </w:tc>
        <w:tc>
          <w:tcPr>
            <w:tcW w:w="2100" w:type="dxa"/>
            <w:vAlign w:val="bottom"/>
            <w:shd w:val="clear" w:color="auto" w:fill="062B48"/>
          </w:tcPr>
          <w:p>
            <w:pPr>
              <w:spacing w:after="0"/>
              <w:rPr>
                <w:sz w:val="16"/>
                <w:szCs w:val="16"/>
                <w:color w:val="auto"/>
              </w:rPr>
            </w:pPr>
          </w:p>
        </w:tc>
        <w:tc>
          <w:tcPr>
            <w:tcW w:w="820" w:type="dxa"/>
            <w:vAlign w:val="bottom"/>
            <w:shd w:val="clear" w:color="auto" w:fill="062B48"/>
          </w:tcPr>
          <w:p>
            <w:pPr>
              <w:spacing w:after="0"/>
              <w:rPr>
                <w:sz w:val="16"/>
                <w:szCs w:val="16"/>
                <w:color w:val="auto"/>
              </w:rPr>
            </w:pPr>
          </w:p>
        </w:tc>
        <w:tc>
          <w:tcPr>
            <w:tcW w:w="1420" w:type="dxa"/>
            <w:vAlign w:val="bottom"/>
            <w:gridSpan w:val="2"/>
            <w:shd w:val="clear" w:color="auto" w:fill="062B48"/>
          </w:tcPr>
          <w:p>
            <w:pPr>
              <w:jc w:val="center"/>
              <w:ind w:left="20"/>
              <w:spacing w:after="0"/>
              <w:rPr>
                <w:sz w:val="20"/>
                <w:szCs w:val="20"/>
                <w:color w:val="auto"/>
              </w:rPr>
            </w:pPr>
            <w:r>
              <w:rPr>
                <w:rFonts w:ascii="Arial" w:cs="Arial" w:eastAsia="Arial" w:hAnsi="Arial"/>
                <w:sz w:val="16"/>
                <w:szCs w:val="16"/>
                <w:b w:val="1"/>
                <w:bCs w:val="1"/>
                <w:color w:val="FFFFFF"/>
                <w:w w:val="97"/>
              </w:rPr>
              <w:t>ACTUAL</w:t>
            </w:r>
          </w:p>
        </w:tc>
        <w:tc>
          <w:tcPr>
            <w:tcW w:w="1160" w:type="dxa"/>
            <w:vAlign w:val="bottom"/>
            <w:shd w:val="clear" w:color="auto" w:fill="062B48"/>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880" w:type="dxa"/>
            <w:vAlign w:val="bottom"/>
            <w:shd w:val="clear" w:color="auto" w:fill="062B48"/>
          </w:tcPr>
          <w:p>
            <w:pPr>
              <w:ind w:left="160"/>
              <w:spacing w:after="0"/>
              <w:rPr>
                <w:sz w:val="20"/>
                <w:szCs w:val="20"/>
                <w:color w:val="auto"/>
              </w:rPr>
            </w:pPr>
            <w:r>
              <w:rPr>
                <w:rFonts w:ascii="Arial" w:cs="Arial" w:eastAsia="Arial" w:hAnsi="Arial"/>
                <w:sz w:val="16"/>
                <w:szCs w:val="16"/>
                <w:b w:val="1"/>
                <w:bCs w:val="1"/>
                <w:color w:val="FFFFFF"/>
              </w:rPr>
              <w:t>METRICS</w:t>
            </w:r>
          </w:p>
        </w:tc>
        <w:tc>
          <w:tcPr>
            <w:tcW w:w="204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w w:val="98"/>
              </w:rPr>
              <w:t>THRESHOLD</w:t>
            </w:r>
          </w:p>
        </w:tc>
        <w:tc>
          <w:tcPr>
            <w:tcW w:w="182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w w:val="97"/>
              </w:rPr>
              <w:t>TARGET</w:t>
            </w:r>
          </w:p>
        </w:tc>
        <w:tc>
          <w:tcPr>
            <w:tcW w:w="210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w w:val="99"/>
              </w:rPr>
              <w:t>MAXIMUM</w:t>
            </w:r>
          </w:p>
        </w:tc>
        <w:tc>
          <w:tcPr>
            <w:tcW w:w="820" w:type="dxa"/>
            <w:vAlign w:val="bottom"/>
            <w:shd w:val="clear" w:color="auto" w:fill="062B48"/>
          </w:tcPr>
          <w:p>
            <w:pPr>
              <w:jc w:val="right"/>
              <w:ind w:right="60"/>
              <w:spacing w:after="0"/>
              <w:rPr>
                <w:sz w:val="20"/>
                <w:szCs w:val="20"/>
                <w:color w:val="auto"/>
              </w:rPr>
            </w:pPr>
            <w:r>
              <w:rPr>
                <w:rFonts w:ascii="Arial" w:cs="Arial" w:eastAsia="Arial" w:hAnsi="Arial"/>
                <w:sz w:val="16"/>
                <w:szCs w:val="16"/>
                <w:b w:val="1"/>
                <w:bCs w:val="1"/>
                <w:color w:val="FFFFFF"/>
              </w:rPr>
              <w:t>WEIGHT</w:t>
            </w:r>
          </w:p>
        </w:tc>
        <w:tc>
          <w:tcPr>
            <w:tcW w:w="1420" w:type="dxa"/>
            <w:vAlign w:val="bottom"/>
            <w:gridSpan w:val="2"/>
            <w:shd w:val="clear" w:color="auto" w:fill="062B48"/>
          </w:tcPr>
          <w:p>
            <w:pPr>
              <w:jc w:val="center"/>
              <w:ind w:left="20"/>
              <w:spacing w:after="0"/>
              <w:rPr>
                <w:sz w:val="20"/>
                <w:szCs w:val="20"/>
                <w:color w:val="auto"/>
              </w:rPr>
            </w:pPr>
            <w:r>
              <w:rPr>
                <w:rFonts w:ascii="Arial" w:cs="Arial" w:eastAsia="Arial" w:hAnsi="Arial"/>
                <w:sz w:val="16"/>
                <w:szCs w:val="16"/>
                <w:b w:val="1"/>
                <w:bCs w:val="1"/>
                <w:color w:val="FFFFFF"/>
                <w:w w:val="98"/>
              </w:rPr>
              <w:t>PERFORMANCE</w:t>
            </w:r>
          </w:p>
        </w:tc>
        <w:tc>
          <w:tcPr>
            <w:tcW w:w="1160" w:type="dxa"/>
            <w:vAlign w:val="bottom"/>
            <w:shd w:val="clear" w:color="auto" w:fill="062B48"/>
          </w:tcPr>
          <w:p>
            <w:pPr>
              <w:ind w:left="320"/>
              <w:spacing w:after="0"/>
              <w:rPr>
                <w:sz w:val="20"/>
                <w:szCs w:val="20"/>
                <w:color w:val="auto"/>
              </w:rPr>
            </w:pPr>
            <w:r>
              <w:rPr>
                <w:rFonts w:ascii="Arial" w:cs="Arial" w:eastAsia="Arial" w:hAnsi="Arial"/>
                <w:sz w:val="16"/>
                <w:szCs w:val="16"/>
                <w:b w:val="1"/>
                <w:bCs w:val="1"/>
                <w:color w:val="FFFFFF"/>
              </w:rPr>
              <w:t>PAYOUT</w:t>
            </w:r>
          </w:p>
        </w:tc>
        <w:tc>
          <w:tcPr>
            <w:tcW w:w="0" w:type="dxa"/>
            <w:vAlign w:val="bottom"/>
          </w:tcPr>
          <w:p>
            <w:pPr>
              <w:spacing w:after="0"/>
              <w:rPr>
                <w:sz w:val="1"/>
                <w:szCs w:val="1"/>
                <w:color w:val="auto"/>
              </w:rPr>
            </w:pPr>
          </w:p>
        </w:tc>
      </w:tr>
      <w:tr>
        <w:trPr>
          <w:trHeight w:val="173"/>
        </w:trPr>
        <w:tc>
          <w:tcPr>
            <w:tcW w:w="1880" w:type="dxa"/>
            <w:vAlign w:val="bottom"/>
            <w:vMerge w:val="restart"/>
          </w:tcPr>
          <w:p>
            <w:pPr>
              <w:ind w:left="140"/>
              <w:spacing w:after="0"/>
              <w:rPr>
                <w:sz w:val="20"/>
                <w:szCs w:val="20"/>
                <w:color w:val="auto"/>
              </w:rPr>
            </w:pPr>
            <w:r>
              <w:rPr>
                <w:rFonts w:ascii="Arial" w:cs="Arial" w:eastAsia="Arial" w:hAnsi="Arial"/>
                <w:sz w:val="16"/>
                <w:szCs w:val="16"/>
                <w:color w:val="auto"/>
              </w:rPr>
              <w:t>2025 ANI</w:t>
            </w:r>
          </w:p>
        </w:tc>
        <w:tc>
          <w:tcPr>
            <w:tcW w:w="2040" w:type="dxa"/>
            <w:vAlign w:val="bottom"/>
          </w:tcPr>
          <w:p>
            <w:pPr>
              <w:jc w:val="center"/>
              <w:spacing w:after="0" w:line="173" w:lineRule="exact"/>
              <w:rPr>
                <w:sz w:val="20"/>
                <w:szCs w:val="20"/>
                <w:color w:val="auto"/>
              </w:rPr>
            </w:pPr>
            <w:r>
              <w:rPr>
                <w:rFonts w:ascii="Arial" w:cs="Arial" w:eastAsia="Arial" w:hAnsi="Arial"/>
                <w:sz w:val="16"/>
                <w:szCs w:val="16"/>
                <w:color w:val="auto"/>
                <w:w w:val="98"/>
              </w:rPr>
              <w:t>85% of budgeted 2025 ANI</w:t>
            </w:r>
          </w:p>
        </w:tc>
        <w:tc>
          <w:tcPr>
            <w:tcW w:w="1820" w:type="dxa"/>
            <w:vAlign w:val="bottom"/>
          </w:tcPr>
          <w:p>
            <w:pPr>
              <w:jc w:val="center"/>
              <w:spacing w:after="0" w:line="173" w:lineRule="exact"/>
              <w:rPr>
                <w:sz w:val="20"/>
                <w:szCs w:val="20"/>
                <w:color w:val="auto"/>
              </w:rPr>
            </w:pPr>
            <w:r>
              <w:rPr>
                <w:rFonts w:ascii="Arial" w:cs="Arial" w:eastAsia="Arial" w:hAnsi="Arial"/>
                <w:sz w:val="16"/>
                <w:szCs w:val="16"/>
                <w:color w:val="auto"/>
              </w:rPr>
              <w:t>2025 ANI per budget</w:t>
            </w:r>
          </w:p>
        </w:tc>
        <w:tc>
          <w:tcPr>
            <w:tcW w:w="2100" w:type="dxa"/>
            <w:vAlign w:val="bottom"/>
          </w:tcPr>
          <w:p>
            <w:pPr>
              <w:jc w:val="center"/>
              <w:spacing w:after="0" w:line="173" w:lineRule="exact"/>
              <w:rPr>
                <w:sz w:val="20"/>
                <w:szCs w:val="20"/>
                <w:color w:val="auto"/>
              </w:rPr>
            </w:pPr>
            <w:r>
              <w:rPr>
                <w:rFonts w:ascii="Arial" w:cs="Arial" w:eastAsia="Arial" w:hAnsi="Arial"/>
                <w:sz w:val="16"/>
                <w:szCs w:val="16"/>
                <w:color w:val="auto"/>
                <w:w w:val="99"/>
              </w:rPr>
              <w:t>115% of budgeted 2025 ANI</w:t>
            </w:r>
          </w:p>
        </w:tc>
        <w:tc>
          <w:tcPr>
            <w:tcW w:w="820" w:type="dxa"/>
            <w:vAlign w:val="bottom"/>
            <w:vMerge w:val="restart"/>
          </w:tcPr>
          <w:p>
            <w:pPr>
              <w:jc w:val="right"/>
              <w:ind w:right="220"/>
              <w:spacing w:after="0"/>
              <w:rPr>
                <w:sz w:val="20"/>
                <w:szCs w:val="20"/>
                <w:color w:val="auto"/>
              </w:rPr>
            </w:pPr>
            <w:r>
              <w:rPr>
                <w:rFonts w:ascii="Arial" w:cs="Arial" w:eastAsia="Arial" w:hAnsi="Arial"/>
                <w:sz w:val="16"/>
                <w:szCs w:val="16"/>
                <w:color w:val="auto"/>
              </w:rPr>
              <w:t>50%</w:t>
            </w:r>
          </w:p>
        </w:tc>
        <w:tc>
          <w:tcPr>
            <w:tcW w:w="1420" w:type="dxa"/>
            <w:vAlign w:val="bottom"/>
            <w:gridSpan w:val="2"/>
            <w:vMerge w:val="restart"/>
          </w:tcPr>
          <w:p>
            <w:pPr>
              <w:ind w:left="220"/>
              <w:spacing w:after="0"/>
              <w:rPr>
                <w:sz w:val="20"/>
                <w:szCs w:val="20"/>
                <w:color w:val="auto"/>
              </w:rPr>
            </w:pPr>
            <w:r>
              <w:rPr>
                <w:rFonts w:ascii="Arial" w:cs="Arial" w:eastAsia="Arial" w:hAnsi="Arial"/>
                <w:sz w:val="16"/>
                <w:szCs w:val="16"/>
                <w:color w:val="auto"/>
              </w:rPr>
              <w:t>$70.183 million</w:t>
            </w:r>
          </w:p>
        </w:tc>
        <w:tc>
          <w:tcPr>
            <w:tcW w:w="1160" w:type="dxa"/>
            <w:vAlign w:val="bottom"/>
            <w:vMerge w:val="restart"/>
          </w:tcPr>
          <w:p>
            <w:pPr>
              <w:ind w:left="48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18"/>
        </w:trPr>
        <w:tc>
          <w:tcPr>
            <w:tcW w:w="1880" w:type="dxa"/>
            <w:vAlign w:val="bottom"/>
            <w:vMerge w:val="continue"/>
          </w:tcPr>
          <w:p>
            <w:pPr>
              <w:spacing w:after="0"/>
              <w:rPr>
                <w:sz w:val="10"/>
                <w:szCs w:val="10"/>
                <w:color w:val="auto"/>
              </w:rPr>
            </w:pPr>
          </w:p>
        </w:tc>
        <w:tc>
          <w:tcPr>
            <w:tcW w:w="2040" w:type="dxa"/>
            <w:vAlign w:val="bottom"/>
            <w:vMerge w:val="restart"/>
          </w:tcPr>
          <w:p>
            <w:pPr>
              <w:jc w:val="center"/>
              <w:spacing w:after="0"/>
              <w:rPr>
                <w:sz w:val="20"/>
                <w:szCs w:val="20"/>
                <w:color w:val="auto"/>
              </w:rPr>
            </w:pPr>
            <w:r>
              <w:rPr>
                <w:rFonts w:ascii="Arial" w:cs="Arial" w:eastAsia="Arial" w:hAnsi="Arial"/>
                <w:sz w:val="16"/>
                <w:szCs w:val="16"/>
                <w:color w:val="auto"/>
                <w:w w:val="98"/>
              </w:rPr>
              <w:t>$44.643 million</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rPr>
              <w:t>$52.521 million</w:t>
            </w:r>
          </w:p>
        </w:tc>
        <w:tc>
          <w:tcPr>
            <w:tcW w:w="2100" w:type="dxa"/>
            <w:vAlign w:val="bottom"/>
            <w:vMerge w:val="restart"/>
          </w:tcPr>
          <w:p>
            <w:pPr>
              <w:jc w:val="center"/>
              <w:spacing w:after="0"/>
              <w:rPr>
                <w:sz w:val="20"/>
                <w:szCs w:val="20"/>
                <w:color w:val="auto"/>
              </w:rPr>
            </w:pPr>
            <w:r>
              <w:rPr>
                <w:rFonts w:ascii="Arial" w:cs="Arial" w:eastAsia="Arial" w:hAnsi="Arial"/>
                <w:sz w:val="16"/>
                <w:szCs w:val="16"/>
                <w:color w:val="auto"/>
              </w:rPr>
              <w:t>$60.399 million</w:t>
            </w:r>
          </w:p>
        </w:tc>
        <w:tc>
          <w:tcPr>
            <w:tcW w:w="820" w:type="dxa"/>
            <w:vAlign w:val="bottom"/>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1880" w:type="dxa"/>
            <w:vAlign w:val="bottom"/>
            <w:tcBorders>
              <w:bottom w:val="single" w:sz="8" w:color="1AB2D2"/>
            </w:tcBorders>
          </w:tcPr>
          <w:p>
            <w:pPr>
              <w:spacing w:after="0"/>
              <w:rPr>
                <w:sz w:val="7"/>
                <w:szCs w:val="7"/>
                <w:color w:val="auto"/>
              </w:rPr>
            </w:pPr>
          </w:p>
        </w:tc>
        <w:tc>
          <w:tcPr>
            <w:tcW w:w="2040" w:type="dxa"/>
            <w:vAlign w:val="bottom"/>
            <w:tcBorders>
              <w:bottom w:val="single" w:sz="8" w:color="1AB2D2"/>
            </w:tcBorders>
            <w:vMerge w:val="continue"/>
          </w:tcPr>
          <w:p>
            <w:pPr>
              <w:spacing w:after="0"/>
              <w:rPr>
                <w:sz w:val="7"/>
                <w:szCs w:val="7"/>
                <w:color w:val="auto"/>
              </w:rPr>
            </w:pPr>
          </w:p>
        </w:tc>
        <w:tc>
          <w:tcPr>
            <w:tcW w:w="1820" w:type="dxa"/>
            <w:vAlign w:val="bottom"/>
            <w:tcBorders>
              <w:bottom w:val="single" w:sz="8" w:color="1AB2D2"/>
            </w:tcBorders>
            <w:vMerge w:val="continue"/>
          </w:tcPr>
          <w:p>
            <w:pPr>
              <w:spacing w:after="0"/>
              <w:rPr>
                <w:sz w:val="7"/>
                <w:szCs w:val="7"/>
                <w:color w:val="auto"/>
              </w:rPr>
            </w:pPr>
          </w:p>
        </w:tc>
        <w:tc>
          <w:tcPr>
            <w:tcW w:w="2100" w:type="dxa"/>
            <w:vAlign w:val="bottom"/>
            <w:tcBorders>
              <w:bottom w:val="single" w:sz="8" w:color="1AB2D2"/>
            </w:tcBorders>
            <w:vMerge w:val="continue"/>
          </w:tcPr>
          <w:p>
            <w:pPr>
              <w:spacing w:after="0"/>
              <w:rPr>
                <w:sz w:val="7"/>
                <w:szCs w:val="7"/>
                <w:color w:val="auto"/>
              </w:rPr>
            </w:pPr>
          </w:p>
        </w:tc>
        <w:tc>
          <w:tcPr>
            <w:tcW w:w="820" w:type="dxa"/>
            <w:vAlign w:val="bottom"/>
            <w:tcBorders>
              <w:bottom w:val="single" w:sz="8" w:color="1AB2D2"/>
            </w:tcBorders>
          </w:tcPr>
          <w:p>
            <w:pPr>
              <w:spacing w:after="0"/>
              <w:rPr>
                <w:sz w:val="7"/>
                <w:szCs w:val="7"/>
                <w:color w:val="auto"/>
              </w:rPr>
            </w:pPr>
          </w:p>
        </w:tc>
        <w:tc>
          <w:tcPr>
            <w:tcW w:w="920" w:type="dxa"/>
            <w:vAlign w:val="bottom"/>
            <w:tcBorders>
              <w:bottom w:val="single" w:sz="8" w:color="1AB2D2"/>
            </w:tcBorders>
          </w:tcPr>
          <w:p>
            <w:pPr>
              <w:spacing w:after="0"/>
              <w:rPr>
                <w:sz w:val="7"/>
                <w:szCs w:val="7"/>
                <w:color w:val="auto"/>
              </w:rPr>
            </w:pPr>
          </w:p>
        </w:tc>
        <w:tc>
          <w:tcPr>
            <w:tcW w:w="500" w:type="dxa"/>
            <w:vAlign w:val="bottom"/>
            <w:tcBorders>
              <w:bottom w:val="single" w:sz="8" w:color="1AB2D2"/>
            </w:tcBorders>
          </w:tcPr>
          <w:p>
            <w:pPr>
              <w:spacing w:after="0"/>
              <w:rPr>
                <w:sz w:val="7"/>
                <w:szCs w:val="7"/>
                <w:color w:val="auto"/>
              </w:rPr>
            </w:pPr>
          </w:p>
        </w:tc>
        <w:tc>
          <w:tcPr>
            <w:tcW w:w="1160" w:type="dxa"/>
            <w:vAlign w:val="bottom"/>
            <w:tcBorders>
              <w:bottom w:val="single" w:sz="8" w:color="1AB2D2"/>
            </w:tcBorders>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2040" w:type="dxa"/>
            <w:vAlign w:val="bottom"/>
          </w:tcPr>
          <w:p>
            <w:pPr>
              <w:jc w:val="center"/>
              <w:spacing w:after="0" w:line="166" w:lineRule="exact"/>
              <w:rPr>
                <w:sz w:val="20"/>
                <w:szCs w:val="20"/>
                <w:color w:val="auto"/>
              </w:rPr>
            </w:pPr>
            <w:r>
              <w:rPr>
                <w:rFonts w:ascii="Arial" w:cs="Arial" w:eastAsia="Arial" w:hAnsi="Arial"/>
                <w:sz w:val="16"/>
                <w:szCs w:val="16"/>
                <w:color w:val="auto"/>
              </w:rPr>
              <w:t>85% of budgeted Adjusted</w:t>
            </w:r>
          </w:p>
        </w:tc>
        <w:tc>
          <w:tcPr>
            <w:tcW w:w="1820" w:type="dxa"/>
            <w:vAlign w:val="bottom"/>
          </w:tcPr>
          <w:p>
            <w:pPr>
              <w:jc w:val="center"/>
              <w:spacing w:after="0" w:line="166" w:lineRule="exact"/>
              <w:rPr>
                <w:sz w:val="20"/>
                <w:szCs w:val="20"/>
                <w:color w:val="auto"/>
              </w:rPr>
            </w:pPr>
            <w:r>
              <w:rPr>
                <w:rFonts w:ascii="Arial" w:cs="Arial" w:eastAsia="Arial" w:hAnsi="Arial"/>
                <w:sz w:val="16"/>
                <w:szCs w:val="16"/>
                <w:color w:val="auto"/>
                <w:w w:val="98"/>
              </w:rPr>
              <w:t>Adjusted Total Revenue</w:t>
            </w:r>
          </w:p>
        </w:tc>
        <w:tc>
          <w:tcPr>
            <w:tcW w:w="2100" w:type="dxa"/>
            <w:vAlign w:val="bottom"/>
          </w:tcPr>
          <w:p>
            <w:pPr>
              <w:jc w:val="center"/>
              <w:spacing w:after="0" w:line="166" w:lineRule="exact"/>
              <w:rPr>
                <w:sz w:val="20"/>
                <w:szCs w:val="20"/>
                <w:color w:val="auto"/>
              </w:rPr>
            </w:pPr>
            <w:r>
              <w:rPr>
                <w:rFonts w:ascii="Arial" w:cs="Arial" w:eastAsia="Arial" w:hAnsi="Arial"/>
                <w:sz w:val="16"/>
                <w:szCs w:val="16"/>
                <w:color w:val="auto"/>
                <w:w w:val="99"/>
              </w:rPr>
              <w:t>115% of budgeted Adjusted</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140"/>
              <w:spacing w:after="0"/>
              <w:rPr>
                <w:sz w:val="20"/>
                <w:szCs w:val="20"/>
                <w:color w:val="auto"/>
              </w:rPr>
            </w:pPr>
            <w:r>
              <w:rPr>
                <w:rFonts w:ascii="Arial" w:cs="Arial" w:eastAsia="Arial" w:hAnsi="Arial"/>
                <w:sz w:val="16"/>
                <w:szCs w:val="16"/>
                <w:color w:val="auto"/>
              </w:rPr>
              <w:t>Adjusted Total Revenue</w:t>
            </w:r>
          </w:p>
        </w:tc>
        <w:tc>
          <w:tcPr>
            <w:tcW w:w="2040" w:type="dxa"/>
            <w:vAlign w:val="bottom"/>
          </w:tcPr>
          <w:p>
            <w:pPr>
              <w:jc w:val="center"/>
              <w:spacing w:after="0"/>
              <w:rPr>
                <w:sz w:val="20"/>
                <w:szCs w:val="20"/>
                <w:color w:val="auto"/>
              </w:rPr>
            </w:pPr>
            <w:r>
              <w:rPr>
                <w:rFonts w:ascii="Arial" w:cs="Arial" w:eastAsia="Arial" w:hAnsi="Arial"/>
                <w:sz w:val="16"/>
                <w:szCs w:val="16"/>
                <w:color w:val="auto"/>
                <w:w w:val="97"/>
              </w:rPr>
              <w:t>Total Revenue</w:t>
            </w:r>
          </w:p>
        </w:tc>
        <w:tc>
          <w:tcPr>
            <w:tcW w:w="1820" w:type="dxa"/>
            <w:vAlign w:val="bottom"/>
          </w:tcPr>
          <w:p>
            <w:pPr>
              <w:jc w:val="center"/>
              <w:spacing w:after="0"/>
              <w:rPr>
                <w:sz w:val="20"/>
                <w:szCs w:val="20"/>
                <w:color w:val="auto"/>
              </w:rPr>
            </w:pPr>
            <w:r>
              <w:rPr>
                <w:rFonts w:ascii="Arial" w:cs="Arial" w:eastAsia="Arial" w:hAnsi="Arial"/>
                <w:sz w:val="16"/>
                <w:szCs w:val="16"/>
                <w:color w:val="auto"/>
                <w:w w:val="99"/>
              </w:rPr>
              <w:t>per budget</w:t>
            </w:r>
          </w:p>
        </w:tc>
        <w:tc>
          <w:tcPr>
            <w:tcW w:w="2100" w:type="dxa"/>
            <w:vAlign w:val="bottom"/>
          </w:tcPr>
          <w:p>
            <w:pPr>
              <w:jc w:val="center"/>
              <w:spacing w:after="0"/>
              <w:rPr>
                <w:sz w:val="20"/>
                <w:szCs w:val="20"/>
                <w:color w:val="auto"/>
              </w:rPr>
            </w:pPr>
            <w:r>
              <w:rPr>
                <w:rFonts w:ascii="Arial" w:cs="Arial" w:eastAsia="Arial" w:hAnsi="Arial"/>
                <w:sz w:val="16"/>
                <w:szCs w:val="16"/>
                <w:color w:val="auto"/>
                <w:w w:val="97"/>
              </w:rPr>
              <w:t>Total Revenue</w:t>
            </w: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25%</w:t>
            </w:r>
          </w:p>
        </w:tc>
        <w:tc>
          <w:tcPr>
            <w:tcW w:w="1420" w:type="dxa"/>
            <w:vAlign w:val="bottom"/>
            <w:gridSpan w:val="2"/>
          </w:tcPr>
          <w:p>
            <w:pPr>
              <w:jc w:val="center"/>
              <w:ind w:left="20"/>
              <w:spacing w:after="0"/>
              <w:rPr>
                <w:sz w:val="20"/>
                <w:szCs w:val="20"/>
                <w:color w:val="auto"/>
              </w:rPr>
            </w:pPr>
            <w:r>
              <w:rPr>
                <w:rFonts w:ascii="Arial" w:cs="Arial" w:eastAsia="Arial" w:hAnsi="Arial"/>
                <w:sz w:val="16"/>
                <w:szCs w:val="16"/>
                <w:color w:val="auto"/>
                <w:w w:val="99"/>
              </w:rPr>
              <w:t>$290.698 million</w:t>
            </w:r>
          </w:p>
        </w:tc>
        <w:tc>
          <w:tcPr>
            <w:tcW w:w="1160" w:type="dxa"/>
            <w:vAlign w:val="bottom"/>
          </w:tcPr>
          <w:p>
            <w:pPr>
              <w:jc w:val="center"/>
              <w:ind w:left="20"/>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01"/>
        </w:trPr>
        <w:tc>
          <w:tcPr>
            <w:tcW w:w="1880" w:type="dxa"/>
            <w:vAlign w:val="bottom"/>
            <w:tcBorders>
              <w:bottom w:val="single" w:sz="8" w:color="1AB2D2"/>
            </w:tcBorders>
          </w:tcPr>
          <w:p>
            <w:pPr>
              <w:spacing w:after="0"/>
              <w:rPr>
                <w:sz w:val="17"/>
                <w:szCs w:val="17"/>
                <w:color w:val="auto"/>
              </w:rPr>
            </w:pPr>
          </w:p>
        </w:tc>
        <w:tc>
          <w:tcPr>
            <w:tcW w:w="204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rPr>
              <w:t>$236.932 million</w:t>
            </w:r>
          </w:p>
        </w:tc>
        <w:tc>
          <w:tcPr>
            <w:tcW w:w="182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w w:val="99"/>
              </w:rPr>
              <w:t>$278.743 million</w:t>
            </w:r>
          </w:p>
        </w:tc>
        <w:tc>
          <w:tcPr>
            <w:tcW w:w="210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w w:val="99"/>
              </w:rPr>
              <w:t>$320.554 million</w:t>
            </w:r>
          </w:p>
        </w:tc>
        <w:tc>
          <w:tcPr>
            <w:tcW w:w="820" w:type="dxa"/>
            <w:vAlign w:val="bottom"/>
            <w:tcBorders>
              <w:bottom w:val="single" w:sz="8" w:color="1AB2D2"/>
            </w:tcBorders>
          </w:tcPr>
          <w:p>
            <w:pPr>
              <w:spacing w:after="0"/>
              <w:rPr>
                <w:sz w:val="17"/>
                <w:szCs w:val="17"/>
                <w:color w:val="auto"/>
              </w:rPr>
            </w:pPr>
          </w:p>
        </w:tc>
        <w:tc>
          <w:tcPr>
            <w:tcW w:w="920" w:type="dxa"/>
            <w:vAlign w:val="bottom"/>
            <w:tcBorders>
              <w:bottom w:val="single" w:sz="8" w:color="1AB2D2"/>
            </w:tcBorders>
          </w:tcPr>
          <w:p>
            <w:pPr>
              <w:spacing w:after="0"/>
              <w:rPr>
                <w:sz w:val="17"/>
                <w:szCs w:val="17"/>
                <w:color w:val="auto"/>
              </w:rPr>
            </w:pPr>
          </w:p>
        </w:tc>
        <w:tc>
          <w:tcPr>
            <w:tcW w:w="500" w:type="dxa"/>
            <w:vAlign w:val="bottom"/>
            <w:tcBorders>
              <w:bottom w:val="single" w:sz="8" w:color="1AB2D2"/>
            </w:tcBorders>
          </w:tcPr>
          <w:p>
            <w:pPr>
              <w:spacing w:after="0"/>
              <w:rPr>
                <w:sz w:val="17"/>
                <w:szCs w:val="17"/>
                <w:color w:val="auto"/>
              </w:rPr>
            </w:pPr>
          </w:p>
        </w:tc>
        <w:tc>
          <w:tcPr>
            <w:tcW w:w="1160" w:type="dxa"/>
            <w:vAlign w:val="bottom"/>
            <w:tcBorders>
              <w:bottom w:val="single" w:sz="8" w:color="1AB2D2"/>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880" w:type="dxa"/>
            <w:vAlign w:val="bottom"/>
          </w:tcPr>
          <w:p>
            <w:pPr>
              <w:spacing w:after="0"/>
              <w:rPr>
                <w:sz w:val="14"/>
                <w:szCs w:val="14"/>
                <w:color w:val="auto"/>
              </w:rPr>
            </w:pPr>
          </w:p>
        </w:tc>
        <w:tc>
          <w:tcPr>
            <w:tcW w:w="2040" w:type="dxa"/>
            <w:vAlign w:val="bottom"/>
          </w:tcPr>
          <w:p>
            <w:pPr>
              <w:jc w:val="center"/>
              <w:spacing w:after="0" w:line="166" w:lineRule="exact"/>
              <w:rPr>
                <w:sz w:val="20"/>
                <w:szCs w:val="20"/>
                <w:color w:val="auto"/>
              </w:rPr>
            </w:pPr>
            <w:r>
              <w:rPr>
                <w:rFonts w:ascii="Arial" w:cs="Arial" w:eastAsia="Arial" w:hAnsi="Arial"/>
                <w:sz w:val="16"/>
                <w:szCs w:val="16"/>
                <w:color w:val="auto"/>
              </w:rPr>
              <w:t>85% of budgeted Return on</w:t>
            </w:r>
          </w:p>
        </w:tc>
        <w:tc>
          <w:tcPr>
            <w:tcW w:w="1820" w:type="dxa"/>
            <w:vAlign w:val="bottom"/>
          </w:tcPr>
          <w:p>
            <w:pPr>
              <w:jc w:val="center"/>
              <w:spacing w:after="0" w:line="166" w:lineRule="exact"/>
              <w:rPr>
                <w:sz w:val="20"/>
                <w:szCs w:val="20"/>
                <w:color w:val="auto"/>
              </w:rPr>
            </w:pPr>
            <w:r>
              <w:rPr>
                <w:rFonts w:ascii="Arial" w:cs="Arial" w:eastAsia="Arial" w:hAnsi="Arial"/>
                <w:sz w:val="16"/>
                <w:szCs w:val="16"/>
                <w:color w:val="auto"/>
              </w:rPr>
              <w:t>Return on Equity per</w:t>
            </w:r>
          </w:p>
        </w:tc>
        <w:tc>
          <w:tcPr>
            <w:tcW w:w="2100" w:type="dxa"/>
            <w:vAlign w:val="bottom"/>
          </w:tcPr>
          <w:p>
            <w:pPr>
              <w:jc w:val="center"/>
              <w:spacing w:after="0" w:line="166" w:lineRule="exact"/>
              <w:rPr>
                <w:sz w:val="20"/>
                <w:szCs w:val="20"/>
                <w:color w:val="auto"/>
              </w:rPr>
            </w:pPr>
            <w:r>
              <w:rPr>
                <w:rFonts w:ascii="Arial" w:cs="Arial" w:eastAsia="Arial" w:hAnsi="Arial"/>
                <w:sz w:val="16"/>
                <w:szCs w:val="16"/>
                <w:color w:val="auto"/>
                <w:w w:val="98"/>
              </w:rPr>
              <w:t>115% of budgeted Return</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180"/>
              <w:spacing w:after="0"/>
              <w:rPr>
                <w:sz w:val="20"/>
                <w:szCs w:val="20"/>
                <w:color w:val="auto"/>
              </w:rPr>
            </w:pPr>
            <w:r>
              <w:rPr>
                <w:rFonts w:ascii="Arial" w:cs="Arial" w:eastAsia="Arial" w:hAnsi="Arial"/>
                <w:sz w:val="16"/>
                <w:szCs w:val="16"/>
                <w:color w:val="auto"/>
              </w:rPr>
              <w:t>Return on Equity</w:t>
            </w:r>
          </w:p>
        </w:tc>
        <w:tc>
          <w:tcPr>
            <w:tcW w:w="2040" w:type="dxa"/>
            <w:vAlign w:val="bottom"/>
          </w:tcPr>
          <w:p>
            <w:pPr>
              <w:jc w:val="center"/>
              <w:spacing w:after="0"/>
              <w:rPr>
                <w:sz w:val="20"/>
                <w:szCs w:val="20"/>
                <w:color w:val="auto"/>
              </w:rPr>
            </w:pPr>
            <w:r>
              <w:rPr>
                <w:rFonts w:ascii="Arial" w:cs="Arial" w:eastAsia="Arial" w:hAnsi="Arial"/>
                <w:sz w:val="16"/>
                <w:szCs w:val="16"/>
                <w:color w:val="auto"/>
              </w:rPr>
              <w:t>Equity</w:t>
            </w: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budget</w:t>
            </w:r>
          </w:p>
        </w:tc>
        <w:tc>
          <w:tcPr>
            <w:tcW w:w="2100" w:type="dxa"/>
            <w:vAlign w:val="bottom"/>
          </w:tcPr>
          <w:p>
            <w:pPr>
              <w:jc w:val="center"/>
              <w:spacing w:after="0"/>
              <w:rPr>
                <w:sz w:val="20"/>
                <w:szCs w:val="20"/>
                <w:color w:val="auto"/>
              </w:rPr>
            </w:pPr>
            <w:r>
              <w:rPr>
                <w:rFonts w:ascii="Arial" w:cs="Arial" w:eastAsia="Arial" w:hAnsi="Arial"/>
                <w:sz w:val="16"/>
                <w:szCs w:val="16"/>
                <w:color w:val="auto"/>
              </w:rPr>
              <w:t>on Equity</w:t>
            </w: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25%</w:t>
            </w:r>
          </w:p>
        </w:tc>
        <w:tc>
          <w:tcPr>
            <w:tcW w:w="1420" w:type="dxa"/>
            <w:vAlign w:val="bottom"/>
            <w:gridSpan w:val="2"/>
          </w:tcPr>
          <w:p>
            <w:pPr>
              <w:jc w:val="center"/>
              <w:ind w:left="20"/>
              <w:spacing w:after="0"/>
              <w:rPr>
                <w:sz w:val="20"/>
                <w:szCs w:val="20"/>
                <w:color w:val="auto"/>
              </w:rPr>
            </w:pPr>
            <w:r>
              <w:rPr>
                <w:rFonts w:ascii="Arial" w:cs="Arial" w:eastAsia="Arial" w:hAnsi="Arial"/>
                <w:sz w:val="16"/>
                <w:szCs w:val="16"/>
                <w:color w:val="auto"/>
              </w:rPr>
              <w:t>13.36%</w:t>
            </w:r>
          </w:p>
        </w:tc>
        <w:tc>
          <w:tcPr>
            <w:tcW w:w="1160" w:type="dxa"/>
            <w:vAlign w:val="bottom"/>
          </w:tcPr>
          <w:p>
            <w:pPr>
              <w:jc w:val="center"/>
              <w:ind w:left="20"/>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01"/>
        </w:trPr>
        <w:tc>
          <w:tcPr>
            <w:tcW w:w="1880" w:type="dxa"/>
            <w:vAlign w:val="bottom"/>
            <w:tcBorders>
              <w:bottom w:val="single" w:sz="8" w:color="1AB2D2"/>
            </w:tcBorders>
          </w:tcPr>
          <w:p>
            <w:pPr>
              <w:spacing w:after="0"/>
              <w:rPr>
                <w:sz w:val="17"/>
                <w:szCs w:val="17"/>
                <w:color w:val="auto"/>
              </w:rPr>
            </w:pPr>
          </w:p>
        </w:tc>
        <w:tc>
          <w:tcPr>
            <w:tcW w:w="204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rPr>
              <w:t>8.48%</w:t>
            </w:r>
          </w:p>
        </w:tc>
        <w:tc>
          <w:tcPr>
            <w:tcW w:w="182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rPr>
              <w:t>9.98%</w:t>
            </w:r>
          </w:p>
        </w:tc>
        <w:tc>
          <w:tcPr>
            <w:tcW w:w="2100" w:type="dxa"/>
            <w:vAlign w:val="bottom"/>
            <w:tcBorders>
              <w:bottom w:val="single" w:sz="8" w:color="1AB2D2"/>
            </w:tcBorders>
          </w:tcPr>
          <w:p>
            <w:pPr>
              <w:jc w:val="center"/>
              <w:spacing w:after="0"/>
              <w:rPr>
                <w:sz w:val="20"/>
                <w:szCs w:val="20"/>
                <w:color w:val="auto"/>
              </w:rPr>
            </w:pPr>
            <w:r>
              <w:rPr>
                <w:rFonts w:ascii="Arial" w:cs="Arial" w:eastAsia="Arial" w:hAnsi="Arial"/>
                <w:sz w:val="16"/>
                <w:szCs w:val="16"/>
                <w:color w:val="auto"/>
                <w:w w:val="95"/>
              </w:rPr>
              <w:t>11.48%</w:t>
            </w:r>
          </w:p>
        </w:tc>
        <w:tc>
          <w:tcPr>
            <w:tcW w:w="820" w:type="dxa"/>
            <w:vAlign w:val="bottom"/>
            <w:tcBorders>
              <w:bottom w:val="single" w:sz="8" w:color="1AB2D2"/>
            </w:tcBorders>
          </w:tcPr>
          <w:p>
            <w:pPr>
              <w:spacing w:after="0"/>
              <w:rPr>
                <w:sz w:val="17"/>
                <w:szCs w:val="17"/>
                <w:color w:val="auto"/>
              </w:rPr>
            </w:pPr>
          </w:p>
        </w:tc>
        <w:tc>
          <w:tcPr>
            <w:tcW w:w="920" w:type="dxa"/>
            <w:vAlign w:val="bottom"/>
            <w:tcBorders>
              <w:bottom w:val="single" w:sz="8" w:color="1AB2D2"/>
            </w:tcBorders>
          </w:tcPr>
          <w:p>
            <w:pPr>
              <w:spacing w:after="0"/>
              <w:rPr>
                <w:sz w:val="17"/>
                <w:szCs w:val="17"/>
                <w:color w:val="auto"/>
              </w:rPr>
            </w:pPr>
          </w:p>
        </w:tc>
        <w:tc>
          <w:tcPr>
            <w:tcW w:w="500" w:type="dxa"/>
            <w:vAlign w:val="bottom"/>
            <w:tcBorders>
              <w:bottom w:val="single" w:sz="8" w:color="1AB2D2"/>
            </w:tcBorders>
          </w:tcPr>
          <w:p>
            <w:pPr>
              <w:spacing w:after="0"/>
              <w:rPr>
                <w:sz w:val="17"/>
                <w:szCs w:val="17"/>
                <w:color w:val="auto"/>
              </w:rPr>
            </w:pPr>
          </w:p>
        </w:tc>
        <w:tc>
          <w:tcPr>
            <w:tcW w:w="1160" w:type="dxa"/>
            <w:vAlign w:val="bottom"/>
            <w:tcBorders>
              <w:bottom w:val="single" w:sz="8" w:color="1AB2D2"/>
            </w:tcBorders>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880" w:type="dxa"/>
            <w:vAlign w:val="bottom"/>
            <w:tcBorders>
              <w:bottom w:val="single" w:sz="8" w:color="1AB2D2"/>
            </w:tcBorders>
          </w:tcPr>
          <w:p>
            <w:pPr>
              <w:ind w:left="140"/>
              <w:spacing w:after="0" w:line="180" w:lineRule="exact"/>
              <w:rPr>
                <w:sz w:val="20"/>
                <w:szCs w:val="20"/>
                <w:color w:val="auto"/>
              </w:rPr>
            </w:pPr>
            <w:r>
              <w:rPr>
                <w:rFonts w:ascii="Arial" w:cs="Arial" w:eastAsia="Arial" w:hAnsi="Arial"/>
                <w:sz w:val="16"/>
                <w:szCs w:val="16"/>
                <w:color w:val="auto"/>
              </w:rPr>
              <w:t>Total Achievement</w:t>
            </w:r>
          </w:p>
        </w:tc>
        <w:tc>
          <w:tcPr>
            <w:tcW w:w="2040" w:type="dxa"/>
            <w:vAlign w:val="bottom"/>
            <w:tcBorders>
              <w:bottom w:val="single" w:sz="8" w:color="1AB2D2"/>
            </w:tcBorders>
          </w:tcPr>
          <w:p>
            <w:pPr>
              <w:spacing w:after="0"/>
              <w:rPr>
                <w:sz w:val="15"/>
                <w:szCs w:val="15"/>
                <w:color w:val="auto"/>
              </w:rPr>
            </w:pPr>
          </w:p>
        </w:tc>
        <w:tc>
          <w:tcPr>
            <w:tcW w:w="1820" w:type="dxa"/>
            <w:vAlign w:val="bottom"/>
            <w:tcBorders>
              <w:bottom w:val="single" w:sz="8" w:color="1AB2D2"/>
            </w:tcBorders>
          </w:tcPr>
          <w:p>
            <w:pPr>
              <w:spacing w:after="0"/>
              <w:rPr>
                <w:sz w:val="15"/>
                <w:szCs w:val="15"/>
                <w:color w:val="auto"/>
              </w:rPr>
            </w:pPr>
          </w:p>
        </w:tc>
        <w:tc>
          <w:tcPr>
            <w:tcW w:w="2100" w:type="dxa"/>
            <w:vAlign w:val="bottom"/>
            <w:tcBorders>
              <w:bottom w:val="single" w:sz="8" w:color="1AB2D2"/>
            </w:tcBorders>
          </w:tcPr>
          <w:p>
            <w:pPr>
              <w:spacing w:after="0"/>
              <w:rPr>
                <w:sz w:val="15"/>
                <w:szCs w:val="15"/>
                <w:color w:val="auto"/>
              </w:rPr>
            </w:pPr>
          </w:p>
        </w:tc>
        <w:tc>
          <w:tcPr>
            <w:tcW w:w="820" w:type="dxa"/>
            <w:vAlign w:val="bottom"/>
            <w:tcBorders>
              <w:bottom w:val="single" w:sz="8" w:color="1AB2D2"/>
            </w:tcBorders>
          </w:tcPr>
          <w:p>
            <w:pPr>
              <w:spacing w:after="0"/>
              <w:rPr>
                <w:sz w:val="15"/>
                <w:szCs w:val="15"/>
                <w:color w:val="auto"/>
              </w:rPr>
            </w:pPr>
          </w:p>
        </w:tc>
        <w:tc>
          <w:tcPr>
            <w:tcW w:w="920" w:type="dxa"/>
            <w:vAlign w:val="bottom"/>
            <w:tcBorders>
              <w:bottom w:val="single" w:sz="8" w:color="1AB2D2"/>
            </w:tcBorders>
          </w:tcPr>
          <w:p>
            <w:pPr>
              <w:spacing w:after="0"/>
              <w:rPr>
                <w:sz w:val="15"/>
                <w:szCs w:val="15"/>
                <w:color w:val="auto"/>
              </w:rPr>
            </w:pPr>
          </w:p>
        </w:tc>
        <w:tc>
          <w:tcPr>
            <w:tcW w:w="500" w:type="dxa"/>
            <w:vAlign w:val="bottom"/>
            <w:tcBorders>
              <w:bottom w:val="single" w:sz="8" w:color="1AB2D2"/>
            </w:tcBorders>
          </w:tcPr>
          <w:p>
            <w:pPr>
              <w:spacing w:after="0"/>
              <w:rPr>
                <w:sz w:val="15"/>
                <w:szCs w:val="15"/>
                <w:color w:val="auto"/>
              </w:rPr>
            </w:pPr>
          </w:p>
        </w:tc>
        <w:tc>
          <w:tcPr>
            <w:tcW w:w="1160" w:type="dxa"/>
            <w:vAlign w:val="bottom"/>
            <w:tcBorders>
              <w:bottom w:val="single" w:sz="8" w:color="1AB2D2"/>
            </w:tcBorders>
          </w:tcPr>
          <w:p>
            <w:pPr>
              <w:jc w:val="center"/>
              <w:ind w:left="20"/>
              <w:spacing w:after="0" w:line="180" w:lineRule="exact"/>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804"/>
        </w:trPr>
        <w:tc>
          <w:tcPr>
            <w:tcW w:w="5740" w:type="dxa"/>
            <w:vAlign w:val="bottom"/>
            <w:gridSpan w:val="3"/>
          </w:tcPr>
          <w:p>
            <w:pPr>
              <w:jc w:val="center"/>
              <w:spacing w:after="0"/>
              <w:rPr>
                <w:sz w:val="20"/>
                <w:szCs w:val="20"/>
                <w:color w:val="auto"/>
              </w:rPr>
            </w:pPr>
            <w:r>
              <w:rPr>
                <w:rFonts w:ascii="Arial" w:cs="Arial" w:eastAsia="Arial" w:hAnsi="Arial"/>
                <w:sz w:val="16"/>
                <w:szCs w:val="16"/>
                <w:color w:val="auto"/>
              </w:rPr>
              <w:t>The following table sets forth the cash awards to NEOs under the 2025 STI Plan:</w:t>
            </w: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188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062B48"/>
          </w:tcPr>
          <w:p>
            <w:pPr>
              <w:spacing w:after="0"/>
              <w:rPr>
                <w:sz w:val="15"/>
                <w:szCs w:val="15"/>
                <w:color w:val="auto"/>
              </w:rPr>
            </w:pPr>
          </w:p>
        </w:tc>
        <w:tc>
          <w:tcPr>
            <w:tcW w:w="2040" w:type="dxa"/>
            <w:vAlign w:val="bottom"/>
            <w:shd w:val="clear" w:color="auto" w:fill="062B48"/>
          </w:tcPr>
          <w:p>
            <w:pPr>
              <w:spacing w:after="0"/>
              <w:rPr>
                <w:sz w:val="15"/>
                <w:szCs w:val="15"/>
                <w:color w:val="auto"/>
              </w:rPr>
            </w:pPr>
          </w:p>
        </w:tc>
        <w:tc>
          <w:tcPr>
            <w:tcW w:w="1820" w:type="dxa"/>
            <w:vAlign w:val="bottom"/>
            <w:shd w:val="clear" w:color="auto" w:fill="062B48"/>
          </w:tcPr>
          <w:p>
            <w:pPr>
              <w:spacing w:after="0"/>
              <w:rPr>
                <w:sz w:val="15"/>
                <w:szCs w:val="15"/>
                <w:color w:val="auto"/>
              </w:rPr>
            </w:pPr>
          </w:p>
        </w:tc>
        <w:tc>
          <w:tcPr>
            <w:tcW w:w="2100" w:type="dxa"/>
            <w:vAlign w:val="bottom"/>
            <w:shd w:val="clear" w:color="auto" w:fill="062B48"/>
          </w:tcPr>
          <w:p>
            <w:pPr>
              <w:jc w:val="right"/>
              <w:ind w:right="60"/>
              <w:spacing w:after="0" w:line="173" w:lineRule="exact"/>
              <w:rPr>
                <w:sz w:val="20"/>
                <w:szCs w:val="20"/>
                <w:color w:val="auto"/>
              </w:rPr>
            </w:pPr>
            <w:r>
              <w:rPr>
                <w:rFonts w:ascii="Arial" w:cs="Arial" w:eastAsia="Arial" w:hAnsi="Arial"/>
                <w:sz w:val="16"/>
                <w:szCs w:val="16"/>
                <w:b w:val="1"/>
                <w:bCs w:val="1"/>
                <w:color w:val="FFFFFF"/>
              </w:rPr>
              <w:t>TARGET BONUS</w:t>
            </w:r>
          </w:p>
        </w:tc>
        <w:tc>
          <w:tcPr>
            <w:tcW w:w="820" w:type="dxa"/>
            <w:vAlign w:val="bottom"/>
            <w:shd w:val="clear" w:color="auto" w:fill="062B48"/>
          </w:tcPr>
          <w:p>
            <w:pPr>
              <w:spacing w:after="0"/>
              <w:rPr>
                <w:sz w:val="15"/>
                <w:szCs w:val="15"/>
                <w:color w:val="auto"/>
              </w:rPr>
            </w:pPr>
          </w:p>
        </w:tc>
        <w:tc>
          <w:tcPr>
            <w:tcW w:w="920" w:type="dxa"/>
            <w:vAlign w:val="bottom"/>
            <w:shd w:val="clear" w:color="auto" w:fill="062B48"/>
          </w:tcPr>
          <w:p>
            <w:pPr>
              <w:spacing w:after="0"/>
              <w:rPr>
                <w:sz w:val="15"/>
                <w:szCs w:val="15"/>
                <w:color w:val="auto"/>
              </w:rPr>
            </w:pPr>
          </w:p>
        </w:tc>
        <w:tc>
          <w:tcPr>
            <w:tcW w:w="500" w:type="dxa"/>
            <w:vAlign w:val="bottom"/>
            <w:shd w:val="clear" w:color="auto" w:fill="062B48"/>
          </w:tcPr>
          <w:p>
            <w:pPr>
              <w:spacing w:after="0"/>
              <w:rPr>
                <w:sz w:val="15"/>
                <w:szCs w:val="15"/>
                <w:color w:val="auto"/>
              </w:rPr>
            </w:pPr>
          </w:p>
        </w:tc>
        <w:tc>
          <w:tcPr>
            <w:tcW w:w="1160" w:type="dxa"/>
            <w:vAlign w:val="bottom"/>
            <w:shd w:val="clear" w:color="auto" w:fill="062B48"/>
          </w:tcPr>
          <w:p>
            <w:pPr>
              <w:ind w:left="40"/>
              <w:spacing w:after="0" w:line="173" w:lineRule="exact"/>
              <w:rPr>
                <w:sz w:val="20"/>
                <w:szCs w:val="20"/>
                <w:color w:val="auto"/>
              </w:rPr>
            </w:pPr>
            <w:r>
              <w:rPr>
                <w:rFonts w:ascii="Arial" w:cs="Arial" w:eastAsia="Arial" w:hAnsi="Arial"/>
                <w:sz w:val="16"/>
                <w:szCs w:val="16"/>
                <w:b w:val="1"/>
                <w:bCs w:val="1"/>
                <w:color w:val="FFFFFF"/>
              </w:rPr>
              <w:t>BONUS</w:t>
            </w:r>
          </w:p>
        </w:tc>
        <w:tc>
          <w:tcPr>
            <w:tcW w:w="0" w:type="dxa"/>
            <w:vAlign w:val="bottom"/>
          </w:tcPr>
          <w:p>
            <w:pPr>
              <w:spacing w:after="0"/>
              <w:rPr>
                <w:sz w:val="1"/>
                <w:szCs w:val="1"/>
                <w:color w:val="auto"/>
              </w:rPr>
            </w:pPr>
          </w:p>
        </w:tc>
      </w:tr>
      <w:tr>
        <w:trPr>
          <w:trHeight w:val="201"/>
        </w:trPr>
        <w:tc>
          <w:tcPr>
            <w:tcW w:w="1880" w:type="dxa"/>
            <w:vAlign w:val="bottom"/>
            <w:shd w:val="clear" w:color="auto" w:fill="062B48"/>
          </w:tcPr>
          <w:p>
            <w:pPr>
              <w:ind w:left="160"/>
              <w:spacing w:after="0"/>
              <w:rPr>
                <w:sz w:val="20"/>
                <w:szCs w:val="20"/>
                <w:color w:val="auto"/>
              </w:rPr>
            </w:pPr>
            <w:r>
              <w:rPr>
                <w:rFonts w:ascii="Arial" w:cs="Arial" w:eastAsia="Arial" w:hAnsi="Arial"/>
                <w:sz w:val="14"/>
                <w:szCs w:val="14"/>
                <w:b w:val="1"/>
                <w:bCs w:val="1"/>
                <w:color w:val="FFFFFF"/>
              </w:rPr>
              <w:t>NAME</w:t>
            </w:r>
          </w:p>
        </w:tc>
        <w:tc>
          <w:tcPr>
            <w:tcW w:w="2040" w:type="dxa"/>
            <w:vAlign w:val="bottom"/>
            <w:shd w:val="clear" w:color="auto" w:fill="062B48"/>
          </w:tcPr>
          <w:p>
            <w:pPr>
              <w:spacing w:after="0"/>
              <w:rPr>
                <w:sz w:val="17"/>
                <w:szCs w:val="17"/>
                <w:color w:val="auto"/>
              </w:rPr>
            </w:pPr>
          </w:p>
        </w:tc>
        <w:tc>
          <w:tcPr>
            <w:tcW w:w="1820" w:type="dxa"/>
            <w:vAlign w:val="bottom"/>
            <w:shd w:val="clear" w:color="auto" w:fill="062B48"/>
          </w:tcPr>
          <w:p>
            <w:pPr>
              <w:spacing w:after="0"/>
              <w:rPr>
                <w:sz w:val="17"/>
                <w:szCs w:val="17"/>
                <w:color w:val="auto"/>
              </w:rPr>
            </w:pPr>
          </w:p>
        </w:tc>
        <w:tc>
          <w:tcPr>
            <w:tcW w:w="2100" w:type="dxa"/>
            <w:vAlign w:val="bottom"/>
            <w:shd w:val="clear" w:color="auto" w:fill="062B48"/>
          </w:tcPr>
          <w:p>
            <w:pPr>
              <w:jc w:val="right"/>
              <w:spacing w:after="0"/>
              <w:rPr>
                <w:sz w:val="20"/>
                <w:szCs w:val="20"/>
                <w:color w:val="auto"/>
              </w:rPr>
            </w:pPr>
            <w:r>
              <w:rPr>
                <w:rFonts w:ascii="Arial" w:cs="Arial" w:eastAsia="Arial" w:hAnsi="Arial"/>
                <w:sz w:val="16"/>
                <w:szCs w:val="16"/>
                <w:b w:val="1"/>
                <w:bCs w:val="1"/>
                <w:color w:val="FFFFFF"/>
              </w:rPr>
              <w:t>(AS % OF SALARY)</w:t>
            </w:r>
          </w:p>
        </w:tc>
        <w:tc>
          <w:tcPr>
            <w:tcW w:w="1740" w:type="dxa"/>
            <w:vAlign w:val="bottom"/>
            <w:gridSpan w:val="2"/>
            <w:shd w:val="clear" w:color="auto" w:fill="062B48"/>
          </w:tcPr>
          <w:p>
            <w:pPr>
              <w:ind w:left="260"/>
              <w:spacing w:after="0"/>
              <w:rPr>
                <w:sz w:val="20"/>
                <w:szCs w:val="20"/>
                <w:color w:val="auto"/>
              </w:rPr>
            </w:pPr>
            <w:r>
              <w:rPr>
                <w:rFonts w:ascii="Arial" w:cs="Arial" w:eastAsia="Arial" w:hAnsi="Arial"/>
                <w:sz w:val="16"/>
                <w:szCs w:val="16"/>
                <w:b w:val="1"/>
                <w:bCs w:val="1"/>
                <w:color w:val="FFFFFF"/>
              </w:rPr>
              <w:t>TARGET BONUS</w:t>
            </w:r>
          </w:p>
        </w:tc>
        <w:tc>
          <w:tcPr>
            <w:tcW w:w="1660" w:type="dxa"/>
            <w:vAlign w:val="bottom"/>
            <w:gridSpan w:val="2"/>
            <w:shd w:val="clear" w:color="auto" w:fill="062B48"/>
          </w:tcPr>
          <w:p>
            <w:pPr>
              <w:ind w:left="200"/>
              <w:spacing w:after="0"/>
              <w:rPr>
                <w:sz w:val="20"/>
                <w:szCs w:val="20"/>
                <w:color w:val="auto"/>
              </w:rPr>
            </w:pPr>
            <w:r>
              <w:rPr>
                <w:rFonts w:ascii="Arial" w:cs="Arial" w:eastAsia="Arial" w:hAnsi="Arial"/>
                <w:sz w:val="16"/>
                <w:szCs w:val="16"/>
                <w:b w:val="1"/>
                <w:bCs w:val="1"/>
                <w:color w:val="FFFFFF"/>
              </w:rPr>
              <w:t>INCENTIVE PAID</w:t>
            </w:r>
          </w:p>
        </w:tc>
        <w:tc>
          <w:tcPr>
            <w:tcW w:w="0" w:type="dxa"/>
            <w:vAlign w:val="bottom"/>
          </w:tcPr>
          <w:p>
            <w:pPr>
              <w:spacing w:after="0"/>
              <w:rPr>
                <w:sz w:val="1"/>
                <w:szCs w:val="1"/>
                <w:color w:val="auto"/>
              </w:rPr>
            </w:pPr>
          </w:p>
        </w:tc>
      </w:tr>
      <w:tr>
        <w:trPr>
          <w:trHeight w:val="187"/>
        </w:trPr>
        <w:tc>
          <w:tcPr>
            <w:tcW w:w="1880" w:type="dxa"/>
            <w:vAlign w:val="bottom"/>
            <w:tcBorders>
              <w:bottom w:val="single" w:sz="8" w:color="1AB2D2"/>
            </w:tcBorders>
          </w:tcPr>
          <w:p>
            <w:pPr>
              <w:ind w:left="160"/>
              <w:spacing w:after="0"/>
              <w:rPr>
                <w:sz w:val="20"/>
                <w:szCs w:val="20"/>
                <w:color w:val="auto"/>
              </w:rPr>
            </w:pPr>
            <w:r>
              <w:rPr>
                <w:rFonts w:ascii="Arial" w:cs="Arial" w:eastAsia="Arial" w:hAnsi="Arial"/>
                <w:sz w:val="16"/>
                <w:szCs w:val="16"/>
                <w:color w:val="auto"/>
              </w:rPr>
              <w:t>Katie A. Lorenson</w:t>
            </w:r>
          </w:p>
        </w:tc>
        <w:tc>
          <w:tcPr>
            <w:tcW w:w="2040" w:type="dxa"/>
            <w:vAlign w:val="bottom"/>
            <w:tcBorders>
              <w:bottom w:val="single" w:sz="8" w:color="1AB2D2"/>
            </w:tcBorders>
          </w:tcPr>
          <w:p>
            <w:pPr>
              <w:spacing w:after="0"/>
              <w:rPr>
                <w:sz w:val="16"/>
                <w:szCs w:val="16"/>
                <w:color w:val="auto"/>
              </w:rPr>
            </w:pPr>
          </w:p>
        </w:tc>
        <w:tc>
          <w:tcPr>
            <w:tcW w:w="1820" w:type="dxa"/>
            <w:vAlign w:val="bottom"/>
            <w:tcBorders>
              <w:bottom w:val="single" w:sz="8" w:color="1AB2D2"/>
            </w:tcBorders>
          </w:tcPr>
          <w:p>
            <w:pPr>
              <w:spacing w:after="0"/>
              <w:rPr>
                <w:sz w:val="16"/>
                <w:szCs w:val="16"/>
                <w:color w:val="auto"/>
              </w:rPr>
            </w:pPr>
          </w:p>
        </w:tc>
        <w:tc>
          <w:tcPr>
            <w:tcW w:w="2100" w:type="dxa"/>
            <w:vAlign w:val="bottom"/>
            <w:tcBorders>
              <w:bottom w:val="single" w:sz="8" w:color="1AB2D2"/>
            </w:tcBorders>
          </w:tcPr>
          <w:p>
            <w:pPr>
              <w:jc w:val="right"/>
              <w:ind w:right="480"/>
              <w:spacing w:after="0"/>
              <w:rPr>
                <w:sz w:val="20"/>
                <w:szCs w:val="20"/>
                <w:color w:val="auto"/>
              </w:rPr>
            </w:pPr>
            <w:r>
              <w:rPr>
                <w:rFonts w:ascii="Arial" w:cs="Arial" w:eastAsia="Arial" w:hAnsi="Arial"/>
                <w:sz w:val="16"/>
                <w:szCs w:val="16"/>
                <w:color w:val="auto"/>
              </w:rPr>
              <w:t>55%</w:t>
            </w:r>
          </w:p>
        </w:tc>
        <w:tc>
          <w:tcPr>
            <w:tcW w:w="820" w:type="dxa"/>
            <w:vAlign w:val="bottom"/>
            <w:tcBorders>
              <w:bottom w:val="single" w:sz="8" w:color="1AB2D2"/>
            </w:tcBorders>
          </w:tcPr>
          <w:p>
            <w:pPr>
              <w:jc w:val="right"/>
              <w:ind w:right="48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1AB2D2"/>
            </w:tcBorders>
          </w:tcPr>
          <w:p>
            <w:pPr>
              <w:ind w:left="220"/>
              <w:spacing w:after="0"/>
              <w:rPr>
                <w:sz w:val="20"/>
                <w:szCs w:val="20"/>
                <w:color w:val="auto"/>
              </w:rPr>
            </w:pPr>
            <w:r>
              <w:rPr>
                <w:rFonts w:ascii="Arial" w:cs="Arial" w:eastAsia="Arial" w:hAnsi="Arial"/>
                <w:sz w:val="16"/>
                <w:szCs w:val="16"/>
                <w:color w:val="auto"/>
              </w:rPr>
              <w:t>343,750</w:t>
            </w:r>
          </w:p>
        </w:tc>
        <w:tc>
          <w:tcPr>
            <w:tcW w:w="500" w:type="dxa"/>
            <w:vAlign w:val="bottom"/>
            <w:tcBorders>
              <w:bottom w:val="single" w:sz="8" w:color="1AB2D2"/>
            </w:tcBorders>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1AB2D2"/>
            </w:tcBorders>
          </w:tcPr>
          <w:p>
            <w:pPr>
              <w:ind w:left="480"/>
              <w:spacing w:after="0"/>
              <w:rPr>
                <w:sz w:val="20"/>
                <w:szCs w:val="20"/>
                <w:color w:val="auto"/>
              </w:rPr>
            </w:pPr>
            <w:r>
              <w:rPr>
                <w:rFonts w:ascii="Arial" w:cs="Arial" w:eastAsia="Arial" w:hAnsi="Arial"/>
                <w:sz w:val="16"/>
                <w:szCs w:val="16"/>
                <w:color w:val="auto"/>
              </w:rPr>
              <w:t>484,688</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1AB2D2"/>
            </w:tcBorders>
          </w:tcPr>
          <w:p>
            <w:pPr>
              <w:ind w:left="160"/>
              <w:spacing w:after="0" w:line="180" w:lineRule="exact"/>
              <w:rPr>
                <w:sz w:val="20"/>
                <w:szCs w:val="20"/>
                <w:color w:val="auto"/>
              </w:rPr>
            </w:pPr>
            <w:r>
              <w:rPr>
                <w:rFonts w:ascii="Arial" w:cs="Arial" w:eastAsia="Arial" w:hAnsi="Arial"/>
                <w:sz w:val="16"/>
                <w:szCs w:val="16"/>
                <w:color w:val="auto"/>
              </w:rPr>
              <w:t>Alan A. Villalon</w:t>
            </w:r>
          </w:p>
        </w:tc>
        <w:tc>
          <w:tcPr>
            <w:tcW w:w="2040" w:type="dxa"/>
            <w:vAlign w:val="bottom"/>
            <w:tcBorders>
              <w:bottom w:val="single" w:sz="8" w:color="1AB2D2"/>
            </w:tcBorders>
          </w:tcPr>
          <w:p>
            <w:pPr>
              <w:spacing w:after="0"/>
              <w:rPr>
                <w:sz w:val="15"/>
                <w:szCs w:val="15"/>
                <w:color w:val="auto"/>
              </w:rPr>
            </w:pPr>
          </w:p>
        </w:tc>
        <w:tc>
          <w:tcPr>
            <w:tcW w:w="1820" w:type="dxa"/>
            <w:vAlign w:val="bottom"/>
            <w:tcBorders>
              <w:bottom w:val="single" w:sz="8" w:color="1AB2D2"/>
            </w:tcBorders>
          </w:tcPr>
          <w:p>
            <w:pPr>
              <w:spacing w:after="0"/>
              <w:rPr>
                <w:sz w:val="15"/>
                <w:szCs w:val="15"/>
                <w:color w:val="auto"/>
              </w:rPr>
            </w:pPr>
          </w:p>
        </w:tc>
        <w:tc>
          <w:tcPr>
            <w:tcW w:w="210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40%</w:t>
            </w:r>
          </w:p>
        </w:tc>
        <w:tc>
          <w:tcPr>
            <w:tcW w:w="82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1AB2D2"/>
            </w:tcBorders>
          </w:tcPr>
          <w:p>
            <w:pPr>
              <w:ind w:left="220"/>
              <w:spacing w:after="0" w:line="180" w:lineRule="exact"/>
              <w:rPr>
                <w:sz w:val="20"/>
                <w:szCs w:val="20"/>
                <w:color w:val="auto"/>
              </w:rPr>
            </w:pPr>
            <w:r>
              <w:rPr>
                <w:rFonts w:ascii="Arial" w:cs="Arial" w:eastAsia="Arial" w:hAnsi="Arial"/>
                <w:sz w:val="16"/>
                <w:szCs w:val="16"/>
                <w:color w:val="auto"/>
              </w:rPr>
              <w:t>144,000</w:t>
            </w:r>
          </w:p>
        </w:tc>
        <w:tc>
          <w:tcPr>
            <w:tcW w:w="500" w:type="dxa"/>
            <w:vAlign w:val="bottom"/>
            <w:tcBorders>
              <w:bottom w:val="single" w:sz="8" w:color="1AB2D2"/>
            </w:tcBorders>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1AB2D2"/>
            </w:tcBorders>
          </w:tcPr>
          <w:p>
            <w:pPr>
              <w:ind w:left="480"/>
              <w:spacing w:after="0" w:line="180" w:lineRule="exact"/>
              <w:rPr>
                <w:sz w:val="20"/>
                <w:szCs w:val="20"/>
                <w:color w:val="auto"/>
              </w:rPr>
            </w:pPr>
            <w:r>
              <w:rPr>
                <w:rFonts w:ascii="Arial" w:cs="Arial" w:eastAsia="Arial" w:hAnsi="Arial"/>
                <w:sz w:val="16"/>
                <w:szCs w:val="16"/>
                <w:color w:val="auto"/>
              </w:rPr>
              <w:t>203,040</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1AB2D2"/>
            </w:tcBorders>
          </w:tcPr>
          <w:p>
            <w:pPr>
              <w:ind w:left="160"/>
              <w:spacing w:after="0" w:line="180" w:lineRule="exact"/>
              <w:rPr>
                <w:sz w:val="20"/>
                <w:szCs w:val="20"/>
                <w:color w:val="auto"/>
              </w:rPr>
            </w:pPr>
            <w:r>
              <w:rPr>
                <w:rFonts w:ascii="Arial" w:cs="Arial" w:eastAsia="Arial" w:hAnsi="Arial"/>
                <w:sz w:val="16"/>
                <w:szCs w:val="16"/>
                <w:color w:val="auto"/>
              </w:rPr>
              <w:t>Jim R. Collins</w:t>
            </w:r>
          </w:p>
        </w:tc>
        <w:tc>
          <w:tcPr>
            <w:tcW w:w="2040" w:type="dxa"/>
            <w:vAlign w:val="bottom"/>
            <w:tcBorders>
              <w:bottom w:val="single" w:sz="8" w:color="1AB2D2"/>
            </w:tcBorders>
          </w:tcPr>
          <w:p>
            <w:pPr>
              <w:spacing w:after="0"/>
              <w:rPr>
                <w:sz w:val="15"/>
                <w:szCs w:val="15"/>
                <w:color w:val="auto"/>
              </w:rPr>
            </w:pPr>
          </w:p>
        </w:tc>
        <w:tc>
          <w:tcPr>
            <w:tcW w:w="1820" w:type="dxa"/>
            <w:vAlign w:val="bottom"/>
            <w:tcBorders>
              <w:bottom w:val="single" w:sz="8" w:color="1AB2D2"/>
            </w:tcBorders>
          </w:tcPr>
          <w:p>
            <w:pPr>
              <w:spacing w:after="0"/>
              <w:rPr>
                <w:sz w:val="15"/>
                <w:szCs w:val="15"/>
                <w:color w:val="auto"/>
              </w:rPr>
            </w:pPr>
          </w:p>
        </w:tc>
        <w:tc>
          <w:tcPr>
            <w:tcW w:w="210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40%</w:t>
            </w:r>
          </w:p>
        </w:tc>
        <w:tc>
          <w:tcPr>
            <w:tcW w:w="82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1AB2D2"/>
            </w:tcBorders>
          </w:tcPr>
          <w:p>
            <w:pPr>
              <w:ind w:left="220"/>
              <w:spacing w:after="0" w:line="180" w:lineRule="exact"/>
              <w:rPr>
                <w:sz w:val="20"/>
                <w:szCs w:val="20"/>
                <w:color w:val="auto"/>
              </w:rPr>
            </w:pPr>
            <w:r>
              <w:rPr>
                <w:rFonts w:ascii="Arial" w:cs="Arial" w:eastAsia="Arial" w:hAnsi="Arial"/>
                <w:sz w:val="16"/>
                <w:szCs w:val="16"/>
                <w:color w:val="auto"/>
              </w:rPr>
              <w:t>186,000</w:t>
            </w:r>
          </w:p>
        </w:tc>
        <w:tc>
          <w:tcPr>
            <w:tcW w:w="500" w:type="dxa"/>
            <w:vAlign w:val="bottom"/>
            <w:tcBorders>
              <w:bottom w:val="single" w:sz="8" w:color="1AB2D2"/>
            </w:tcBorders>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1AB2D2"/>
            </w:tcBorders>
          </w:tcPr>
          <w:p>
            <w:pPr>
              <w:ind w:left="480"/>
              <w:spacing w:after="0" w:line="180" w:lineRule="exact"/>
              <w:rPr>
                <w:sz w:val="20"/>
                <w:szCs w:val="20"/>
                <w:color w:val="auto"/>
              </w:rPr>
            </w:pPr>
            <w:r>
              <w:rPr>
                <w:rFonts w:ascii="Arial" w:cs="Arial" w:eastAsia="Arial" w:hAnsi="Arial"/>
                <w:sz w:val="16"/>
                <w:szCs w:val="16"/>
                <w:color w:val="auto"/>
              </w:rPr>
              <w:t>262,260</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1AB2D2"/>
            </w:tcBorders>
          </w:tcPr>
          <w:p>
            <w:pPr>
              <w:ind w:left="160"/>
              <w:spacing w:after="0" w:line="180" w:lineRule="exact"/>
              <w:rPr>
                <w:sz w:val="20"/>
                <w:szCs w:val="20"/>
                <w:color w:val="auto"/>
              </w:rPr>
            </w:pPr>
            <w:r>
              <w:rPr>
                <w:rFonts w:ascii="Arial" w:cs="Arial" w:eastAsia="Arial" w:hAnsi="Arial"/>
                <w:sz w:val="16"/>
                <w:szCs w:val="16"/>
                <w:color w:val="auto"/>
              </w:rPr>
              <w:t>Karin M. Taylor</w:t>
            </w:r>
          </w:p>
        </w:tc>
        <w:tc>
          <w:tcPr>
            <w:tcW w:w="2040" w:type="dxa"/>
            <w:vAlign w:val="bottom"/>
            <w:tcBorders>
              <w:bottom w:val="single" w:sz="8" w:color="1AB2D2"/>
            </w:tcBorders>
          </w:tcPr>
          <w:p>
            <w:pPr>
              <w:spacing w:after="0"/>
              <w:rPr>
                <w:sz w:val="15"/>
                <w:szCs w:val="15"/>
                <w:color w:val="auto"/>
              </w:rPr>
            </w:pPr>
          </w:p>
        </w:tc>
        <w:tc>
          <w:tcPr>
            <w:tcW w:w="1820" w:type="dxa"/>
            <w:vAlign w:val="bottom"/>
            <w:tcBorders>
              <w:bottom w:val="single" w:sz="8" w:color="1AB2D2"/>
            </w:tcBorders>
          </w:tcPr>
          <w:p>
            <w:pPr>
              <w:spacing w:after="0"/>
              <w:rPr>
                <w:sz w:val="15"/>
                <w:szCs w:val="15"/>
                <w:color w:val="auto"/>
              </w:rPr>
            </w:pPr>
          </w:p>
        </w:tc>
        <w:tc>
          <w:tcPr>
            <w:tcW w:w="210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40%</w:t>
            </w:r>
          </w:p>
        </w:tc>
        <w:tc>
          <w:tcPr>
            <w:tcW w:w="82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1AB2D2"/>
            </w:tcBorders>
          </w:tcPr>
          <w:p>
            <w:pPr>
              <w:ind w:left="220"/>
              <w:spacing w:after="0" w:line="180" w:lineRule="exact"/>
              <w:rPr>
                <w:sz w:val="20"/>
                <w:szCs w:val="20"/>
                <w:color w:val="auto"/>
              </w:rPr>
            </w:pPr>
            <w:r>
              <w:rPr>
                <w:rFonts w:ascii="Arial" w:cs="Arial" w:eastAsia="Arial" w:hAnsi="Arial"/>
                <w:sz w:val="16"/>
                <w:szCs w:val="16"/>
                <w:color w:val="auto"/>
              </w:rPr>
              <w:t>162,000</w:t>
            </w:r>
          </w:p>
        </w:tc>
        <w:tc>
          <w:tcPr>
            <w:tcW w:w="500" w:type="dxa"/>
            <w:vAlign w:val="bottom"/>
            <w:tcBorders>
              <w:bottom w:val="single" w:sz="8" w:color="1AB2D2"/>
            </w:tcBorders>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1AB2D2"/>
            </w:tcBorders>
          </w:tcPr>
          <w:p>
            <w:pPr>
              <w:ind w:left="480"/>
              <w:spacing w:after="0" w:line="180" w:lineRule="exact"/>
              <w:rPr>
                <w:sz w:val="20"/>
                <w:szCs w:val="20"/>
                <w:color w:val="auto"/>
              </w:rPr>
            </w:pPr>
            <w:r>
              <w:rPr>
                <w:rFonts w:ascii="Arial" w:cs="Arial" w:eastAsia="Arial" w:hAnsi="Arial"/>
                <w:sz w:val="16"/>
                <w:szCs w:val="16"/>
                <w:color w:val="auto"/>
              </w:rPr>
              <w:t>228,420</w:t>
            </w:r>
          </w:p>
        </w:tc>
        <w:tc>
          <w:tcPr>
            <w:tcW w:w="0" w:type="dxa"/>
            <w:vAlign w:val="bottom"/>
          </w:tcPr>
          <w:p>
            <w:pPr>
              <w:spacing w:after="0"/>
              <w:rPr>
                <w:sz w:val="1"/>
                <w:szCs w:val="1"/>
                <w:color w:val="auto"/>
              </w:rPr>
            </w:pPr>
          </w:p>
        </w:tc>
      </w:tr>
      <w:tr>
        <w:trPr>
          <w:trHeight w:val="180"/>
        </w:trPr>
        <w:tc>
          <w:tcPr>
            <w:tcW w:w="1880" w:type="dxa"/>
            <w:vAlign w:val="bottom"/>
            <w:tcBorders>
              <w:bottom w:val="single" w:sz="8" w:color="1AB2D2"/>
            </w:tcBorders>
          </w:tcPr>
          <w:p>
            <w:pPr>
              <w:ind w:left="160"/>
              <w:spacing w:after="0" w:line="180" w:lineRule="exact"/>
              <w:rPr>
                <w:sz w:val="20"/>
                <w:szCs w:val="20"/>
                <w:color w:val="auto"/>
              </w:rPr>
            </w:pPr>
            <w:r>
              <w:rPr>
                <w:rFonts w:ascii="Arial" w:cs="Arial" w:eastAsia="Arial" w:hAnsi="Arial"/>
                <w:sz w:val="16"/>
                <w:szCs w:val="16"/>
                <w:color w:val="auto"/>
              </w:rPr>
              <w:t>Forrest R. Wilson</w:t>
            </w:r>
          </w:p>
        </w:tc>
        <w:tc>
          <w:tcPr>
            <w:tcW w:w="2040" w:type="dxa"/>
            <w:vAlign w:val="bottom"/>
            <w:tcBorders>
              <w:bottom w:val="single" w:sz="8" w:color="1AB2D2"/>
            </w:tcBorders>
          </w:tcPr>
          <w:p>
            <w:pPr>
              <w:spacing w:after="0"/>
              <w:rPr>
                <w:sz w:val="15"/>
                <w:szCs w:val="15"/>
                <w:color w:val="auto"/>
              </w:rPr>
            </w:pPr>
          </w:p>
        </w:tc>
        <w:tc>
          <w:tcPr>
            <w:tcW w:w="1820" w:type="dxa"/>
            <w:vAlign w:val="bottom"/>
            <w:tcBorders>
              <w:bottom w:val="single" w:sz="8" w:color="1AB2D2"/>
            </w:tcBorders>
          </w:tcPr>
          <w:p>
            <w:pPr>
              <w:spacing w:after="0"/>
              <w:rPr>
                <w:sz w:val="15"/>
                <w:szCs w:val="15"/>
                <w:color w:val="auto"/>
              </w:rPr>
            </w:pPr>
          </w:p>
        </w:tc>
        <w:tc>
          <w:tcPr>
            <w:tcW w:w="210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40%</w:t>
            </w:r>
          </w:p>
        </w:tc>
        <w:tc>
          <w:tcPr>
            <w:tcW w:w="820" w:type="dxa"/>
            <w:vAlign w:val="bottom"/>
            <w:tcBorders>
              <w:bottom w:val="single" w:sz="8" w:color="1AB2D2"/>
            </w:tcBorders>
          </w:tcPr>
          <w:p>
            <w:pPr>
              <w:jc w:val="right"/>
              <w:ind w:right="480"/>
              <w:spacing w:after="0" w:line="180"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1AB2D2"/>
            </w:tcBorders>
          </w:tcPr>
          <w:p>
            <w:pPr>
              <w:ind w:left="220"/>
              <w:spacing w:after="0" w:line="180" w:lineRule="exact"/>
              <w:rPr>
                <w:sz w:val="20"/>
                <w:szCs w:val="20"/>
                <w:color w:val="auto"/>
              </w:rPr>
            </w:pPr>
            <w:r>
              <w:rPr>
                <w:rFonts w:ascii="Arial" w:cs="Arial" w:eastAsia="Arial" w:hAnsi="Arial"/>
                <w:sz w:val="16"/>
                <w:szCs w:val="16"/>
                <w:color w:val="auto"/>
              </w:rPr>
              <w:t>156,000</w:t>
            </w:r>
          </w:p>
        </w:tc>
        <w:tc>
          <w:tcPr>
            <w:tcW w:w="500" w:type="dxa"/>
            <w:vAlign w:val="bottom"/>
            <w:tcBorders>
              <w:bottom w:val="single" w:sz="8" w:color="1AB2D2"/>
            </w:tcBorders>
          </w:tcPr>
          <w:p>
            <w:pPr>
              <w:jc w:val="right"/>
              <w:ind w:right="240"/>
              <w:spacing w:after="0" w:line="180"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1AB2D2"/>
            </w:tcBorders>
          </w:tcPr>
          <w:p>
            <w:pPr>
              <w:ind w:left="480"/>
              <w:spacing w:after="0" w:line="180" w:lineRule="exact"/>
              <w:rPr>
                <w:sz w:val="20"/>
                <w:szCs w:val="20"/>
                <w:color w:val="auto"/>
              </w:rPr>
            </w:pPr>
            <w:r>
              <w:rPr>
                <w:rFonts w:ascii="Arial" w:cs="Arial" w:eastAsia="Arial" w:hAnsi="Arial"/>
                <w:sz w:val="16"/>
                <w:szCs w:val="16"/>
                <w:color w:val="auto"/>
              </w:rPr>
              <w:t>219,960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593090" cy="1187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2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4620" w:type="dxa"/>
            <w:vAlign w:val="bottom"/>
          </w:tcPr>
          <w:p>
            <w:pPr>
              <w:jc w:val="right"/>
              <w:spacing w:after="0"/>
              <w:rPr>
                <w:sz w:val="20"/>
                <w:szCs w:val="20"/>
                <w:color w:val="auto"/>
              </w:rPr>
            </w:pPr>
            <w:r>
              <w:rPr>
                <w:rFonts w:ascii="Calibri" w:cs="Calibri" w:eastAsia="Calibri" w:hAnsi="Calibri"/>
                <w:sz w:val="12"/>
                <w:szCs w:val="12"/>
                <w:color w:val="auto"/>
              </w:rPr>
              <w:t>25</w:t>
            </w:r>
          </w:p>
        </w:tc>
        <w:tc>
          <w:tcPr>
            <w:tcW w:w="0" w:type="dxa"/>
            <w:vAlign w:val="bottom"/>
          </w:tcPr>
          <w:p>
            <w:pPr>
              <w:spacing w:after="0"/>
              <w:rPr>
                <w:sz w:val="1"/>
                <w:szCs w:val="1"/>
                <w:color w:val="auto"/>
              </w:rPr>
            </w:pPr>
          </w:p>
        </w:tc>
      </w:tr>
      <w:tr>
        <w:trPr>
          <w:trHeight w:val="40"/>
        </w:trPr>
        <w:tc>
          <w:tcPr>
            <w:tcW w:w="6620" w:type="dxa"/>
            <w:vAlign w:val="bottom"/>
            <w:vMerge w:val="continue"/>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6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1AB2D2"/>
        </w:rPr>
        <w:t>EQUITY AWARDS – LONG-TERM INCENTIVE PLAN</w:t>
      </w:r>
    </w:p>
    <w:p>
      <w:pPr>
        <w:spacing w:after="0" w:line="76"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NEOs are eligible for long-term equity incentive awards under the Alerus Financial Corporation Long-Term Incentive Plan (the “</w:t>
      </w:r>
      <w:r>
        <w:rPr>
          <w:rFonts w:ascii="Arial" w:cs="Arial" w:eastAsia="Arial" w:hAnsi="Arial"/>
          <w:sz w:val="16"/>
          <w:szCs w:val="16"/>
          <w:b w:val="1"/>
          <w:bCs w:val="1"/>
          <w:color w:val="auto"/>
        </w:rPr>
        <w:t>LTI Plan</w:t>
      </w:r>
      <w:r>
        <w:rPr>
          <w:rFonts w:ascii="Arial" w:cs="Arial" w:eastAsia="Arial" w:hAnsi="Arial"/>
          <w:sz w:val="16"/>
          <w:szCs w:val="16"/>
          <w:color w:val="auto"/>
        </w:rPr>
        <w:t>”). The equity incentive awards due pursuant to the LTI Plan are granted under the Company’s 2019 Equity Incentive Plan. The purpose of the LTI Plan is to enhance Company performance consistent with our corporate strategic values, focus our executives on long-term performance results consistent with the Company’s long-term strategic plan, strengthen the link between executive pay and performance through utilization of measurable Company goals, and strengthen the link between executives and our stockholders by creating a shared interest in the Company’s growth. Awards under the LTI Plan consist of performance-based and time-based restricted stock units rather than cash to provide for additional alignment with the stockholders and Company performance over the performance period.</w:t>
      </w:r>
    </w:p>
    <w:p>
      <w:pPr>
        <w:spacing w:after="0" w:line="18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Committee establishes a threshold, target, and maximum award for each NEO, which is stated as a percentage of annual base salary. In 2025, 60% of the target award was delivered in the form of performance-based restricted stock units that are eligible to vest, if at least threshold performance metrics are achieved, based on the results of a three-year performance period starting January 1, 2025, and ending December 31, 2027, and 40% of the target award was delivered in the form of time-based restricted stock units that vest following a three-year vesting period ending February 26, 2028. Our award agreements provide that upon the expiration of a three-year performance-measuring period, participants will vest in a portion of the award relative to the performance of companies in the KBW Regional Bank Index at the start of the three-year performance period. The two performance measures, equally weighted, are relative three-year cumulative EPS CAGR growth and relative three-year Average Return on Equity. With respect to the performance-based restricted stock units, the maximum an NEO can earn is 150% of the target opportunity, and the minimum an NEO can earn is 50% of the target opportunity. For performance below the threshold level, no incentive is earned. Award payouts for performance between the threshold and target, or for performance between the target and maximum is determined by linear interpolation.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target and award payout ranges for the performance-based restricted stock units granted during 2025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shd w:val="clear" w:color="auto" w:fill="062B48"/>
          </w:tcPr>
          <w:p>
            <w:pPr>
              <w:spacing w:after="0"/>
              <w:rPr>
                <w:sz w:val="16"/>
                <w:szCs w:val="16"/>
                <w:color w:val="auto"/>
              </w:rPr>
            </w:pPr>
          </w:p>
        </w:tc>
        <w:tc>
          <w:tcPr>
            <w:tcW w:w="960" w:type="dxa"/>
            <w:vAlign w:val="bottom"/>
            <w:shd w:val="clear" w:color="auto" w:fill="062B48"/>
          </w:tcPr>
          <w:p>
            <w:pPr>
              <w:spacing w:after="0"/>
              <w:rPr>
                <w:sz w:val="16"/>
                <w:szCs w:val="16"/>
                <w:color w:val="auto"/>
              </w:rPr>
            </w:pPr>
          </w:p>
        </w:tc>
        <w:tc>
          <w:tcPr>
            <w:tcW w:w="3100" w:type="dxa"/>
            <w:vAlign w:val="bottom"/>
            <w:gridSpan w:val="3"/>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PERCENTILE VS. KBW NASDAQ BANK INDEX</w:t>
            </w:r>
          </w:p>
        </w:tc>
        <w:tc>
          <w:tcPr>
            <w:tcW w:w="3240" w:type="dxa"/>
            <w:vAlign w:val="bottom"/>
            <w:gridSpan w:val="3"/>
            <w:shd w:val="clear" w:color="auto" w:fill="062B48"/>
          </w:tcPr>
          <w:p>
            <w:pPr>
              <w:jc w:val="center"/>
              <w:ind w:left="169"/>
              <w:spacing w:after="0"/>
              <w:rPr>
                <w:sz w:val="20"/>
                <w:szCs w:val="20"/>
                <w:color w:val="auto"/>
              </w:rPr>
            </w:pPr>
            <w:r>
              <w:rPr>
                <w:rFonts w:ascii="Calibri" w:cs="Calibri" w:eastAsia="Calibri" w:hAnsi="Calibri"/>
                <w:sz w:val="14"/>
                <w:szCs w:val="14"/>
                <w:b w:val="1"/>
                <w:bCs w:val="1"/>
                <w:color w:val="FFFFFF"/>
                <w:w w:val="99"/>
              </w:rPr>
              <w:t>PAYOUT AS A % OF AWARD TARGET</w:t>
            </w:r>
          </w:p>
        </w:tc>
      </w:tr>
      <w:tr>
        <w:trPr>
          <w:trHeight w:val="205"/>
        </w:trPr>
        <w:tc>
          <w:tcPr>
            <w:tcW w:w="3940" w:type="dxa"/>
            <w:vAlign w:val="bottom"/>
            <w:tcBorders>
              <w:bottom w:val="single" w:sz="8" w:color="062B48"/>
            </w:tcBorders>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PERFORMANCE METRIC</w:t>
            </w:r>
          </w:p>
        </w:tc>
        <w:tc>
          <w:tcPr>
            <w:tcW w:w="96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WEIGHT</w:t>
            </w:r>
          </w:p>
        </w:tc>
        <w:tc>
          <w:tcPr>
            <w:tcW w:w="114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THRESHOLD</w:t>
            </w:r>
          </w:p>
        </w:tc>
        <w:tc>
          <w:tcPr>
            <w:tcW w:w="90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5"/>
              </w:rPr>
              <w:t>TARGET</w:t>
            </w:r>
          </w:p>
        </w:tc>
        <w:tc>
          <w:tcPr>
            <w:tcW w:w="106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MAXIMUM</w:t>
            </w:r>
          </w:p>
        </w:tc>
        <w:tc>
          <w:tcPr>
            <w:tcW w:w="1300" w:type="dxa"/>
            <w:vAlign w:val="bottom"/>
            <w:tcBorders>
              <w:bottom w:val="single" w:sz="8" w:color="062B48"/>
            </w:tcBorders>
            <w:shd w:val="clear" w:color="auto" w:fill="062B48"/>
          </w:tcPr>
          <w:p>
            <w:pPr>
              <w:jc w:val="center"/>
              <w:ind w:left="89"/>
              <w:spacing w:after="0"/>
              <w:rPr>
                <w:sz w:val="20"/>
                <w:szCs w:val="20"/>
                <w:color w:val="auto"/>
              </w:rPr>
            </w:pPr>
            <w:r>
              <w:rPr>
                <w:rFonts w:ascii="Calibri" w:cs="Calibri" w:eastAsia="Calibri" w:hAnsi="Calibri"/>
                <w:sz w:val="14"/>
                <w:szCs w:val="14"/>
                <w:b w:val="1"/>
                <w:bCs w:val="1"/>
                <w:color w:val="FFFFFF"/>
                <w:w w:val="99"/>
              </w:rPr>
              <w:t>THRESHOLD</w:t>
            </w:r>
          </w:p>
        </w:tc>
        <w:tc>
          <w:tcPr>
            <w:tcW w:w="88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5"/>
              </w:rPr>
              <w:t>TARGET</w:t>
            </w:r>
          </w:p>
        </w:tc>
        <w:tc>
          <w:tcPr>
            <w:tcW w:w="1060" w:type="dxa"/>
            <w:vAlign w:val="bottom"/>
            <w:tcBorders>
              <w:bottom w:val="single" w:sz="8" w:color="062B48"/>
            </w:tcBorders>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MAXIMUM</w:t>
            </w:r>
          </w:p>
        </w:tc>
      </w:tr>
      <w:tr>
        <w:trPr>
          <w:trHeight w:val="169"/>
        </w:trPr>
        <w:tc>
          <w:tcPr>
            <w:tcW w:w="3940" w:type="dxa"/>
            <w:vAlign w:val="bottom"/>
          </w:tcPr>
          <w:p>
            <w:pPr>
              <w:ind w:left="160"/>
              <w:spacing w:after="0" w:line="169" w:lineRule="exact"/>
              <w:rPr>
                <w:sz w:val="20"/>
                <w:szCs w:val="20"/>
                <w:color w:val="auto"/>
              </w:rPr>
            </w:pPr>
            <w:r>
              <w:rPr>
                <w:rFonts w:ascii="Calibri" w:cs="Calibri" w:eastAsia="Calibri" w:hAnsi="Calibri"/>
                <w:sz w:val="14"/>
                <w:szCs w:val="14"/>
                <w:color w:val="auto"/>
              </w:rPr>
              <w:t>Relatve three-year cumulatve EPS CAGR growth</w:t>
            </w:r>
          </w:p>
        </w:tc>
        <w:tc>
          <w:tcPr>
            <w:tcW w:w="960" w:type="dxa"/>
            <w:vAlign w:val="bottom"/>
          </w:tcPr>
          <w:p>
            <w:pPr>
              <w:jc w:val="center"/>
              <w:spacing w:after="0" w:line="169" w:lineRule="exact"/>
              <w:rPr>
                <w:sz w:val="20"/>
                <w:szCs w:val="20"/>
                <w:color w:val="auto"/>
              </w:rPr>
            </w:pPr>
            <w:r>
              <w:rPr>
                <w:rFonts w:ascii="Calibri" w:cs="Calibri" w:eastAsia="Calibri" w:hAnsi="Calibri"/>
                <w:sz w:val="14"/>
                <w:szCs w:val="14"/>
                <w:color w:val="auto"/>
              </w:rPr>
              <w:t>50%</w:t>
            </w:r>
          </w:p>
        </w:tc>
        <w:tc>
          <w:tcPr>
            <w:tcW w:w="114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25th</w:t>
            </w:r>
          </w:p>
        </w:tc>
        <w:tc>
          <w:tcPr>
            <w:tcW w:w="900" w:type="dxa"/>
            <w:vAlign w:val="bottom"/>
          </w:tcPr>
          <w:p>
            <w:pPr>
              <w:jc w:val="center"/>
              <w:spacing w:after="0" w:line="169" w:lineRule="exact"/>
              <w:rPr>
                <w:sz w:val="20"/>
                <w:szCs w:val="20"/>
                <w:color w:val="auto"/>
              </w:rPr>
            </w:pPr>
            <w:r>
              <w:rPr>
                <w:rFonts w:ascii="Calibri" w:cs="Calibri" w:eastAsia="Calibri" w:hAnsi="Calibri"/>
                <w:sz w:val="14"/>
                <w:szCs w:val="14"/>
                <w:color w:val="auto"/>
              </w:rPr>
              <w:t>50th</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color w:val="auto"/>
                <w:w w:val="98"/>
              </w:rPr>
              <w:t>75th</w:t>
            </w:r>
          </w:p>
        </w:tc>
        <w:tc>
          <w:tcPr>
            <w:tcW w:w="1300" w:type="dxa"/>
            <w:vAlign w:val="bottom"/>
          </w:tcPr>
          <w:p>
            <w:pPr>
              <w:jc w:val="center"/>
              <w:ind w:left="109"/>
              <w:spacing w:after="0" w:line="169" w:lineRule="exact"/>
              <w:rPr>
                <w:sz w:val="20"/>
                <w:szCs w:val="20"/>
                <w:color w:val="auto"/>
              </w:rPr>
            </w:pPr>
            <w:r>
              <w:rPr>
                <w:rFonts w:ascii="Calibri" w:cs="Calibri" w:eastAsia="Calibri" w:hAnsi="Calibri"/>
                <w:sz w:val="14"/>
                <w:szCs w:val="14"/>
                <w:color w:val="auto"/>
                <w:w w:val="98"/>
              </w:rPr>
              <w:t>50%</w:t>
            </w:r>
          </w:p>
        </w:tc>
        <w:tc>
          <w:tcPr>
            <w:tcW w:w="880" w:type="dxa"/>
            <w:vAlign w:val="bottom"/>
          </w:tcPr>
          <w:p>
            <w:pPr>
              <w:jc w:val="center"/>
              <w:spacing w:after="0" w:line="169" w:lineRule="exact"/>
              <w:rPr>
                <w:sz w:val="20"/>
                <w:szCs w:val="20"/>
                <w:color w:val="auto"/>
              </w:rPr>
            </w:pPr>
            <w:r>
              <w:rPr>
                <w:rFonts w:ascii="Calibri" w:cs="Calibri" w:eastAsia="Calibri" w:hAnsi="Calibri"/>
                <w:sz w:val="14"/>
                <w:szCs w:val="14"/>
                <w:color w:val="auto"/>
              </w:rPr>
              <w:t>100%</w:t>
            </w:r>
          </w:p>
        </w:tc>
        <w:tc>
          <w:tcPr>
            <w:tcW w:w="1060" w:type="dxa"/>
            <w:vAlign w:val="bottom"/>
          </w:tcPr>
          <w:p>
            <w:pPr>
              <w:jc w:val="center"/>
              <w:spacing w:after="0" w:line="169" w:lineRule="exact"/>
              <w:rPr>
                <w:sz w:val="20"/>
                <w:szCs w:val="20"/>
                <w:color w:val="auto"/>
              </w:rPr>
            </w:pPr>
            <w:r>
              <w:rPr>
                <w:rFonts w:ascii="Calibri" w:cs="Calibri" w:eastAsia="Calibri" w:hAnsi="Calibri"/>
                <w:sz w:val="14"/>
                <w:szCs w:val="14"/>
                <w:color w:val="auto"/>
              </w:rPr>
              <w:t>150%</w:t>
            </w:r>
          </w:p>
        </w:tc>
      </w:tr>
      <w:tr>
        <w:trPr>
          <w:trHeight w:val="31"/>
        </w:trPr>
        <w:tc>
          <w:tcPr>
            <w:tcW w:w="3940" w:type="dxa"/>
            <w:vAlign w:val="bottom"/>
            <w:tcBorders>
              <w:bottom w:val="single" w:sz="8" w:color="1AB2D2"/>
            </w:tcBorders>
          </w:tcPr>
          <w:p>
            <w:pPr>
              <w:spacing w:after="0"/>
              <w:rPr>
                <w:sz w:val="2"/>
                <w:szCs w:val="2"/>
                <w:color w:val="auto"/>
              </w:rPr>
            </w:pPr>
          </w:p>
        </w:tc>
        <w:tc>
          <w:tcPr>
            <w:tcW w:w="96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130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r>
      <w:tr>
        <w:trPr>
          <w:trHeight w:val="162"/>
        </w:trPr>
        <w:tc>
          <w:tcPr>
            <w:tcW w:w="3940" w:type="dxa"/>
            <w:vAlign w:val="bottom"/>
          </w:tcPr>
          <w:p>
            <w:pPr>
              <w:ind w:left="160"/>
              <w:spacing w:after="0" w:line="162" w:lineRule="exact"/>
              <w:rPr>
                <w:sz w:val="20"/>
                <w:szCs w:val="20"/>
                <w:color w:val="auto"/>
              </w:rPr>
            </w:pPr>
            <w:r>
              <w:rPr>
                <w:rFonts w:ascii="Calibri" w:cs="Calibri" w:eastAsia="Calibri" w:hAnsi="Calibri"/>
                <w:sz w:val="14"/>
                <w:szCs w:val="14"/>
                <w:color w:val="auto"/>
              </w:rPr>
              <w:t>Relatve three-year Average Return on Equity</w:t>
            </w:r>
          </w:p>
        </w:tc>
        <w:tc>
          <w:tcPr>
            <w:tcW w:w="960" w:type="dxa"/>
            <w:vAlign w:val="bottom"/>
          </w:tcPr>
          <w:p>
            <w:pPr>
              <w:jc w:val="center"/>
              <w:spacing w:after="0" w:line="162" w:lineRule="exact"/>
              <w:rPr>
                <w:sz w:val="20"/>
                <w:szCs w:val="20"/>
                <w:color w:val="auto"/>
              </w:rPr>
            </w:pPr>
            <w:r>
              <w:rPr>
                <w:rFonts w:ascii="Calibri" w:cs="Calibri" w:eastAsia="Calibri" w:hAnsi="Calibri"/>
                <w:sz w:val="14"/>
                <w:szCs w:val="14"/>
                <w:color w:val="auto"/>
              </w:rPr>
              <w:t>50%</w:t>
            </w:r>
          </w:p>
        </w:tc>
        <w:tc>
          <w:tcPr>
            <w:tcW w:w="1140" w:type="dxa"/>
            <w:vAlign w:val="bottom"/>
          </w:tcPr>
          <w:p>
            <w:pPr>
              <w:jc w:val="center"/>
              <w:spacing w:after="0" w:line="162" w:lineRule="exact"/>
              <w:rPr>
                <w:sz w:val="20"/>
                <w:szCs w:val="20"/>
                <w:color w:val="auto"/>
              </w:rPr>
            </w:pPr>
            <w:r>
              <w:rPr>
                <w:rFonts w:ascii="Calibri" w:cs="Calibri" w:eastAsia="Calibri" w:hAnsi="Calibri"/>
                <w:sz w:val="14"/>
                <w:szCs w:val="14"/>
                <w:color w:val="auto"/>
                <w:w w:val="98"/>
              </w:rPr>
              <w:t>25th</w:t>
            </w:r>
          </w:p>
        </w:tc>
        <w:tc>
          <w:tcPr>
            <w:tcW w:w="900" w:type="dxa"/>
            <w:vAlign w:val="bottom"/>
          </w:tcPr>
          <w:p>
            <w:pPr>
              <w:jc w:val="center"/>
              <w:spacing w:after="0" w:line="162" w:lineRule="exact"/>
              <w:rPr>
                <w:sz w:val="20"/>
                <w:szCs w:val="20"/>
                <w:color w:val="auto"/>
              </w:rPr>
            </w:pPr>
            <w:r>
              <w:rPr>
                <w:rFonts w:ascii="Calibri" w:cs="Calibri" w:eastAsia="Calibri" w:hAnsi="Calibri"/>
                <w:sz w:val="14"/>
                <w:szCs w:val="14"/>
                <w:color w:val="auto"/>
              </w:rPr>
              <w:t>50th</w:t>
            </w:r>
          </w:p>
        </w:tc>
        <w:tc>
          <w:tcPr>
            <w:tcW w:w="1060" w:type="dxa"/>
            <w:vAlign w:val="bottom"/>
          </w:tcPr>
          <w:p>
            <w:pPr>
              <w:jc w:val="center"/>
              <w:spacing w:after="0" w:line="162" w:lineRule="exact"/>
              <w:rPr>
                <w:sz w:val="20"/>
                <w:szCs w:val="20"/>
                <w:color w:val="auto"/>
              </w:rPr>
            </w:pPr>
            <w:r>
              <w:rPr>
                <w:rFonts w:ascii="Calibri" w:cs="Calibri" w:eastAsia="Calibri" w:hAnsi="Calibri"/>
                <w:sz w:val="14"/>
                <w:szCs w:val="14"/>
                <w:color w:val="auto"/>
                <w:w w:val="98"/>
              </w:rPr>
              <w:t>75th</w:t>
            </w:r>
          </w:p>
        </w:tc>
        <w:tc>
          <w:tcPr>
            <w:tcW w:w="1300" w:type="dxa"/>
            <w:vAlign w:val="bottom"/>
          </w:tcPr>
          <w:p>
            <w:pPr>
              <w:jc w:val="center"/>
              <w:ind w:left="109"/>
              <w:spacing w:after="0" w:line="162" w:lineRule="exact"/>
              <w:rPr>
                <w:sz w:val="20"/>
                <w:szCs w:val="20"/>
                <w:color w:val="auto"/>
              </w:rPr>
            </w:pPr>
            <w:r>
              <w:rPr>
                <w:rFonts w:ascii="Calibri" w:cs="Calibri" w:eastAsia="Calibri" w:hAnsi="Calibri"/>
                <w:sz w:val="14"/>
                <w:szCs w:val="14"/>
                <w:color w:val="auto"/>
                <w:w w:val="98"/>
              </w:rPr>
              <w:t>50%</w:t>
            </w:r>
          </w:p>
        </w:tc>
        <w:tc>
          <w:tcPr>
            <w:tcW w:w="880" w:type="dxa"/>
            <w:vAlign w:val="bottom"/>
          </w:tcPr>
          <w:p>
            <w:pPr>
              <w:jc w:val="center"/>
              <w:spacing w:after="0" w:line="162" w:lineRule="exact"/>
              <w:rPr>
                <w:sz w:val="20"/>
                <w:szCs w:val="20"/>
                <w:color w:val="auto"/>
              </w:rPr>
            </w:pPr>
            <w:r>
              <w:rPr>
                <w:rFonts w:ascii="Calibri" w:cs="Calibri" w:eastAsia="Calibri" w:hAnsi="Calibri"/>
                <w:sz w:val="14"/>
                <w:szCs w:val="14"/>
                <w:color w:val="auto"/>
              </w:rPr>
              <w:t>100%</w:t>
            </w:r>
          </w:p>
        </w:tc>
        <w:tc>
          <w:tcPr>
            <w:tcW w:w="1060" w:type="dxa"/>
            <w:vAlign w:val="bottom"/>
          </w:tcPr>
          <w:p>
            <w:pPr>
              <w:jc w:val="center"/>
              <w:spacing w:after="0" w:line="162" w:lineRule="exact"/>
              <w:rPr>
                <w:sz w:val="20"/>
                <w:szCs w:val="20"/>
                <w:color w:val="auto"/>
              </w:rPr>
            </w:pPr>
            <w:r>
              <w:rPr>
                <w:rFonts w:ascii="Calibri" w:cs="Calibri" w:eastAsia="Calibri" w:hAnsi="Calibri"/>
                <w:sz w:val="14"/>
                <w:szCs w:val="14"/>
                <w:color w:val="auto"/>
              </w:rPr>
              <w:t>150%</w:t>
            </w:r>
          </w:p>
        </w:tc>
      </w:tr>
      <w:tr>
        <w:trPr>
          <w:trHeight w:val="31"/>
        </w:trPr>
        <w:tc>
          <w:tcPr>
            <w:tcW w:w="3940" w:type="dxa"/>
            <w:vAlign w:val="bottom"/>
            <w:tcBorders>
              <w:bottom w:val="single" w:sz="8" w:color="1AB2D2"/>
            </w:tcBorders>
          </w:tcPr>
          <w:p>
            <w:pPr>
              <w:spacing w:after="0"/>
              <w:rPr>
                <w:sz w:val="2"/>
                <w:szCs w:val="2"/>
                <w:color w:val="auto"/>
              </w:rPr>
            </w:pPr>
          </w:p>
        </w:tc>
        <w:tc>
          <w:tcPr>
            <w:tcW w:w="96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c>
          <w:tcPr>
            <w:tcW w:w="130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060" w:type="dxa"/>
            <w:vAlign w:val="bottom"/>
            <w:tcBorders>
              <w:bottom w:val="single" w:sz="8" w:color="1AB2D2"/>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3147695</wp:posOffset>
            </wp:positionH>
            <wp:positionV relativeFrom="paragraph">
              <wp:posOffset>-405765</wp:posOffset>
            </wp:positionV>
            <wp:extent cx="39903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90340"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In 2025, the target LTI Plan awards were: 70% of base salary for Ms. Lorenson, 45% for Mr. Villalon, and 40% for each of Mr. Collins, Ms. Taylor, and Mr.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Wilson. The terms of the 2019 Equity Incentive Plan are described in more detail below.</w:t>
      </w:r>
    </w:p>
    <w:p>
      <w:pPr>
        <w:spacing w:after="0" w:line="20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Prior to 2024, the LTI Plan performance metric was cumulative net income (“</w:t>
      </w:r>
      <w:r>
        <w:rPr>
          <w:rFonts w:ascii="Arial" w:cs="Arial" w:eastAsia="Arial" w:hAnsi="Arial"/>
          <w:sz w:val="16"/>
          <w:szCs w:val="16"/>
          <w:b w:val="1"/>
          <w:bCs w:val="1"/>
          <w:color w:val="auto"/>
        </w:rPr>
        <w:t>Cumulative Net Income</w:t>
      </w:r>
      <w:r>
        <w:rPr>
          <w:rFonts w:ascii="Arial" w:cs="Arial" w:eastAsia="Arial" w:hAnsi="Arial"/>
          <w:sz w:val="16"/>
          <w:szCs w:val="16"/>
          <w:color w:val="auto"/>
        </w:rPr>
        <w:t>”), a non-GAAP financial measure, which the Compensation Committee calculated by totaling 2023 ANI, 2024 ANI, and 2025 ANI. Among other terms, these awards provide that upon the expiration of a three-year performance-measuring period, participants are eligible to vest in a portion of the award relative to attainment of the Company’s target Cumulative Net Income goal. The maximum an NEO can earn is 150% of the target opportunity, and the minimum an NEO can earn is 50% of the target opportunity. For performance below the threshold, no incentive is earned. Award payouts for performance between the threshold and target, or for performance between the target and maximum, are determined by linear interpolation.</w:t>
      </w:r>
    </w:p>
    <w:p>
      <w:pPr>
        <w:spacing w:after="0" w:line="158"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To calculate 2024 Adjusted Net Income (“</w:t>
      </w:r>
      <w:r>
        <w:rPr>
          <w:rFonts w:ascii="Arial" w:cs="Arial" w:eastAsia="Arial" w:hAnsi="Arial"/>
          <w:sz w:val="16"/>
          <w:szCs w:val="16"/>
          <w:b w:val="1"/>
          <w:bCs w:val="1"/>
          <w:color w:val="auto"/>
        </w:rPr>
        <w:t>2024 ANI</w:t>
      </w:r>
      <w:r>
        <w:rPr>
          <w:rFonts w:ascii="Arial" w:cs="Arial" w:eastAsia="Arial" w:hAnsi="Arial"/>
          <w:sz w:val="16"/>
          <w:szCs w:val="16"/>
          <w:color w:val="auto"/>
        </w:rPr>
        <w:t>”), the Compensation Committee started with 2024 GAAP net income and excluded one-time, merger and acquisition expenses related to the HMNF acquisition, and other severance and signing bonus expense. To calculate 2023 Adjusted Net Income (“</w:t>
      </w:r>
      <w:r>
        <w:rPr>
          <w:rFonts w:ascii="Arial" w:cs="Arial" w:eastAsia="Arial" w:hAnsi="Arial"/>
          <w:sz w:val="16"/>
          <w:szCs w:val="16"/>
          <w:b w:val="1"/>
          <w:bCs w:val="1"/>
          <w:color w:val="auto"/>
        </w:rPr>
        <w:t>2023</w:t>
      </w:r>
      <w:r>
        <w:rPr>
          <w:rFonts w:ascii="Arial" w:cs="Arial" w:eastAsia="Arial" w:hAnsi="Arial"/>
          <w:sz w:val="16"/>
          <w:szCs w:val="16"/>
          <w:color w:val="auto"/>
        </w:rPr>
        <w:t xml:space="preserve"> </w:t>
      </w:r>
      <w:r>
        <w:rPr>
          <w:rFonts w:ascii="Arial" w:cs="Arial" w:eastAsia="Arial" w:hAnsi="Arial"/>
          <w:sz w:val="16"/>
          <w:szCs w:val="16"/>
          <w:b w:val="1"/>
          <w:bCs w:val="1"/>
          <w:color w:val="auto"/>
        </w:rPr>
        <w:t>ANI</w:t>
      </w:r>
      <w:r>
        <w:rPr>
          <w:rFonts w:ascii="Arial" w:cs="Arial" w:eastAsia="Arial" w:hAnsi="Arial"/>
          <w:sz w:val="16"/>
          <w:szCs w:val="16"/>
          <w:color w:val="auto"/>
        </w:rPr>
        <w:t>”), the Compensation Committee started with 2023 GAAP net income and excluded loss on an investment securities sale during 2023, excluded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and signing bonus expense, and adjusted for a tax adjustment related to the Metro Phoenix Bank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performance target for the 2023-2025 performance-based restricted stock units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shd w:val="clear" w:color="auto" w:fill="062B48"/>
          </w:tcPr>
          <w:p>
            <w:pPr>
              <w:spacing w:after="0"/>
              <w:rPr>
                <w:sz w:val="16"/>
                <w:szCs w:val="16"/>
                <w:color w:val="auto"/>
              </w:rPr>
            </w:pPr>
          </w:p>
        </w:tc>
        <w:tc>
          <w:tcPr>
            <w:tcW w:w="2420" w:type="dxa"/>
            <w:vAlign w:val="bottom"/>
            <w:shd w:val="clear" w:color="auto" w:fill="062B48"/>
          </w:tcPr>
          <w:p>
            <w:pPr>
              <w:spacing w:after="0"/>
              <w:rPr>
                <w:sz w:val="16"/>
                <w:szCs w:val="16"/>
                <w:color w:val="auto"/>
              </w:rPr>
            </w:pPr>
          </w:p>
        </w:tc>
        <w:tc>
          <w:tcPr>
            <w:tcW w:w="1980" w:type="dxa"/>
            <w:vAlign w:val="bottom"/>
            <w:shd w:val="clear" w:color="auto" w:fill="062B48"/>
          </w:tcPr>
          <w:p>
            <w:pPr>
              <w:spacing w:after="0"/>
              <w:rPr>
                <w:sz w:val="16"/>
                <w:szCs w:val="16"/>
                <w:color w:val="auto"/>
              </w:rPr>
            </w:pPr>
          </w:p>
        </w:tc>
        <w:tc>
          <w:tcPr>
            <w:tcW w:w="2600" w:type="dxa"/>
            <w:vAlign w:val="bottom"/>
            <w:shd w:val="clear" w:color="auto" w:fill="062B48"/>
          </w:tcPr>
          <w:p>
            <w:pPr>
              <w:spacing w:after="0"/>
              <w:rPr>
                <w:sz w:val="16"/>
                <w:szCs w:val="16"/>
                <w:color w:val="auto"/>
              </w:rPr>
            </w:pPr>
          </w:p>
        </w:tc>
        <w:tc>
          <w:tcPr>
            <w:tcW w:w="1860" w:type="dxa"/>
            <w:vAlign w:val="bottom"/>
            <w:shd w:val="clear" w:color="auto" w:fill="062B48"/>
          </w:tcPr>
          <w:p>
            <w:pPr>
              <w:jc w:val="center"/>
              <w:ind w:right="84"/>
              <w:spacing w:after="0"/>
              <w:rPr>
                <w:sz w:val="20"/>
                <w:szCs w:val="20"/>
                <w:color w:val="auto"/>
              </w:rPr>
            </w:pPr>
            <w:r>
              <w:rPr>
                <w:rFonts w:ascii="Arial" w:cs="Arial" w:eastAsia="Arial" w:hAnsi="Arial"/>
                <w:sz w:val="16"/>
                <w:szCs w:val="16"/>
                <w:b w:val="1"/>
                <w:bCs w:val="1"/>
                <w:color w:val="FFFFFF"/>
              </w:rPr>
              <w:t>ACTUAL</w:t>
            </w:r>
          </w:p>
        </w:tc>
        <w:tc>
          <w:tcPr>
            <w:tcW w:w="0" w:type="dxa"/>
            <w:vAlign w:val="bottom"/>
          </w:tcPr>
          <w:p>
            <w:pPr>
              <w:spacing w:after="0"/>
              <w:rPr>
                <w:sz w:val="1"/>
                <w:szCs w:val="1"/>
                <w:color w:val="auto"/>
              </w:rPr>
            </w:pPr>
          </w:p>
        </w:tc>
      </w:tr>
      <w:tr>
        <w:trPr>
          <w:trHeight w:val="201"/>
        </w:trPr>
        <w:tc>
          <w:tcPr>
            <w:tcW w:w="2380" w:type="dxa"/>
            <w:vAlign w:val="bottom"/>
            <w:shd w:val="clear" w:color="auto" w:fill="062B48"/>
          </w:tcPr>
          <w:p>
            <w:pPr>
              <w:ind w:left="160"/>
              <w:spacing w:after="0"/>
              <w:rPr>
                <w:sz w:val="20"/>
                <w:szCs w:val="20"/>
                <w:color w:val="auto"/>
              </w:rPr>
            </w:pPr>
            <w:r>
              <w:rPr>
                <w:rFonts w:ascii="Arial" w:cs="Arial" w:eastAsia="Arial" w:hAnsi="Arial"/>
                <w:sz w:val="16"/>
                <w:szCs w:val="16"/>
                <w:b w:val="1"/>
                <w:bCs w:val="1"/>
                <w:color w:val="FFFFFF"/>
              </w:rPr>
              <w:t>PERFORMANCE METRIC</w:t>
            </w:r>
          </w:p>
        </w:tc>
        <w:tc>
          <w:tcPr>
            <w:tcW w:w="242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w w:val="98"/>
              </w:rPr>
              <w:t>THRESHOLD</w:t>
            </w:r>
          </w:p>
        </w:tc>
        <w:tc>
          <w:tcPr>
            <w:tcW w:w="198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w w:val="97"/>
              </w:rPr>
              <w:t>TARGET</w:t>
            </w:r>
          </w:p>
        </w:tc>
        <w:tc>
          <w:tcPr>
            <w:tcW w:w="2600" w:type="dxa"/>
            <w:vAlign w:val="bottom"/>
            <w:shd w:val="clear" w:color="auto" w:fill="062B48"/>
          </w:tcPr>
          <w:p>
            <w:pPr>
              <w:jc w:val="center"/>
              <w:spacing w:after="0"/>
              <w:rPr>
                <w:sz w:val="20"/>
                <w:szCs w:val="20"/>
                <w:color w:val="auto"/>
              </w:rPr>
            </w:pPr>
            <w:r>
              <w:rPr>
                <w:rFonts w:ascii="Arial" w:cs="Arial" w:eastAsia="Arial" w:hAnsi="Arial"/>
                <w:sz w:val="16"/>
                <w:szCs w:val="16"/>
                <w:b w:val="1"/>
                <w:bCs w:val="1"/>
                <w:color w:val="FFFFFF"/>
              </w:rPr>
              <w:t>MAXIMUM</w:t>
            </w:r>
          </w:p>
        </w:tc>
        <w:tc>
          <w:tcPr>
            <w:tcW w:w="1860" w:type="dxa"/>
            <w:vAlign w:val="bottom"/>
            <w:shd w:val="clear" w:color="auto" w:fill="062B48"/>
          </w:tcPr>
          <w:p>
            <w:pPr>
              <w:jc w:val="center"/>
              <w:ind w:right="84"/>
              <w:spacing w:after="0"/>
              <w:rPr>
                <w:sz w:val="20"/>
                <w:szCs w:val="20"/>
                <w:color w:val="auto"/>
              </w:rPr>
            </w:pPr>
            <w:r>
              <w:rPr>
                <w:rFonts w:ascii="Arial" w:cs="Arial" w:eastAsia="Arial" w:hAnsi="Arial"/>
                <w:sz w:val="16"/>
                <w:szCs w:val="16"/>
                <w:b w:val="1"/>
                <w:bCs w:val="1"/>
                <w:color w:val="FFFFFF"/>
              </w:rPr>
              <w:t>PERFORMANCE</w:t>
            </w:r>
          </w:p>
        </w:tc>
        <w:tc>
          <w:tcPr>
            <w:tcW w:w="0" w:type="dxa"/>
            <w:vAlign w:val="bottom"/>
          </w:tcPr>
          <w:p>
            <w:pPr>
              <w:spacing w:after="0"/>
              <w:rPr>
                <w:sz w:val="1"/>
                <w:szCs w:val="1"/>
                <w:color w:val="auto"/>
              </w:rPr>
            </w:pPr>
          </w:p>
        </w:tc>
      </w:tr>
      <w:tr>
        <w:trPr>
          <w:trHeight w:val="173"/>
        </w:trPr>
        <w:tc>
          <w:tcPr>
            <w:tcW w:w="2380" w:type="dxa"/>
            <w:vAlign w:val="bottom"/>
          </w:tcPr>
          <w:p>
            <w:pPr>
              <w:spacing w:after="0"/>
              <w:rPr>
                <w:sz w:val="15"/>
                <w:szCs w:val="15"/>
                <w:color w:val="auto"/>
              </w:rPr>
            </w:pPr>
          </w:p>
        </w:tc>
        <w:tc>
          <w:tcPr>
            <w:tcW w:w="2420" w:type="dxa"/>
            <w:vAlign w:val="bottom"/>
          </w:tcPr>
          <w:p>
            <w:pPr>
              <w:jc w:val="center"/>
              <w:spacing w:after="0" w:line="173" w:lineRule="exact"/>
              <w:rPr>
                <w:sz w:val="20"/>
                <w:szCs w:val="20"/>
                <w:color w:val="auto"/>
              </w:rPr>
            </w:pPr>
            <w:r>
              <w:rPr>
                <w:rFonts w:ascii="Arial" w:cs="Arial" w:eastAsia="Arial" w:hAnsi="Arial"/>
                <w:sz w:val="16"/>
                <w:szCs w:val="16"/>
                <w:color w:val="auto"/>
                <w:w w:val="99"/>
              </w:rPr>
              <w:t>80% of Target Cumulative Net</w:t>
            </w:r>
          </w:p>
        </w:tc>
        <w:tc>
          <w:tcPr>
            <w:tcW w:w="1980" w:type="dxa"/>
            <w:vAlign w:val="bottom"/>
            <w:vMerge w:val="restart"/>
          </w:tcPr>
          <w:p>
            <w:pPr>
              <w:jc w:val="center"/>
              <w:spacing w:after="0"/>
              <w:rPr>
                <w:sz w:val="20"/>
                <w:szCs w:val="20"/>
                <w:color w:val="auto"/>
              </w:rPr>
            </w:pPr>
            <w:r>
              <w:rPr>
                <w:rFonts w:ascii="Arial" w:cs="Arial" w:eastAsia="Arial" w:hAnsi="Arial"/>
                <w:sz w:val="16"/>
                <w:szCs w:val="16"/>
                <w:color w:val="auto"/>
                <w:w w:val="99"/>
              </w:rPr>
              <w:t>Cumulative Net Income</w:t>
            </w:r>
          </w:p>
        </w:tc>
        <w:tc>
          <w:tcPr>
            <w:tcW w:w="2600" w:type="dxa"/>
            <w:vAlign w:val="bottom"/>
          </w:tcPr>
          <w:p>
            <w:pPr>
              <w:jc w:val="center"/>
              <w:spacing w:after="0" w:line="173" w:lineRule="exact"/>
              <w:rPr>
                <w:sz w:val="20"/>
                <w:szCs w:val="20"/>
                <w:color w:val="auto"/>
              </w:rPr>
            </w:pPr>
            <w:r>
              <w:rPr>
                <w:rFonts w:ascii="Arial" w:cs="Arial" w:eastAsia="Arial" w:hAnsi="Arial"/>
                <w:sz w:val="16"/>
                <w:szCs w:val="16"/>
                <w:color w:val="auto"/>
                <w:w w:val="98"/>
              </w:rPr>
              <w:t>120% of Target Cumulative Net</w:t>
            </w: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380" w:type="dxa"/>
            <w:vAlign w:val="bottom"/>
            <w:vMerge w:val="restart"/>
          </w:tcPr>
          <w:p>
            <w:pPr>
              <w:ind w:left="140"/>
              <w:spacing w:after="0"/>
              <w:rPr>
                <w:sz w:val="20"/>
                <w:szCs w:val="20"/>
                <w:color w:val="auto"/>
              </w:rPr>
            </w:pPr>
            <w:r>
              <w:rPr>
                <w:rFonts w:ascii="Arial" w:cs="Arial" w:eastAsia="Arial" w:hAnsi="Arial"/>
                <w:sz w:val="16"/>
                <w:szCs w:val="16"/>
                <w:color w:val="auto"/>
              </w:rPr>
              <w:t>Cumulative Net Income</w:t>
            </w:r>
          </w:p>
        </w:tc>
        <w:tc>
          <w:tcPr>
            <w:tcW w:w="2420" w:type="dxa"/>
            <w:vAlign w:val="bottom"/>
            <w:vMerge w:val="restart"/>
          </w:tcPr>
          <w:p>
            <w:pPr>
              <w:jc w:val="center"/>
              <w:spacing w:after="0"/>
              <w:rPr>
                <w:sz w:val="20"/>
                <w:szCs w:val="20"/>
                <w:color w:val="auto"/>
              </w:rPr>
            </w:pPr>
            <w:r>
              <w:rPr>
                <w:rFonts w:ascii="Arial" w:cs="Arial" w:eastAsia="Arial" w:hAnsi="Arial"/>
                <w:sz w:val="16"/>
                <w:szCs w:val="16"/>
                <w:color w:val="auto"/>
              </w:rPr>
              <w:t>Income</w:t>
            </w:r>
          </w:p>
        </w:tc>
        <w:tc>
          <w:tcPr>
            <w:tcW w:w="1980" w:type="dxa"/>
            <w:vAlign w:val="bottom"/>
            <w:vMerge w:val="continue"/>
          </w:tcPr>
          <w:p>
            <w:pPr>
              <w:spacing w:after="0"/>
              <w:rPr>
                <w:sz w:val="8"/>
                <w:szCs w:val="8"/>
                <w:color w:val="auto"/>
              </w:rPr>
            </w:pPr>
          </w:p>
        </w:tc>
        <w:tc>
          <w:tcPr>
            <w:tcW w:w="2600" w:type="dxa"/>
            <w:vAlign w:val="bottom"/>
            <w:vMerge w:val="restart"/>
          </w:tcPr>
          <w:p>
            <w:pPr>
              <w:jc w:val="center"/>
              <w:spacing w:after="0"/>
              <w:rPr>
                <w:sz w:val="20"/>
                <w:szCs w:val="20"/>
                <w:color w:val="auto"/>
              </w:rPr>
            </w:pPr>
            <w:r>
              <w:rPr>
                <w:rFonts w:ascii="Arial" w:cs="Arial" w:eastAsia="Arial" w:hAnsi="Arial"/>
                <w:sz w:val="16"/>
                <w:szCs w:val="16"/>
                <w:color w:val="auto"/>
                <w:w w:val="99"/>
              </w:rPr>
              <w:t>Income</w:t>
            </w:r>
          </w:p>
        </w:tc>
        <w:tc>
          <w:tcPr>
            <w:tcW w:w="1860" w:type="dxa"/>
            <w:vAlign w:val="bottom"/>
            <w:vMerge w:val="restart"/>
          </w:tcPr>
          <w:p>
            <w:pPr>
              <w:jc w:val="center"/>
              <w:ind w:right="64"/>
              <w:spacing w:after="0"/>
              <w:rPr>
                <w:sz w:val="20"/>
                <w:szCs w:val="20"/>
                <w:color w:val="auto"/>
              </w:rPr>
            </w:pPr>
            <w:r>
              <w:rPr>
                <w:rFonts w:ascii="Arial" w:cs="Arial" w:eastAsia="Arial" w:hAnsi="Arial"/>
                <w:sz w:val="16"/>
                <w:szCs w:val="16"/>
                <w:color w:val="auto"/>
                <w:w w:val="99"/>
              </w:rPr>
              <w:t>$131.548 million</w:t>
            </w:r>
          </w:p>
        </w:tc>
        <w:tc>
          <w:tcPr>
            <w:tcW w:w="0" w:type="dxa"/>
            <w:vAlign w:val="bottom"/>
          </w:tcPr>
          <w:p>
            <w:pPr>
              <w:spacing w:after="0"/>
              <w:rPr>
                <w:sz w:val="1"/>
                <w:szCs w:val="1"/>
                <w:color w:val="auto"/>
              </w:rPr>
            </w:pPr>
          </w:p>
        </w:tc>
      </w:tr>
      <w:tr>
        <w:trPr>
          <w:trHeight w:val="93"/>
        </w:trPr>
        <w:tc>
          <w:tcPr>
            <w:tcW w:w="238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1980" w:type="dxa"/>
            <w:vAlign w:val="bottom"/>
            <w:vMerge w:val="restart"/>
          </w:tcPr>
          <w:p>
            <w:pPr>
              <w:jc w:val="center"/>
              <w:spacing w:after="0"/>
              <w:rPr>
                <w:sz w:val="20"/>
                <w:szCs w:val="20"/>
                <w:color w:val="auto"/>
              </w:rPr>
            </w:pPr>
            <w:r>
              <w:rPr>
                <w:rFonts w:ascii="Arial" w:cs="Arial" w:eastAsia="Arial" w:hAnsi="Arial"/>
                <w:sz w:val="16"/>
                <w:szCs w:val="16"/>
                <w:color w:val="auto"/>
                <w:w w:val="99"/>
              </w:rPr>
              <w:t>$125.425 million</w:t>
            </w:r>
          </w:p>
        </w:tc>
        <w:tc>
          <w:tcPr>
            <w:tcW w:w="2600" w:type="dxa"/>
            <w:vAlign w:val="bottom"/>
            <w:vMerge w:val="continue"/>
          </w:tcPr>
          <w:p>
            <w:pPr>
              <w:spacing w:after="0"/>
              <w:rPr>
                <w:sz w:val="8"/>
                <w:szCs w:val="8"/>
                <w:color w:val="auto"/>
              </w:rPr>
            </w:pPr>
          </w:p>
        </w:tc>
        <w:tc>
          <w:tcPr>
            <w:tcW w:w="1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2420" w:type="dxa"/>
            <w:vAlign w:val="bottom"/>
            <w:vMerge w:val="restart"/>
          </w:tcPr>
          <w:p>
            <w:pPr>
              <w:jc w:val="center"/>
              <w:spacing w:after="0"/>
              <w:rPr>
                <w:sz w:val="20"/>
                <w:szCs w:val="20"/>
                <w:color w:val="auto"/>
              </w:rPr>
            </w:pPr>
            <w:r>
              <w:rPr>
                <w:rFonts w:ascii="Arial" w:cs="Arial" w:eastAsia="Arial" w:hAnsi="Arial"/>
                <w:sz w:val="16"/>
                <w:szCs w:val="16"/>
                <w:color w:val="auto"/>
              </w:rPr>
              <w:t>$100.340 million</w:t>
            </w:r>
          </w:p>
        </w:tc>
        <w:tc>
          <w:tcPr>
            <w:tcW w:w="1980" w:type="dxa"/>
            <w:vAlign w:val="bottom"/>
            <w:vMerge w:val="continue"/>
          </w:tcPr>
          <w:p>
            <w:pPr>
              <w:spacing w:after="0"/>
              <w:rPr>
                <w:sz w:val="10"/>
                <w:szCs w:val="10"/>
                <w:color w:val="auto"/>
              </w:rPr>
            </w:pPr>
          </w:p>
        </w:tc>
        <w:tc>
          <w:tcPr>
            <w:tcW w:w="2600" w:type="dxa"/>
            <w:vAlign w:val="bottom"/>
            <w:vMerge w:val="restart"/>
          </w:tcPr>
          <w:p>
            <w:pPr>
              <w:jc w:val="center"/>
              <w:spacing w:after="0"/>
              <w:rPr>
                <w:sz w:val="20"/>
                <w:szCs w:val="20"/>
                <w:color w:val="auto"/>
              </w:rPr>
            </w:pPr>
            <w:r>
              <w:rPr>
                <w:rFonts w:ascii="Arial" w:cs="Arial" w:eastAsia="Arial" w:hAnsi="Arial"/>
                <w:sz w:val="16"/>
                <w:szCs w:val="16"/>
                <w:color w:val="auto"/>
                <w:w w:val="99"/>
              </w:rPr>
              <w:t>$150.510 million</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380" w:type="dxa"/>
            <w:vAlign w:val="bottom"/>
            <w:tcBorders>
              <w:bottom w:val="single" w:sz="8" w:color="1AB2D2"/>
            </w:tcBorders>
          </w:tcPr>
          <w:p>
            <w:pPr>
              <w:spacing w:after="0"/>
              <w:rPr>
                <w:sz w:val="7"/>
                <w:szCs w:val="7"/>
                <w:color w:val="auto"/>
              </w:rPr>
            </w:pPr>
          </w:p>
        </w:tc>
        <w:tc>
          <w:tcPr>
            <w:tcW w:w="2420" w:type="dxa"/>
            <w:vAlign w:val="bottom"/>
            <w:tcBorders>
              <w:bottom w:val="single" w:sz="8" w:color="1AB2D2"/>
            </w:tcBorders>
            <w:vMerge w:val="continue"/>
          </w:tcPr>
          <w:p>
            <w:pPr>
              <w:spacing w:after="0"/>
              <w:rPr>
                <w:sz w:val="7"/>
                <w:szCs w:val="7"/>
                <w:color w:val="auto"/>
              </w:rPr>
            </w:pPr>
          </w:p>
        </w:tc>
        <w:tc>
          <w:tcPr>
            <w:tcW w:w="1980" w:type="dxa"/>
            <w:vAlign w:val="bottom"/>
            <w:tcBorders>
              <w:bottom w:val="single" w:sz="8" w:color="1AB2D2"/>
            </w:tcBorders>
          </w:tcPr>
          <w:p>
            <w:pPr>
              <w:spacing w:after="0"/>
              <w:rPr>
                <w:sz w:val="7"/>
                <w:szCs w:val="7"/>
                <w:color w:val="auto"/>
              </w:rPr>
            </w:pPr>
          </w:p>
        </w:tc>
        <w:tc>
          <w:tcPr>
            <w:tcW w:w="2600" w:type="dxa"/>
            <w:vAlign w:val="bottom"/>
            <w:tcBorders>
              <w:bottom w:val="single" w:sz="8" w:color="1AB2D2"/>
            </w:tcBorders>
            <w:vMerge w:val="continue"/>
          </w:tcPr>
          <w:p>
            <w:pPr>
              <w:spacing w:after="0"/>
              <w:rPr>
                <w:sz w:val="7"/>
                <w:szCs w:val="7"/>
                <w:color w:val="auto"/>
              </w:rPr>
            </w:pPr>
          </w:p>
        </w:tc>
        <w:tc>
          <w:tcPr>
            <w:tcW w:w="1860" w:type="dxa"/>
            <w:vAlign w:val="bottom"/>
            <w:tcBorders>
              <w:bottom w:val="single" w:sz="8" w:color="1AB2D2"/>
            </w:tcBorders>
          </w:tcPr>
          <w:p>
            <w:pPr>
              <w:spacing w:after="0"/>
              <w:rPr>
                <w:sz w:val="7"/>
                <w:szCs w:val="7"/>
                <w:color w:val="auto"/>
              </w:rPr>
            </w:pPr>
          </w:p>
        </w:tc>
        <w:tc>
          <w:tcPr>
            <w:tcW w:w="0" w:type="dxa"/>
            <w:vAlign w:val="bottom"/>
          </w:tcPr>
          <w:p>
            <w:pPr>
              <w:spacing w:after="0"/>
              <w:rPr>
                <w:sz w:val="1"/>
                <w:szCs w:val="1"/>
                <w:color w:val="auto"/>
              </w:rPr>
            </w:pPr>
          </w:p>
        </w:tc>
      </w:tr>
      <w:tr>
        <w:trPr>
          <w:trHeight w:val="620"/>
        </w:trPr>
        <w:tc>
          <w:tcPr>
            <w:tcW w:w="23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24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2"/>
                <w:szCs w:val="12"/>
                <w:color w:val="auto"/>
              </w:rPr>
              <w:t>26</w:t>
            </w:r>
          </w:p>
        </w:tc>
        <w:tc>
          <w:tcPr>
            <w:tcW w:w="0" w:type="dxa"/>
            <w:vAlign w:val="bottom"/>
          </w:tcPr>
          <w:p>
            <w:pPr>
              <w:spacing w:after="0"/>
              <w:rPr>
                <w:sz w:val="1"/>
                <w:szCs w:val="1"/>
                <w:color w:val="auto"/>
              </w:rPr>
            </w:pPr>
          </w:p>
        </w:tc>
      </w:tr>
      <w:tr>
        <w:trPr>
          <w:trHeight w:val="340"/>
        </w:trPr>
        <w:tc>
          <w:tcPr>
            <w:tcW w:w="2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-372110</wp:posOffset>
            </wp:positionV>
            <wp:extent cx="593090" cy="1187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ectPr>
          <w:pgSz w:w="11900" w:h="16838" w:orient="portrait"/>
          <w:cols w:equalWidth="0" w:num="1">
            <w:col w:w="11240"/>
          </w:cols>
          <w:pgMar w:left="320" w:top="643" w:right="339" w:bottom="1440" w:gutter="0" w:footer="0" w:header="0"/>
        </w:sectPr>
      </w:pPr>
    </w:p>
    <w:bookmarkStart w:id="29" w:name="page30"/>
    <w:bookmarkEnd w:id="29"/>
    <w:p>
      <w:pPr>
        <w:ind w:right="580"/>
        <w:spacing w:after="0" w:line="278" w:lineRule="auto"/>
        <w:rPr>
          <w:sz w:val="20"/>
          <w:szCs w:val="20"/>
          <w:color w:val="auto"/>
        </w:rPr>
      </w:pPr>
      <w:r>
        <w:rPr>
          <w:rFonts w:ascii="Arial" w:cs="Arial" w:eastAsia="Arial" w:hAnsi="Arial"/>
          <w:sz w:val="16"/>
          <w:szCs w:val="16"/>
          <w:color w:val="auto"/>
        </w:rPr>
        <w:t>In 2025, the Company approved award payouts at 112% for performance-based shares based on 2023-2025 Cumulative Net Income. NEOs were also granted time-based equity awards for the 2023-2025 period.</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1AB2D2"/>
        </w:rPr>
        <w:t>DEFERRED COMPENSATION</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Company maintains a deferred compensation plan called the Alerus Financial Corporation Deferred Compensation Plan (the “</w:t>
      </w:r>
      <w:r>
        <w:rPr>
          <w:rFonts w:ascii="Arial" w:cs="Arial" w:eastAsia="Arial" w:hAnsi="Arial"/>
          <w:sz w:val="16"/>
          <w:szCs w:val="16"/>
          <w:b w:val="1"/>
          <w:bCs w:val="1"/>
          <w:color w:val="auto"/>
        </w:rPr>
        <w:t>Deferred Compensation</w:t>
      </w:r>
      <w:r>
        <w:rPr>
          <w:rFonts w:ascii="Arial" w:cs="Arial" w:eastAsia="Arial" w:hAnsi="Arial"/>
          <w:sz w:val="16"/>
          <w:szCs w:val="16"/>
          <w:color w:val="auto"/>
        </w:rPr>
        <w:t xml:space="preserve"> </w:t>
      </w:r>
      <w:r>
        <w:rPr>
          <w:rFonts w:ascii="Arial" w:cs="Arial" w:eastAsia="Arial" w:hAnsi="Arial"/>
          <w:sz w:val="16"/>
          <w:szCs w:val="16"/>
          <w:b w:val="1"/>
          <w:bCs w:val="1"/>
          <w:color w:val="auto"/>
        </w:rPr>
        <w:t>Plan</w:t>
      </w:r>
      <w:r>
        <w:rPr>
          <w:rFonts w:ascii="Arial" w:cs="Arial" w:eastAsia="Arial" w:hAnsi="Arial"/>
          <w:sz w:val="16"/>
          <w:szCs w:val="16"/>
          <w:color w:val="auto"/>
        </w:rPr>
        <w:t>”). The Deferred Compensation Plan went into effect on January 1, 2024 and allows for employee deferrals of base salary, bonus, and incentives, and</w:t>
      </w:r>
      <w:r>
        <w:rPr>
          <w:rFonts w:ascii="Arial" w:cs="Arial" w:eastAsia="Arial" w:hAnsi="Arial"/>
          <w:sz w:val="16"/>
          <w:szCs w:val="16"/>
          <w:b w:val="1"/>
          <w:bCs w:val="1"/>
          <w:color w:val="auto"/>
        </w:rPr>
        <w:t xml:space="preserve"> </w:t>
      </w:r>
      <w:r>
        <w:rPr>
          <w:rFonts w:ascii="Arial" w:cs="Arial" w:eastAsia="Arial" w:hAnsi="Arial"/>
          <w:sz w:val="16"/>
          <w:szCs w:val="16"/>
          <w:color w:val="auto"/>
        </w:rPr>
        <w:t>discretionary Company contributions. Participants in the Deferred Compensation Plan are permitted the opportunity to accumulate earnings on their deferrals by selecting hypothetical investments from among those offered as investments funds under the Alerus Financial Corporation Safe Harbor 401(k) Plan (the “</w:t>
      </w:r>
      <w:r>
        <w:rPr>
          <w:rFonts w:ascii="Arial" w:cs="Arial" w:eastAsia="Arial" w:hAnsi="Arial"/>
          <w:sz w:val="16"/>
          <w:szCs w:val="16"/>
          <w:b w:val="1"/>
          <w:bCs w:val="1"/>
          <w:color w:val="auto"/>
        </w:rPr>
        <w:t>401(k) Plan</w:t>
      </w:r>
      <w:r>
        <w:rPr>
          <w:rFonts w:ascii="Arial" w:cs="Arial" w:eastAsia="Arial" w:hAnsi="Arial"/>
          <w:sz w:val="16"/>
          <w:szCs w:val="16"/>
          <w:color w:val="auto"/>
        </w:rPr>
        <w:t>”).</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In December 2024, the Compensation Committee approved an Executive Restoration Plan as a component of the Deferred Compensation Plan designed to address gaps in retirement savings caused by IRS limits on compensation eligible for the Company’s 401(k) Plan and ESOP contributions. For 2025, the Company contributed amounts to the Deferred Compensation Plan that effectively replicate the additional amounts that would have been contributed under the tax-qualified 401(k) and ESOP if the participant’s compensation had not exceeded the statutory ceiling.</w:t>
      </w:r>
    </w:p>
    <w:p>
      <w:pPr>
        <w:spacing w:after="0" w:line="152" w:lineRule="exact"/>
        <w:rPr>
          <w:sz w:val="20"/>
          <w:szCs w:val="20"/>
          <w:color w:val="auto"/>
        </w:rPr>
      </w:pPr>
    </w:p>
    <w:p>
      <w:pPr>
        <w:ind w:right="480"/>
        <w:spacing w:after="0" w:line="278" w:lineRule="auto"/>
        <w:rPr>
          <w:sz w:val="20"/>
          <w:szCs w:val="20"/>
          <w:color w:val="auto"/>
        </w:rPr>
      </w:pPr>
      <w:r>
        <w:rPr>
          <w:rFonts w:ascii="Arial" w:cs="Arial" w:eastAsia="Arial" w:hAnsi="Arial"/>
          <w:sz w:val="16"/>
          <w:szCs w:val="16"/>
          <w:color w:val="auto"/>
        </w:rPr>
        <w:t>Ms. Lorenson, Mr. Villalon, Mr. Collins, and Ms. Taylor participated in the Deferred Compensation Plan in 2025 and their elective deferrals and Company contributions are detailed in the Nonqualified Deferred Compensation table below.</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1AB2D2"/>
        </w:rPr>
        <w:t>EQUITY PLANS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maintains the 2009 Stock Plan and the 2019 Equity Incentive Plan, which are described immediately below.</w:t>
      </w:r>
    </w:p>
    <w:p>
      <w:pPr>
        <w:spacing w:after="0" w:line="216"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b w:val="1"/>
          <w:bCs w:val="1"/>
          <w:i w:val="1"/>
          <w:iCs w:val="1"/>
          <w:color w:val="auto"/>
        </w:rPr>
        <w:t xml:space="preserve">2009 Stock Plan. </w:t>
      </w:r>
      <w:r>
        <w:rPr>
          <w:rFonts w:ascii="Arial" w:cs="Arial" w:eastAsia="Arial" w:hAnsi="Arial"/>
          <w:sz w:val="16"/>
          <w:szCs w:val="16"/>
          <w:color w:val="auto"/>
        </w:rPr>
        <w:t>Under the 2009 Stock Plan, the Compensation Committee was permitted to grant a wide variety of equity awards, including stock options,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appreciation rights, restricted stock, and restricted stock units, in such forms and amounts as it deemed appropriate to accomplish the goals of the plan. The 2009 Stock Plan provided the Compensation Committee with broad discretion to determine the amounts, conditions and restrictions of each award and to adjust awards as necessary. As adjusted for a three-for-one stock split, 1,350,000 shares were available for issuance under the 2009 Stock Plan. Shares that were forfeited, subject to options that were cancelled or expired prior to exercise, withheld in connection with satisfaction of tax obligations, used by participants for payment of purchase price or otherwise subject to an award that was terminated became available for reissuance under the 2009 Stock Plan. Shares vested, became exercisable, and contained such other terms and conditions as determined by the Compensation Committee and set forth in individual agreements with the participant receiving the award. The 2009 Stock Plan provided for acceleration of vesting of stock options, stock appreciation rights, restricted stock, and restricted stock units upon a change in control. Following the approval of our 2019 Equity Incentive Plan by our stockholders, no additional awards may be granted under our 2009 Stock Plan.</w:t>
      </w:r>
    </w:p>
    <w:p>
      <w:pPr>
        <w:spacing w:after="0" w:line="18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b w:val="1"/>
          <w:bCs w:val="1"/>
          <w:i w:val="1"/>
          <w:iCs w:val="1"/>
          <w:color w:val="auto"/>
        </w:rPr>
        <w:t xml:space="preserve">2019 Equity Incentive Plan. </w:t>
      </w:r>
      <w:r>
        <w:rPr>
          <w:rFonts w:ascii="Arial" w:cs="Arial" w:eastAsia="Arial" w:hAnsi="Arial"/>
          <w:sz w:val="16"/>
          <w:szCs w:val="16"/>
          <w:color w:val="auto"/>
        </w:rPr>
        <w:t>The 2019 Equity Incentive Plan was adopted by our board on February 21, 2019, becoming effective on May 6, 2019, upon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by our stockholders, and was amended on May 21, 2024. The 2019 Equity Incentive Plan is designed to promote the Company’s long-term financial success by providing a means to attract, retain and reward individuals who can, and do, contribute to such success and to further align their interests with those of the Company’s stockholders. Pursuant to the 2019 Equity Incentive Plan, the Compensation Committee may grant awards to eligible participants in the form of incentive and non-qualified stock options, stock awards, stock appreciation rights and other incentive awards. Up to 1,100,000 shares of Common Stock are available for issuance under the 2019 Equity Incentive Plan. As of December 31, 2025, 565,718 shares of Common Stock are still available for issuance under the 2019 Equity Incentive Plan. Awards vest, become exercisable, and contain such other terms and conditions as determined by the Compensation Committee and set forth in individual agreements with the participants receiving the awards. The 2019 Equity Incentive Plan enables the Compensation Committee to set specific performance criteria that must be met before an award vests.</w:t>
      </w:r>
    </w:p>
    <w:p>
      <w:pPr>
        <w:spacing w:after="0" w:line="184"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2019 Equity Incentive Plan allows for acceleration of vesting and exercise privileges of awards at the discretion of the Compensation Committee. If a participant is terminated for cause, then all vested and unvested awards are forfeited upon termination. In addition, unless otherwise provided in an award agreement, upon the occurrence of a change in control of the Company, all stock options and stock appreciation rights under the 2019 Equity Incentive Plan then held by the participant will become fully exercisable immediately, and all stock awards and cash incentive awards will become fully earned and vested immediately if, (i) the 2019 Equity Incentive Plan is not an obligation of the successor entity following a change in control, or (ii) the 2019 Equity Incentive Plan is an obligation of the successor entity following a change in control but the participant incurs a termination of service without cause or for good reason following the change in control. If vesting of an outstanding award is conditioned upon the achievement of performance measures, then, unless otherwise provided in an award agreement, (i) if, at the time of the change in control, the established performance measures are less than 50% attained, such award shall become vested and exercisable on a fractional basis with the numerator being the percentage of attainment and the denominator being 50% upon the change in control and (ii) if, at the time of the change in control, the performance measures are at least 50% attained, then such award shall become earned based on actual performance and vested immediately upon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593090" cy="1187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27</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1AB2D2"/>
        </w:rPr>
        <w:t>BENEFITS AND OTHER PERQUISITES</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Our NEOs are eligible to participate in the same benefit plans available to all of our eligible full-time and part-time employees, including medical, dental, vision, life, disability, and accidental death insurance. We also provide our employees, including our NEOs, with several retirement benefits. Our retirement plans are designed to assist our employees with planning for and securing appropriate levels of income during retirement. We believe these plans help us attract and retain quality employees, including executives, by offering benefits similar to those offered by our competitors.</w:t>
      </w:r>
    </w:p>
    <w:p>
      <w:pPr>
        <w:spacing w:after="0" w:line="17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b w:val="1"/>
          <w:bCs w:val="1"/>
          <w:i w:val="1"/>
          <w:iCs w:val="1"/>
          <w:color w:val="auto"/>
        </w:rPr>
        <w:t xml:space="preserve">Alerus Financial Corporation Safe Harbor 401(k) Plan. </w:t>
      </w:r>
      <w:r>
        <w:rPr>
          <w:rFonts w:ascii="Arial" w:cs="Arial" w:eastAsia="Arial" w:hAnsi="Arial"/>
          <w:sz w:val="16"/>
          <w:szCs w:val="16"/>
          <w:color w:val="auto"/>
        </w:rPr>
        <w:t>The 401(k) Plan is designed to provide retirement benefits to all eligible full-time and part-time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employees of the Company. The 401(k) Plan provides employees with the opportunity to save for retirement on a tax-favored basis. NEOs, all of whom were eligible during 2025, may elect to participate in the 401(k) Plan on the same basis as all other employees. Participants may defer into the 401(k) Plan a portion of their annual compensation up to the applicable IRS limit. We currently provide a safe harbor matching contribution on behalf of each eligible participant equal to 100% of participant contributions on the first 3% of compensation and 50% of participant contributions on the next 3% of compensation, up to the applicable IRS limit. The Company match is contributed in the form of cash and is invested according to the employee’s current investment allocation. Although the Company may also make a discretionary matching contribution of up to 4% of each eligible participant’s compensation, we did not do so in 2025.</w:t>
      </w:r>
    </w:p>
    <w:p>
      <w:pPr>
        <w:spacing w:after="0" w:line="185"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b w:val="1"/>
          <w:bCs w:val="1"/>
          <w:i w:val="1"/>
          <w:iCs w:val="1"/>
          <w:color w:val="auto"/>
        </w:rPr>
        <w:t xml:space="preserve">Alerus Financial Corporation Employee Stock Ownership Plan. </w:t>
      </w:r>
      <w:r>
        <w:rPr>
          <w:rFonts w:ascii="Arial" w:cs="Arial" w:eastAsia="Arial" w:hAnsi="Arial"/>
          <w:sz w:val="16"/>
          <w:szCs w:val="16"/>
          <w:color w:val="auto"/>
        </w:rPr>
        <w:t>The ESOP is designed to reward eligible employees with an additional tax-qualified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retirement benefit and an ownership interest in the Company. Each year, the Company may make a contribution of cash or stock to the ESOP, which eligible employees, including our NEOs, equally share in proportion to an eligible portion of total annual compensation. For 2025, the Company elected to contribute cash to the ESOP in an amount equal to 3% of employee compensation.</w:t>
      </w:r>
    </w:p>
    <w:p>
      <w:pPr>
        <w:spacing w:after="0" w:line="179"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b w:val="1"/>
          <w:bCs w:val="1"/>
          <w:i w:val="1"/>
          <w:iCs w:val="1"/>
          <w:color w:val="auto"/>
        </w:rPr>
        <w:t xml:space="preserve">Health and Welfare Benefits. </w:t>
      </w:r>
      <w:r>
        <w:rPr>
          <w:rFonts w:ascii="Arial" w:cs="Arial" w:eastAsia="Arial" w:hAnsi="Arial"/>
          <w:sz w:val="16"/>
          <w:szCs w:val="16"/>
          <w:color w:val="auto"/>
        </w:rPr>
        <w:t>Our NEOs are eligible to participate in our standard health and welfare benefits program, which offers a choice of medical,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dental, vision, life, disability and accidental death insurance. NEOs are eligible to obtain an annual executive physical exam and beginning in 2026, NEOs will receive additional life insurance coverage.</w:t>
      </w:r>
    </w:p>
    <w:p>
      <w:pPr>
        <w:spacing w:after="0" w:line="174"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b w:val="1"/>
          <w:bCs w:val="1"/>
          <w:i w:val="1"/>
          <w:iCs w:val="1"/>
          <w:color w:val="auto"/>
        </w:rPr>
        <w:t xml:space="preserve">Perquisites. </w:t>
      </w:r>
      <w:r>
        <w:rPr>
          <w:rFonts w:ascii="Arial" w:cs="Arial" w:eastAsia="Arial" w:hAnsi="Arial"/>
          <w:sz w:val="16"/>
          <w:szCs w:val="16"/>
          <w:color w:val="auto"/>
        </w:rPr>
        <w:t>We provide our NEOs with perquisites that we believe are reasonable and consistent with our overall compensation program to better enable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attract and retain executive talent. The Compensation Committee periodically reviews the levels of perquisites and other personal benefits provided to NEOs. Based on such review, perquisites are awarded or adjusted on an individual basis. The perquisites received by our NEOs in 2025 consisted of an automobile allowance and a cell phone allowance.</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1AB2D2"/>
        </w:rPr>
        <w:t>OTHER RISK MITIGATING FEATURES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Compensation Committee is responsible for the oversight of compensation risk. Annually, the Compensation Committee reviews executive officer compensation plans across various risk factors and determined these plans do not encourage any unnecessary or excessive risks that threaten the Company. Additionally, the Compensation Committee also reviewed all nonexecutive incentive compensation plans and determined these plans appropriately balance risk and reward, are compatible with effective controls and risk management, and are supported by strong corporate governance.</w:t>
      </w:r>
    </w:p>
    <w:p>
      <w:pPr>
        <w:spacing w:after="0" w:line="179"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The Compensation Committee meets in executive session without management or guests present when making decisions about the compensation for NEOs and at other times as needed.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The Company has adopted a clawback policy, in accordance with the latest SEC and Nasdaq listing standards. This policy provides the Board with the authority to recover certain incentive compensation (whether paid in cash or stock) paid to certain executive officers, including our NEOs, in appropriate circumstances where there has been an accounting restatement of the Company’s financial statements filed with the SEC or in the event an executive officer engages in misconduct as specified in the policy. The policy can be found on our website at investors.alerus.com.</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Practices Related to the Grant of Certain Equity Awards</w:t>
      </w:r>
    </w:p>
    <w:p>
      <w:pPr>
        <w:spacing w:after="0" w:line="19" w:lineRule="exact"/>
        <w:rPr>
          <w:sz w:val="20"/>
          <w:szCs w:val="20"/>
          <w:color w:val="auto"/>
        </w:rPr>
      </w:pPr>
    </w:p>
    <w:p>
      <w:pPr>
        <w:jc w:val="both"/>
        <w:ind w:right="180"/>
        <w:spacing w:after="0" w:line="275" w:lineRule="auto"/>
        <w:rPr>
          <w:sz w:val="20"/>
          <w:szCs w:val="20"/>
          <w:color w:val="auto"/>
        </w:rPr>
      </w:pPr>
      <w:r>
        <w:rPr>
          <w:rFonts w:ascii="Arial" w:cs="Arial" w:eastAsia="Arial" w:hAnsi="Arial"/>
          <w:sz w:val="15"/>
          <w:szCs w:val="15"/>
          <w:color w:val="auto"/>
        </w:rPr>
        <w:t>The Company does not currently grant new awards of stock options, stock appreciation rights or similar option-like instruments ("Options"). Accordingly, the Company has no specific policy or practice on the timing of awards of Options in relation to the disclosure of material nonpublic information by the Company. In the event the Company determines to grant new awards of Options, the Board will evaluate the appropriate steps to take in relation to the foregoing.</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w:t>
      </w:r>
    </w:p>
    <w:p>
      <w:pPr>
        <w:spacing w:after="0" w:line="70"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 Company has adopted an insider trading policy governing the purchase, sale and other dispositions of its securities by directors, officers and employees of the Company that is designed to promote compliance with insider trading laws, rules and regulations and any applicable Nasdaq listing standards. The policy can be found on our website at investors.alerus.com.</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Anti-Hedging Policy</w:t>
      </w:r>
    </w:p>
    <w:p>
      <w:pPr>
        <w:spacing w:after="0" w:line="8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Company’s insider trading policy includes provisions that specifically prohibit our directors, officers and employees from entering into hedging transactions with respect to the Company’s securities. To our knowledge, none of our officers or directors has entered into a hedging transaction involving Company securities in violation of this prohibition.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593090" cy="1187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Stock Ownership Guidelines</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Board believes that executive officers and directors of the Company should own and hold Common Stock to further align their interests with the long-term interests of Company stockholders and further promote the Company’s commitment to sound corporate governance. Executive officers and directors are expected to reach the ownership level described below based on their appointment or election to their respective roles. The stock ownership guidelines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00" w:type="dxa"/>
            <w:vAlign w:val="bottom"/>
            <w:shd w:val="clear" w:color="auto" w:fill="062B48"/>
          </w:tcPr>
          <w:p>
            <w:pPr>
              <w:ind w:left="220"/>
              <w:spacing w:after="0"/>
              <w:rPr>
                <w:sz w:val="20"/>
                <w:szCs w:val="20"/>
                <w:color w:val="auto"/>
              </w:rPr>
            </w:pPr>
            <w:r>
              <w:rPr>
                <w:rFonts w:ascii="Arial" w:cs="Arial" w:eastAsia="Arial" w:hAnsi="Arial"/>
                <w:sz w:val="16"/>
                <w:szCs w:val="16"/>
                <w:b w:val="1"/>
                <w:bCs w:val="1"/>
                <w:color w:val="FFFFFF"/>
              </w:rPr>
              <w:t>TITLE</w:t>
            </w:r>
          </w:p>
        </w:tc>
        <w:tc>
          <w:tcPr>
            <w:tcW w:w="7040" w:type="dxa"/>
            <w:vAlign w:val="bottom"/>
            <w:shd w:val="clear" w:color="auto" w:fill="062B48"/>
          </w:tcPr>
          <w:p>
            <w:pPr>
              <w:ind w:left="1420"/>
              <w:spacing w:after="0"/>
              <w:rPr>
                <w:sz w:val="20"/>
                <w:szCs w:val="20"/>
                <w:color w:val="auto"/>
              </w:rPr>
            </w:pPr>
            <w:r>
              <w:rPr>
                <w:rFonts w:ascii="Arial" w:cs="Arial" w:eastAsia="Arial" w:hAnsi="Arial"/>
                <w:sz w:val="16"/>
                <w:szCs w:val="16"/>
                <w:b w:val="1"/>
                <w:bCs w:val="1"/>
                <w:color w:val="FFFFFF"/>
              </w:rPr>
              <w:t>GUIDELINE</w:t>
            </w:r>
          </w:p>
        </w:tc>
      </w:tr>
      <w:tr>
        <w:trPr>
          <w:trHeight w:val="187"/>
        </w:trPr>
        <w:tc>
          <w:tcPr>
            <w:tcW w:w="4200" w:type="dxa"/>
            <w:vAlign w:val="bottom"/>
            <w:tcBorders>
              <w:bottom w:val="single" w:sz="8" w:color="1AB2D2"/>
            </w:tcBorders>
          </w:tcPr>
          <w:p>
            <w:pPr>
              <w:ind w:left="220"/>
              <w:spacing w:after="0"/>
              <w:rPr>
                <w:sz w:val="20"/>
                <w:szCs w:val="20"/>
                <w:color w:val="auto"/>
              </w:rPr>
            </w:pPr>
            <w:r>
              <w:rPr>
                <w:rFonts w:ascii="Arial" w:cs="Arial" w:eastAsia="Arial" w:hAnsi="Arial"/>
                <w:sz w:val="16"/>
                <w:szCs w:val="16"/>
                <w:color w:val="auto"/>
              </w:rPr>
              <w:t>CEO</w:t>
            </w:r>
          </w:p>
        </w:tc>
        <w:tc>
          <w:tcPr>
            <w:tcW w:w="7040" w:type="dxa"/>
            <w:vAlign w:val="bottom"/>
            <w:tcBorders>
              <w:bottom w:val="single" w:sz="8" w:color="1AB2D2"/>
            </w:tcBorders>
          </w:tcPr>
          <w:p>
            <w:pPr>
              <w:ind w:left="1420"/>
              <w:spacing w:after="0"/>
              <w:rPr>
                <w:sz w:val="20"/>
                <w:szCs w:val="20"/>
                <w:color w:val="auto"/>
              </w:rPr>
            </w:pPr>
            <w:r>
              <w:rPr>
                <w:rFonts w:ascii="Arial" w:cs="Arial" w:eastAsia="Arial" w:hAnsi="Arial"/>
                <w:sz w:val="16"/>
                <w:szCs w:val="16"/>
                <w:color w:val="auto"/>
              </w:rPr>
              <w:t>3x base salary</w:t>
            </w:r>
          </w:p>
        </w:tc>
      </w:tr>
      <w:tr>
        <w:trPr>
          <w:trHeight w:val="180"/>
        </w:trPr>
        <w:tc>
          <w:tcPr>
            <w:tcW w:w="4200" w:type="dxa"/>
            <w:vAlign w:val="bottom"/>
            <w:tcBorders>
              <w:bottom w:val="single" w:sz="8" w:color="1AB2D2"/>
            </w:tcBorders>
          </w:tcPr>
          <w:p>
            <w:pPr>
              <w:ind w:left="220"/>
              <w:spacing w:after="0" w:line="180" w:lineRule="exact"/>
              <w:rPr>
                <w:sz w:val="20"/>
                <w:szCs w:val="20"/>
                <w:color w:val="auto"/>
              </w:rPr>
            </w:pPr>
            <w:r>
              <w:rPr>
                <w:rFonts w:ascii="Arial" w:cs="Arial" w:eastAsia="Arial" w:hAnsi="Arial"/>
                <w:sz w:val="16"/>
                <w:szCs w:val="16"/>
                <w:color w:val="auto"/>
              </w:rPr>
              <w:t>Executive Officers</w:t>
            </w:r>
          </w:p>
        </w:tc>
        <w:tc>
          <w:tcPr>
            <w:tcW w:w="7040" w:type="dxa"/>
            <w:vAlign w:val="bottom"/>
            <w:tcBorders>
              <w:bottom w:val="single" w:sz="8" w:color="1AB2D2"/>
            </w:tcBorders>
          </w:tcPr>
          <w:p>
            <w:pPr>
              <w:ind w:left="1420"/>
              <w:spacing w:after="0" w:line="180" w:lineRule="exact"/>
              <w:rPr>
                <w:sz w:val="20"/>
                <w:szCs w:val="20"/>
                <w:color w:val="auto"/>
              </w:rPr>
            </w:pPr>
            <w:r>
              <w:rPr>
                <w:rFonts w:ascii="Arial" w:cs="Arial" w:eastAsia="Arial" w:hAnsi="Arial"/>
                <w:sz w:val="16"/>
                <w:szCs w:val="16"/>
                <w:color w:val="auto"/>
              </w:rPr>
              <w:t>2x base salary</w:t>
            </w:r>
          </w:p>
        </w:tc>
      </w:tr>
      <w:tr>
        <w:trPr>
          <w:trHeight w:val="180"/>
        </w:trPr>
        <w:tc>
          <w:tcPr>
            <w:tcW w:w="4200" w:type="dxa"/>
            <w:vAlign w:val="bottom"/>
            <w:tcBorders>
              <w:bottom w:val="single" w:sz="8" w:color="1AB2D2"/>
            </w:tcBorders>
          </w:tcPr>
          <w:p>
            <w:pPr>
              <w:ind w:left="220"/>
              <w:spacing w:after="0" w:line="180" w:lineRule="exact"/>
              <w:rPr>
                <w:sz w:val="20"/>
                <w:szCs w:val="20"/>
                <w:color w:val="auto"/>
              </w:rPr>
            </w:pPr>
            <w:r>
              <w:rPr>
                <w:rFonts w:ascii="Arial" w:cs="Arial" w:eastAsia="Arial" w:hAnsi="Arial"/>
                <w:sz w:val="16"/>
                <w:szCs w:val="16"/>
                <w:color w:val="auto"/>
              </w:rPr>
              <w:t>Directors</w:t>
            </w:r>
          </w:p>
        </w:tc>
        <w:tc>
          <w:tcPr>
            <w:tcW w:w="7040" w:type="dxa"/>
            <w:vAlign w:val="bottom"/>
            <w:tcBorders>
              <w:bottom w:val="single" w:sz="8" w:color="1AB2D2"/>
            </w:tcBorders>
          </w:tcPr>
          <w:p>
            <w:pPr>
              <w:ind w:left="1420"/>
              <w:spacing w:after="0" w:line="180" w:lineRule="exact"/>
              <w:rPr>
                <w:sz w:val="20"/>
                <w:szCs w:val="20"/>
                <w:color w:val="auto"/>
              </w:rPr>
            </w:pPr>
            <w:r>
              <w:rPr>
                <w:rFonts w:ascii="Arial" w:cs="Arial" w:eastAsia="Arial" w:hAnsi="Arial"/>
                <w:sz w:val="16"/>
                <w:szCs w:val="16"/>
                <w:color w:val="auto"/>
              </w:rPr>
              <w:t>5x annual stock retainer</w:t>
            </w:r>
          </w:p>
        </w:tc>
      </w:tr>
      <w:tr>
        <w:trPr>
          <w:trHeight w:val="414"/>
        </w:trPr>
        <w:tc>
          <w:tcPr>
            <w:tcW w:w="4200" w:type="dxa"/>
            <w:vAlign w:val="bottom"/>
          </w:tcPr>
          <w:p>
            <w:pPr>
              <w:spacing w:after="0"/>
              <w:rPr>
                <w:sz w:val="20"/>
                <w:szCs w:val="20"/>
                <w:color w:val="auto"/>
              </w:rPr>
            </w:pPr>
            <w:r>
              <w:rPr>
                <w:rFonts w:ascii="Arial" w:cs="Arial" w:eastAsia="Arial" w:hAnsi="Arial"/>
                <w:sz w:val="16"/>
                <w:szCs w:val="16"/>
                <w:b w:val="1"/>
                <w:bCs w:val="1"/>
                <w:color w:val="auto"/>
              </w:rPr>
              <w:t>Regulatory Impact on Compensation</w:t>
            </w:r>
          </w:p>
        </w:tc>
        <w:tc>
          <w:tcPr>
            <w:tcW w:w="7040" w:type="dxa"/>
            <w:vAlign w:val="bottom"/>
          </w:tcPr>
          <w:p>
            <w:pPr>
              <w:spacing w:after="0"/>
              <w:rPr>
                <w:sz w:val="24"/>
                <w:szCs w:val="24"/>
                <w:color w:val="auto"/>
              </w:rPr>
            </w:pPr>
          </w:p>
        </w:tc>
      </w:tr>
    </w:tbl>
    <w:p>
      <w:pPr>
        <w:spacing w:after="0" w:line="179"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As a publicly traded financial institution, the Company must comply with multiple layers of regulations when considering and implementing compensation decisions. Although these regulations do not set specific parameters within which compensation decisions must be made, they do require that the Company and the Compensation Committee be mindful of the risks associated with compensation programs designed to incentivize superior performance.</w:t>
      </w:r>
    </w:p>
    <w:p>
      <w:pPr>
        <w:spacing w:after="0" w:line="174"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Under the FDIC’s 2015 Interagency Guidelines Establishing Standards for Safety and Soundness (the “</w:t>
      </w:r>
      <w:r>
        <w:rPr>
          <w:rFonts w:ascii="Arial" w:cs="Arial" w:eastAsia="Arial" w:hAnsi="Arial"/>
          <w:sz w:val="16"/>
          <w:szCs w:val="16"/>
          <w:b w:val="1"/>
          <w:bCs w:val="1"/>
          <w:color w:val="auto"/>
        </w:rPr>
        <w:t>Safety and Soundness Standards</w:t>
      </w:r>
      <w:r>
        <w:rPr>
          <w:rFonts w:ascii="Arial" w:cs="Arial" w:eastAsia="Arial" w:hAnsi="Arial"/>
          <w:sz w:val="16"/>
          <w:szCs w:val="16"/>
          <w:color w:val="auto"/>
        </w:rPr>
        <w:t>”), excessive compensation is prohibited as an unsafe and unsound practice. The FDIC has indicated that financial institutions should consider whether aggregate cash amounts paid, or non-cash benefits provided to an employee are unreasonable or disproportionate to the services the employee performs. The Safety and Soundness Standards set forth a framework within which financial institutions should evaluate an employee’s compensation, with factors including compensation history, internal pay equity and, if appropriate, comparable compensation practices at peer institutions. In order to give the assessment proper context, the assessment should be made in light of the financial institution's overall financial condition.</w:t>
      </w:r>
    </w:p>
    <w:p>
      <w:pPr>
        <w:spacing w:after="0" w:line="184"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Separately, in 2010, the federal regulatory agencies, including the FDIC, the Federal Reserve, and the Office of the Comptroller of the Currency, together, issued the Guidance on Sound Incentive Compensation Policies (the “</w:t>
      </w:r>
      <w:r>
        <w:rPr>
          <w:rFonts w:ascii="Arial" w:cs="Arial" w:eastAsia="Arial" w:hAnsi="Arial"/>
          <w:sz w:val="16"/>
          <w:szCs w:val="16"/>
          <w:b w:val="1"/>
          <w:bCs w:val="1"/>
          <w:color w:val="auto"/>
        </w:rPr>
        <w:t>Joint Guidance</w:t>
      </w:r>
      <w:r>
        <w:rPr>
          <w:rFonts w:ascii="Arial" w:cs="Arial" w:eastAsia="Arial" w:hAnsi="Arial"/>
          <w:sz w:val="16"/>
          <w:szCs w:val="16"/>
          <w:color w:val="auto"/>
        </w:rPr>
        <w:t>”). The Joint Guidance complements the Safety and Soundness Standards and establishes a framework within which financial institutions must assess the soundness of their incentive compensation plans, programs and arrangements. Because the Joint Guidance is limited to senior executive officers and those other individuals who, either alone or as a group, could pose a material risk to the financial institution, it is somewhat narrower in scope than the Safety and Soundness Standards. With respect to those individuals to which it applies, the Joint Guidance aims to ensure that any available incentive compensation arrangements appropriately balance risk and reward, are compatible with effective controls and risk management and have the support of strong corporate governance.</w:t>
      </w:r>
    </w:p>
    <w:p>
      <w:pPr>
        <w:spacing w:after="0" w:line="185"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addition to the foregoing, proposed rules under relevant provisions of the Dodd-Frank Wall Street Reform and Consumer Protection Act of 2010 (the “</w:t>
      </w:r>
      <w:r>
        <w:rPr>
          <w:rFonts w:ascii="Arial" w:cs="Arial" w:eastAsia="Arial" w:hAnsi="Arial"/>
          <w:sz w:val="16"/>
          <w:szCs w:val="16"/>
          <w:b w:val="1"/>
          <w:bCs w:val="1"/>
          <w:color w:val="auto"/>
        </w:rPr>
        <w:t>Dodd-Frank Act</w:t>
      </w:r>
      <w:r>
        <w:rPr>
          <w:rFonts w:ascii="Arial" w:cs="Arial" w:eastAsia="Arial" w:hAnsi="Arial"/>
          <w:sz w:val="16"/>
          <w:szCs w:val="16"/>
          <w:color w:val="auto"/>
        </w:rPr>
        <w:t>”) that intend to implement further risk assessment guidelines and procedures with respect to incentive-based compensation may eventually be</w:t>
      </w:r>
      <w:r>
        <w:rPr>
          <w:rFonts w:ascii="Arial" w:cs="Arial" w:eastAsia="Arial" w:hAnsi="Arial"/>
          <w:sz w:val="16"/>
          <w:szCs w:val="16"/>
          <w:b w:val="1"/>
          <w:bCs w:val="1"/>
          <w:color w:val="auto"/>
        </w:rPr>
        <w:t xml:space="preserve"> </w:t>
      </w:r>
      <w:r>
        <w:rPr>
          <w:rFonts w:ascii="Arial" w:cs="Arial" w:eastAsia="Arial" w:hAnsi="Arial"/>
          <w:sz w:val="16"/>
          <w:szCs w:val="16"/>
          <w:color w:val="auto"/>
        </w:rPr>
        <w:t>finalized by the financial services regulatory agencies. Versions of these proposed rules have now been issued three times: first during 2011, then again during 2016, and most recently in 2024 (which was subsequently withdrawn); however, none of these proposed rules has been finalized. If any such rules are finalized, they may impose additional compensation-related risk assessment guidelines, procedures and requirements on the Company and the Bank.</w:t>
      </w:r>
    </w:p>
    <w:p>
      <w:pPr>
        <w:spacing w:after="0" w:line="182" w:lineRule="exact"/>
        <w:rPr>
          <w:sz w:val="20"/>
          <w:szCs w:val="20"/>
          <w:color w:val="auto"/>
        </w:rPr>
      </w:pPr>
    </w:p>
    <w:p>
      <w:pPr>
        <w:ind w:right="220"/>
        <w:spacing w:after="0" w:line="255" w:lineRule="auto"/>
        <w:rPr>
          <w:sz w:val="20"/>
          <w:szCs w:val="20"/>
          <w:color w:val="auto"/>
        </w:rPr>
      </w:pPr>
      <w:r>
        <w:rPr>
          <w:rFonts w:ascii="Arial" w:cs="Arial" w:eastAsia="Arial" w:hAnsi="Arial"/>
          <w:sz w:val="16"/>
          <w:szCs w:val="16"/>
          <w:color w:val="auto"/>
        </w:rPr>
        <w:t>The Company is also subject to the SEC’s rules regarding risk assessment, which apply to all publicly traded companies. The SEC maintains specific compensation risk assessment rules, applicable generally to publicly traded companies, which require the issuer to determine whether any of its existing incentive compensation plans, programs or arrangements create risks that are reasonably likely to have a material adverse effect on the issuer and, if so, to disclose information about such arrangements.</w:t>
      </w:r>
    </w:p>
    <w:p>
      <w:pPr>
        <w:spacing w:after="0" w:line="152"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Company’s Compensation Committee completes a risk assessment of the Company’s compensation programs and components on an annual basis. The Committee has determined that the Company’s incentive compensation plans, programs and arrangements do not create risks that are reasonably likely to have a material adverse effect on the Company.</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062B48"/>
        </w:rPr>
        <w:t>Compensation Committee Report</w:t>
      </w:r>
    </w:p>
    <w:p>
      <w:pPr>
        <w:spacing w:after="0" w:line="200" w:lineRule="exact"/>
        <w:rPr>
          <w:sz w:val="20"/>
          <w:szCs w:val="20"/>
          <w:color w:val="auto"/>
        </w:rPr>
      </w:pPr>
    </w:p>
    <w:p>
      <w:pPr>
        <w:spacing w:after="0" w:line="256"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Compensation Committee has reviewed and discussed with management the CD&amp;A included in this Proxy Statement and based upon such review and discussion, the Compensation Committee has recommended to the Board that the CD&amp;A be included in this Proxy Statement and the Company's Annual Report on Form 10-K for the year ended December 31, 2025.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report submitted on behalf of the current members of the Compensation Committee: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Mary E. Zimmer (Chair)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Galen G. Vetter</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Nikki L. Sorum</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Jeffrey W. Bolton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390525</wp:posOffset>
            </wp:positionV>
            <wp:extent cx="593090" cy="1187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29</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28"/>
          <w:szCs w:val="28"/>
          <w:color w:val="auto"/>
        </w:rPr>
        <w:t>Executive Compensation</w:t>
      </w:r>
    </w:p>
    <w:p>
      <w:pPr>
        <w:spacing w:after="0" w:line="243" w:lineRule="exact"/>
        <w:rPr>
          <w:sz w:val="20"/>
          <w:szCs w:val="20"/>
          <w:color w:val="auto"/>
        </w:rPr>
      </w:pPr>
    </w:p>
    <w:p>
      <w:pPr>
        <w:jc w:val="both"/>
        <w:ind w:right="440"/>
        <w:spacing w:after="0" w:line="261" w:lineRule="auto"/>
        <w:rPr>
          <w:sz w:val="20"/>
          <w:szCs w:val="20"/>
          <w:color w:val="auto"/>
        </w:rPr>
      </w:pPr>
      <w:r>
        <w:rPr>
          <w:rFonts w:ascii="Arial" w:cs="Arial" w:eastAsia="Arial" w:hAnsi="Arial"/>
          <w:sz w:val="16"/>
          <w:szCs w:val="16"/>
          <w:color w:val="auto"/>
        </w:rPr>
        <w:t>The compensation reported in the Summary Compensation Table ("</w:t>
      </w:r>
      <w:r>
        <w:rPr>
          <w:rFonts w:ascii="Arial" w:cs="Arial" w:eastAsia="Arial" w:hAnsi="Arial"/>
          <w:sz w:val="16"/>
          <w:szCs w:val="16"/>
          <w:b w:val="1"/>
          <w:bCs w:val="1"/>
          <w:color w:val="auto"/>
        </w:rPr>
        <w:t>SCT</w:t>
      </w:r>
      <w:r>
        <w:rPr>
          <w:rFonts w:ascii="Arial" w:cs="Arial" w:eastAsia="Arial" w:hAnsi="Arial"/>
          <w:sz w:val="16"/>
          <w:szCs w:val="16"/>
          <w:color w:val="auto"/>
        </w:rPr>
        <w:t>") below is not necessarily indicative of how we will compensate our NEOs in the future. We will continue to review, evaluate and modify our compensation framework to maintain a competitive total compensation package. As such, the compensation program in the future could vary from our historical practices.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Our named executive officers (“</w:t>
      </w:r>
      <w:r>
        <w:rPr>
          <w:rFonts w:ascii="Arial" w:cs="Arial" w:eastAsia="Arial" w:hAnsi="Arial"/>
          <w:sz w:val="16"/>
          <w:szCs w:val="16"/>
          <w:b w:val="1"/>
          <w:bCs w:val="1"/>
          <w:color w:val="auto"/>
        </w:rPr>
        <w:t>NEOs</w:t>
      </w:r>
      <w:r>
        <w:rPr>
          <w:rFonts w:ascii="Arial" w:cs="Arial" w:eastAsia="Arial" w:hAnsi="Arial"/>
          <w:sz w:val="16"/>
          <w:szCs w:val="16"/>
          <w:color w:val="auto"/>
        </w:rPr>
        <w:t>”) for 2025 were:</w:t>
      </w:r>
    </w:p>
    <w:p>
      <w:pPr>
        <w:spacing w:after="0" w:line="216"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Katie A. Lorenson, President and Chief Executive Officer;</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Alan A. Villalon, Executive Vice President and Chief Financial Officer;</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Jim R. Collins, Executive Vice President and Chief Banking and Revenue Officer;</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Karin M. Taylor, Executive Vice President and Chief Operating Officer; and</w:t>
      </w:r>
    </w:p>
    <w:p>
      <w:pPr>
        <w:spacing w:after="0" w:line="69" w:lineRule="exact"/>
        <w:rPr>
          <w:rFonts w:ascii="Arial" w:cs="Arial" w:eastAsia="Arial" w:hAnsi="Arial"/>
          <w:sz w:val="16"/>
          <w:szCs w:val="16"/>
          <w:color w:val="auto"/>
        </w:rPr>
      </w:pPr>
    </w:p>
    <w:p>
      <w:pPr>
        <w:ind w:left="320" w:hanging="313"/>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Forrest R. Wilson, Executive Vice President and Chief Retirement Services Officer.</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1AB2D2"/>
        </w:rPr>
        <w:t>SUMMARY COMPENSATION TABLE</w:t>
      </w:r>
    </w:p>
    <w:p>
      <w:pPr>
        <w:spacing w:after="0" w:line="70"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The following table sets forth information regarding the compensation for each of our named executive officers for our fiscal years ended December 31, 2025, 2024 and 2023: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shd w:val="clear" w:color="auto" w:fill="062B48"/>
          </w:tcPr>
          <w:p>
            <w:pPr>
              <w:spacing w:after="0"/>
              <w:rPr>
                <w:sz w:val="14"/>
                <w:szCs w:val="14"/>
                <w:color w:val="auto"/>
              </w:rPr>
            </w:pPr>
          </w:p>
        </w:tc>
        <w:tc>
          <w:tcPr>
            <w:tcW w:w="58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40" w:type="dxa"/>
            <w:vAlign w:val="bottom"/>
            <w:shd w:val="clear" w:color="auto" w:fill="062B48"/>
          </w:tcPr>
          <w:p>
            <w:pPr>
              <w:spacing w:after="0"/>
              <w:rPr>
                <w:sz w:val="14"/>
                <w:szCs w:val="14"/>
                <w:color w:val="auto"/>
              </w:rPr>
            </w:pPr>
          </w:p>
        </w:tc>
        <w:tc>
          <w:tcPr>
            <w:tcW w:w="380" w:type="dxa"/>
            <w:vAlign w:val="bottom"/>
            <w:shd w:val="clear" w:color="auto" w:fill="062B48"/>
          </w:tcPr>
          <w:p>
            <w:pPr>
              <w:spacing w:after="0"/>
              <w:rPr>
                <w:sz w:val="14"/>
                <w:szCs w:val="14"/>
                <w:color w:val="auto"/>
              </w:rPr>
            </w:pPr>
          </w:p>
        </w:tc>
        <w:tc>
          <w:tcPr>
            <w:tcW w:w="1240" w:type="dxa"/>
            <w:vAlign w:val="bottom"/>
            <w:shd w:val="clear" w:color="auto" w:fill="062B48"/>
          </w:tcPr>
          <w:p>
            <w:pPr>
              <w:spacing w:after="0"/>
              <w:rPr>
                <w:sz w:val="14"/>
                <w:szCs w:val="14"/>
                <w:color w:val="auto"/>
              </w:rPr>
            </w:pPr>
          </w:p>
        </w:tc>
        <w:tc>
          <w:tcPr>
            <w:tcW w:w="460" w:type="dxa"/>
            <w:vAlign w:val="bottom"/>
            <w:shd w:val="clear" w:color="auto" w:fill="062B48"/>
          </w:tcPr>
          <w:p>
            <w:pPr>
              <w:spacing w:after="0"/>
              <w:rPr>
                <w:sz w:val="14"/>
                <w:szCs w:val="14"/>
                <w:color w:val="auto"/>
              </w:rPr>
            </w:pPr>
          </w:p>
        </w:tc>
        <w:tc>
          <w:tcPr>
            <w:tcW w:w="860" w:type="dxa"/>
            <w:vAlign w:val="bottom"/>
            <w:shd w:val="clear" w:color="auto" w:fill="062B48"/>
          </w:tcPr>
          <w:p>
            <w:pPr>
              <w:spacing w:after="0"/>
              <w:rPr>
                <w:sz w:val="14"/>
                <w:szCs w:val="14"/>
                <w:color w:val="auto"/>
              </w:rPr>
            </w:pPr>
          </w:p>
        </w:tc>
        <w:tc>
          <w:tcPr>
            <w:tcW w:w="220" w:type="dxa"/>
            <w:vAlign w:val="bottom"/>
            <w:shd w:val="clear" w:color="auto" w:fill="062B48"/>
          </w:tcPr>
          <w:p>
            <w:pPr>
              <w:spacing w:after="0"/>
              <w:rPr>
                <w:sz w:val="14"/>
                <w:szCs w:val="14"/>
                <w:color w:val="auto"/>
              </w:rPr>
            </w:pPr>
          </w:p>
        </w:tc>
        <w:tc>
          <w:tcPr>
            <w:tcW w:w="1100" w:type="dxa"/>
            <w:vAlign w:val="bottom"/>
            <w:shd w:val="clear" w:color="auto" w:fill="062B48"/>
          </w:tcPr>
          <w:p>
            <w:pPr>
              <w:jc w:val="right"/>
              <w:ind w:right="209"/>
              <w:spacing w:after="0"/>
              <w:rPr>
                <w:sz w:val="20"/>
                <w:szCs w:val="20"/>
                <w:color w:val="auto"/>
              </w:rPr>
            </w:pPr>
            <w:r>
              <w:rPr>
                <w:rFonts w:ascii="Calibri" w:cs="Calibri" w:eastAsia="Calibri" w:hAnsi="Calibri"/>
                <w:sz w:val="14"/>
                <w:szCs w:val="14"/>
                <w:b w:val="1"/>
                <w:bCs w:val="1"/>
                <w:color w:val="FFFFFF"/>
              </w:rPr>
              <w:t>NON-EQUITY</w:t>
            </w:r>
          </w:p>
        </w:tc>
        <w:tc>
          <w:tcPr>
            <w:tcW w:w="260" w:type="dxa"/>
            <w:vAlign w:val="bottom"/>
            <w:shd w:val="clear" w:color="auto" w:fill="062B48"/>
          </w:tcPr>
          <w:p>
            <w:pPr>
              <w:spacing w:after="0"/>
              <w:rPr>
                <w:sz w:val="14"/>
                <w:szCs w:val="14"/>
                <w:color w:val="auto"/>
              </w:rPr>
            </w:pPr>
          </w:p>
        </w:tc>
        <w:tc>
          <w:tcPr>
            <w:tcW w:w="1060" w:type="dxa"/>
            <w:vAlign w:val="bottom"/>
            <w:vMerge w:val="restart"/>
            <w:shd w:val="clear" w:color="auto" w:fill="062B48"/>
          </w:tcPr>
          <w:p>
            <w:pPr>
              <w:jc w:val="right"/>
              <w:ind w:right="269"/>
              <w:spacing w:after="0"/>
              <w:rPr>
                <w:sz w:val="20"/>
                <w:szCs w:val="20"/>
                <w:color w:val="auto"/>
              </w:rPr>
            </w:pPr>
            <w:r>
              <w:rPr>
                <w:rFonts w:ascii="Calibri" w:cs="Calibri" w:eastAsia="Calibri" w:hAnsi="Calibri"/>
                <w:sz w:val="14"/>
                <w:szCs w:val="14"/>
                <w:b w:val="1"/>
                <w:bCs w:val="1"/>
                <w:color w:val="FFFFFF"/>
              </w:rPr>
              <w:t>ALL OTHER</w:t>
            </w:r>
          </w:p>
        </w:tc>
        <w:tc>
          <w:tcPr>
            <w:tcW w:w="32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2460" w:type="dxa"/>
            <w:vAlign w:val="bottom"/>
            <w:vMerge w:val="restart"/>
            <w:shd w:val="clear" w:color="auto" w:fill="062B48"/>
          </w:tcPr>
          <w:p>
            <w:pPr>
              <w:spacing w:after="0"/>
              <w:rPr>
                <w:sz w:val="20"/>
                <w:szCs w:val="20"/>
                <w:color w:val="auto"/>
              </w:rPr>
            </w:pPr>
            <w:r>
              <w:rPr>
                <w:rFonts w:ascii="Calibri" w:cs="Calibri" w:eastAsia="Calibri" w:hAnsi="Calibri"/>
                <w:sz w:val="14"/>
                <w:szCs w:val="14"/>
                <w:b w:val="1"/>
                <w:bCs w:val="1"/>
                <w:color w:val="FFFFFF"/>
              </w:rPr>
              <w:t>NAME AND PRINCIPAL POSITION</w:t>
            </w:r>
          </w:p>
        </w:tc>
        <w:tc>
          <w:tcPr>
            <w:tcW w:w="580" w:type="dxa"/>
            <w:vAlign w:val="bottom"/>
            <w:vMerge w:val="restart"/>
            <w:shd w:val="clear" w:color="auto" w:fill="062B48"/>
          </w:tcPr>
          <w:p>
            <w:pPr>
              <w:ind w:left="180"/>
              <w:spacing w:after="0"/>
              <w:rPr>
                <w:sz w:val="20"/>
                <w:szCs w:val="20"/>
                <w:color w:val="auto"/>
              </w:rPr>
            </w:pPr>
            <w:r>
              <w:rPr>
                <w:rFonts w:ascii="Calibri" w:cs="Calibri" w:eastAsia="Calibri" w:hAnsi="Calibri"/>
                <w:sz w:val="14"/>
                <w:szCs w:val="14"/>
                <w:b w:val="1"/>
                <w:bCs w:val="1"/>
                <w:color w:val="FFFFFF"/>
              </w:rPr>
              <w:t>YEAR</w:t>
            </w:r>
          </w:p>
        </w:tc>
        <w:tc>
          <w:tcPr>
            <w:tcW w:w="260" w:type="dxa"/>
            <w:vAlign w:val="bottom"/>
            <w:shd w:val="clear" w:color="auto" w:fill="062B48"/>
          </w:tcPr>
          <w:p>
            <w:pPr>
              <w:spacing w:after="0"/>
              <w:rPr>
                <w:sz w:val="6"/>
                <w:szCs w:val="6"/>
                <w:color w:val="auto"/>
              </w:rPr>
            </w:pPr>
          </w:p>
        </w:tc>
        <w:tc>
          <w:tcPr>
            <w:tcW w:w="1040" w:type="dxa"/>
            <w:vAlign w:val="bottom"/>
            <w:vMerge w:val="restart"/>
            <w:shd w:val="clear" w:color="auto" w:fill="062B48"/>
          </w:tcPr>
          <w:p>
            <w:pPr>
              <w:jc w:val="right"/>
              <w:ind w:right="290"/>
              <w:spacing w:after="0" w:line="174" w:lineRule="exact"/>
              <w:rPr>
                <w:sz w:val="20"/>
                <w:szCs w:val="20"/>
                <w:color w:val="auto"/>
              </w:rPr>
            </w:pPr>
            <w:r>
              <w:rPr>
                <w:rFonts w:ascii="Calibri" w:cs="Calibri" w:eastAsia="Calibri" w:hAnsi="Calibri"/>
                <w:sz w:val="12"/>
                <w:szCs w:val="12"/>
                <w:b w:val="1"/>
                <w:bCs w:val="1"/>
                <w:color w:val="FFFFFF"/>
              </w:rPr>
              <w:t>SALARY</w:t>
            </w:r>
            <w:r>
              <w:rPr>
                <w:rFonts w:ascii="Calibri" w:cs="Calibri" w:eastAsia="Calibri" w:hAnsi="Calibri"/>
                <w:sz w:val="18"/>
                <w:szCs w:val="18"/>
                <w:b w:val="1"/>
                <w:bCs w:val="1"/>
                <w:color w:val="FFFFFF"/>
                <w:vertAlign w:val="superscript"/>
              </w:rPr>
              <w:t>(1)</w:t>
            </w:r>
          </w:p>
        </w:tc>
        <w:tc>
          <w:tcPr>
            <w:tcW w:w="380" w:type="dxa"/>
            <w:vAlign w:val="bottom"/>
            <w:shd w:val="clear" w:color="auto" w:fill="062B48"/>
          </w:tcPr>
          <w:p>
            <w:pPr>
              <w:spacing w:after="0"/>
              <w:rPr>
                <w:sz w:val="6"/>
                <w:szCs w:val="6"/>
                <w:color w:val="auto"/>
              </w:rPr>
            </w:pPr>
          </w:p>
        </w:tc>
        <w:tc>
          <w:tcPr>
            <w:tcW w:w="1240" w:type="dxa"/>
            <w:vAlign w:val="bottom"/>
            <w:vMerge w:val="restart"/>
            <w:shd w:val="clear" w:color="auto" w:fill="062B48"/>
          </w:tcPr>
          <w:p>
            <w:pPr>
              <w:jc w:val="right"/>
              <w:ind w:right="529"/>
              <w:spacing w:after="0"/>
              <w:rPr>
                <w:sz w:val="20"/>
                <w:szCs w:val="20"/>
                <w:color w:val="auto"/>
              </w:rPr>
            </w:pPr>
            <w:r>
              <w:rPr>
                <w:rFonts w:ascii="Calibri" w:cs="Calibri" w:eastAsia="Calibri" w:hAnsi="Calibri"/>
                <w:sz w:val="14"/>
                <w:szCs w:val="14"/>
                <w:b w:val="1"/>
                <w:bCs w:val="1"/>
                <w:color w:val="FFFFFF"/>
              </w:rPr>
              <w:t>BONUS</w:t>
            </w:r>
          </w:p>
        </w:tc>
        <w:tc>
          <w:tcPr>
            <w:tcW w:w="1320" w:type="dxa"/>
            <w:vAlign w:val="bottom"/>
            <w:gridSpan w:val="2"/>
            <w:vMerge w:val="restart"/>
            <w:shd w:val="clear" w:color="auto" w:fill="062B48"/>
          </w:tcPr>
          <w:p>
            <w:pPr>
              <w:ind w:left="120"/>
              <w:spacing w:after="0" w:line="174" w:lineRule="exact"/>
              <w:rPr>
                <w:sz w:val="20"/>
                <w:szCs w:val="20"/>
                <w:color w:val="auto"/>
              </w:rPr>
            </w:pPr>
            <w:r>
              <w:rPr>
                <w:rFonts w:ascii="Calibri" w:cs="Calibri" w:eastAsia="Calibri" w:hAnsi="Calibri"/>
                <w:sz w:val="12"/>
                <w:szCs w:val="12"/>
                <w:b w:val="1"/>
                <w:bCs w:val="1"/>
                <w:color w:val="FFFFFF"/>
              </w:rPr>
              <w:t>STOCK AWARDS</w:t>
            </w:r>
            <w:r>
              <w:rPr>
                <w:rFonts w:ascii="Calibri" w:cs="Calibri" w:eastAsia="Calibri" w:hAnsi="Calibri"/>
                <w:sz w:val="18"/>
                <w:szCs w:val="18"/>
                <w:b w:val="1"/>
                <w:bCs w:val="1"/>
                <w:color w:val="FFFFFF"/>
                <w:vertAlign w:val="superscript"/>
              </w:rPr>
              <w:t>(2)</w:t>
            </w:r>
          </w:p>
        </w:tc>
        <w:tc>
          <w:tcPr>
            <w:tcW w:w="1320" w:type="dxa"/>
            <w:vAlign w:val="bottom"/>
            <w:gridSpan w:val="2"/>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INCENTIVE PLAN</w:t>
            </w:r>
          </w:p>
        </w:tc>
        <w:tc>
          <w:tcPr>
            <w:tcW w:w="260" w:type="dxa"/>
            <w:vAlign w:val="bottom"/>
            <w:shd w:val="clear" w:color="auto" w:fill="062B48"/>
          </w:tcPr>
          <w:p>
            <w:pPr>
              <w:spacing w:after="0"/>
              <w:rPr>
                <w:sz w:val="6"/>
                <w:szCs w:val="6"/>
                <w:color w:val="auto"/>
              </w:rPr>
            </w:pPr>
          </w:p>
        </w:tc>
        <w:tc>
          <w:tcPr>
            <w:tcW w:w="1060" w:type="dxa"/>
            <w:vAlign w:val="bottom"/>
            <w:vMerge w:val="continue"/>
            <w:shd w:val="clear" w:color="auto" w:fill="062B48"/>
          </w:tcPr>
          <w:p>
            <w:pPr>
              <w:spacing w:after="0"/>
              <w:rPr>
                <w:sz w:val="6"/>
                <w:szCs w:val="6"/>
                <w:color w:val="auto"/>
              </w:rPr>
            </w:pPr>
          </w:p>
        </w:tc>
        <w:tc>
          <w:tcPr>
            <w:tcW w:w="320" w:type="dxa"/>
            <w:vAlign w:val="bottom"/>
            <w:shd w:val="clear" w:color="auto" w:fill="062B48"/>
          </w:tcPr>
          <w:p>
            <w:pPr>
              <w:spacing w:after="0"/>
              <w:rPr>
                <w:sz w:val="6"/>
                <w:szCs w:val="6"/>
                <w:color w:val="auto"/>
              </w:rPr>
            </w:pPr>
          </w:p>
        </w:tc>
        <w:tc>
          <w:tcPr>
            <w:tcW w:w="1000" w:type="dxa"/>
            <w:vAlign w:val="bottom"/>
            <w:vMerge w:val="restart"/>
            <w:shd w:val="clear" w:color="auto" w:fill="062B48"/>
          </w:tcPr>
          <w:p>
            <w:pPr>
              <w:jc w:val="right"/>
              <w:ind w:right="409"/>
              <w:spacing w:after="0"/>
              <w:rPr>
                <w:sz w:val="20"/>
                <w:szCs w:val="20"/>
                <w:color w:val="auto"/>
              </w:rPr>
            </w:pPr>
            <w:r>
              <w:rPr>
                <w:rFonts w:ascii="Calibri" w:cs="Calibri" w:eastAsia="Calibri" w:hAnsi="Calibri"/>
                <w:sz w:val="14"/>
                <w:szCs w:val="14"/>
                <w:b w:val="1"/>
                <w:bCs w:val="1"/>
                <w:color w:val="FFFFFF"/>
              </w:rPr>
              <w:t>TOTAL</w:t>
            </w:r>
          </w:p>
        </w:tc>
        <w:tc>
          <w:tcPr>
            <w:tcW w:w="0" w:type="dxa"/>
            <w:vAlign w:val="bottom"/>
          </w:tcPr>
          <w:p>
            <w:pPr>
              <w:spacing w:after="0"/>
              <w:rPr>
                <w:sz w:val="1"/>
                <w:szCs w:val="1"/>
                <w:color w:val="auto"/>
              </w:rPr>
            </w:pPr>
          </w:p>
        </w:tc>
      </w:tr>
      <w:tr>
        <w:trPr>
          <w:trHeight w:val="95"/>
        </w:trPr>
        <w:tc>
          <w:tcPr>
            <w:tcW w:w="2460" w:type="dxa"/>
            <w:vAlign w:val="bottom"/>
            <w:vMerge w:val="continue"/>
            <w:shd w:val="clear" w:color="auto" w:fill="062B48"/>
          </w:tcPr>
          <w:p>
            <w:pPr>
              <w:spacing w:after="0"/>
              <w:rPr>
                <w:sz w:val="8"/>
                <w:szCs w:val="8"/>
                <w:color w:val="auto"/>
              </w:rPr>
            </w:pPr>
          </w:p>
        </w:tc>
        <w:tc>
          <w:tcPr>
            <w:tcW w:w="580" w:type="dxa"/>
            <w:vAlign w:val="bottom"/>
            <w:vMerge w:val="continue"/>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40" w:type="dxa"/>
            <w:vAlign w:val="bottom"/>
            <w:vMerge w:val="continue"/>
            <w:shd w:val="clear" w:color="auto" w:fill="062B48"/>
          </w:tcPr>
          <w:p>
            <w:pPr>
              <w:spacing w:after="0"/>
              <w:rPr>
                <w:sz w:val="8"/>
                <w:szCs w:val="8"/>
                <w:color w:val="auto"/>
              </w:rPr>
            </w:pPr>
          </w:p>
        </w:tc>
        <w:tc>
          <w:tcPr>
            <w:tcW w:w="380" w:type="dxa"/>
            <w:vAlign w:val="bottom"/>
            <w:shd w:val="clear" w:color="auto" w:fill="062B48"/>
          </w:tcPr>
          <w:p>
            <w:pPr>
              <w:spacing w:after="0"/>
              <w:rPr>
                <w:sz w:val="8"/>
                <w:szCs w:val="8"/>
                <w:color w:val="auto"/>
              </w:rPr>
            </w:pPr>
          </w:p>
        </w:tc>
        <w:tc>
          <w:tcPr>
            <w:tcW w:w="1240" w:type="dxa"/>
            <w:vAlign w:val="bottom"/>
            <w:vMerge w:val="continue"/>
            <w:shd w:val="clear" w:color="auto" w:fill="062B48"/>
          </w:tcPr>
          <w:p>
            <w:pPr>
              <w:spacing w:after="0"/>
              <w:rPr>
                <w:sz w:val="8"/>
                <w:szCs w:val="8"/>
                <w:color w:val="auto"/>
              </w:rPr>
            </w:pPr>
          </w:p>
        </w:tc>
        <w:tc>
          <w:tcPr>
            <w:tcW w:w="1320" w:type="dxa"/>
            <w:vAlign w:val="bottom"/>
            <w:gridSpan w:val="2"/>
            <w:vMerge w:val="continue"/>
            <w:shd w:val="clear" w:color="auto" w:fill="062B48"/>
          </w:tcPr>
          <w:p>
            <w:pPr>
              <w:spacing w:after="0"/>
              <w:rPr>
                <w:sz w:val="8"/>
                <w:szCs w:val="8"/>
                <w:color w:val="auto"/>
              </w:rPr>
            </w:pPr>
          </w:p>
        </w:tc>
        <w:tc>
          <w:tcPr>
            <w:tcW w:w="1320" w:type="dxa"/>
            <w:vAlign w:val="bottom"/>
            <w:gridSpan w:val="2"/>
            <w:vMerge w:val="continue"/>
            <w:shd w:val="clear" w:color="auto" w:fill="062B48"/>
          </w:tcPr>
          <w:p>
            <w:pPr>
              <w:spacing w:after="0"/>
              <w:rPr>
                <w:sz w:val="8"/>
                <w:szCs w:val="8"/>
                <w:color w:val="auto"/>
              </w:rPr>
            </w:pPr>
          </w:p>
        </w:tc>
        <w:tc>
          <w:tcPr>
            <w:tcW w:w="1320" w:type="dxa"/>
            <w:vAlign w:val="bottom"/>
            <w:gridSpan w:val="2"/>
            <w:vMerge w:val="restart"/>
            <w:shd w:val="clear" w:color="auto" w:fill="062B48"/>
          </w:tcPr>
          <w:p>
            <w:pPr>
              <w:ind w:left="100"/>
              <w:spacing w:after="0" w:line="233" w:lineRule="exact"/>
              <w:rPr>
                <w:sz w:val="20"/>
                <w:szCs w:val="20"/>
                <w:color w:val="auto"/>
              </w:rPr>
            </w:pPr>
            <w:r>
              <w:rPr>
                <w:rFonts w:ascii="Calibri" w:cs="Calibri" w:eastAsia="Calibri" w:hAnsi="Calibri"/>
                <w:sz w:val="14"/>
                <w:szCs w:val="14"/>
                <w:b w:val="1"/>
                <w:bCs w:val="1"/>
                <w:color w:val="FFFFFF"/>
              </w:rPr>
              <w:t>COMPENSATION</w:t>
            </w:r>
            <w:r>
              <w:rPr>
                <w:rFonts w:ascii="Calibri" w:cs="Calibri" w:eastAsia="Calibri" w:hAnsi="Calibri"/>
                <w:sz w:val="23"/>
                <w:szCs w:val="23"/>
                <w:b w:val="1"/>
                <w:bCs w:val="1"/>
                <w:color w:val="FFFFFF"/>
                <w:vertAlign w:val="superscript"/>
              </w:rPr>
              <w:t>(4)</w:t>
            </w:r>
          </w:p>
        </w:tc>
        <w:tc>
          <w:tcPr>
            <w:tcW w:w="320" w:type="dxa"/>
            <w:vAlign w:val="bottom"/>
            <w:shd w:val="clear" w:color="auto" w:fill="062B48"/>
          </w:tcPr>
          <w:p>
            <w:pPr>
              <w:spacing w:after="0"/>
              <w:rPr>
                <w:sz w:val="8"/>
                <w:szCs w:val="8"/>
                <w:color w:val="auto"/>
              </w:rPr>
            </w:pPr>
          </w:p>
        </w:tc>
        <w:tc>
          <w:tcPr>
            <w:tcW w:w="1000" w:type="dxa"/>
            <w:vAlign w:val="bottom"/>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460" w:type="dxa"/>
            <w:vAlign w:val="bottom"/>
            <w:tcBorders>
              <w:bottom w:val="single" w:sz="8" w:color="062B48"/>
            </w:tcBorders>
            <w:shd w:val="clear" w:color="auto" w:fill="062B48"/>
          </w:tcPr>
          <w:p>
            <w:pPr>
              <w:spacing w:after="0"/>
              <w:rPr>
                <w:sz w:val="14"/>
                <w:szCs w:val="14"/>
                <w:color w:val="auto"/>
              </w:rPr>
            </w:pPr>
          </w:p>
        </w:tc>
        <w:tc>
          <w:tcPr>
            <w:tcW w:w="580" w:type="dxa"/>
            <w:vAlign w:val="bottom"/>
            <w:tcBorders>
              <w:bottom w:val="single" w:sz="8" w:color="062B48"/>
            </w:tcBorders>
            <w:shd w:val="clear" w:color="auto" w:fill="062B48"/>
          </w:tcPr>
          <w:p>
            <w:pPr>
              <w:spacing w:after="0"/>
              <w:rPr>
                <w:sz w:val="14"/>
                <w:szCs w:val="14"/>
                <w:color w:val="auto"/>
              </w:rPr>
            </w:pPr>
          </w:p>
        </w:tc>
        <w:tc>
          <w:tcPr>
            <w:tcW w:w="260" w:type="dxa"/>
            <w:vAlign w:val="bottom"/>
            <w:tcBorders>
              <w:bottom w:val="single" w:sz="8" w:color="062B48"/>
            </w:tcBorders>
            <w:shd w:val="clear" w:color="auto" w:fill="062B48"/>
          </w:tcPr>
          <w:p>
            <w:pPr>
              <w:spacing w:after="0"/>
              <w:rPr>
                <w:sz w:val="14"/>
                <w:szCs w:val="14"/>
                <w:color w:val="auto"/>
              </w:rPr>
            </w:pPr>
          </w:p>
        </w:tc>
        <w:tc>
          <w:tcPr>
            <w:tcW w:w="1040" w:type="dxa"/>
            <w:vAlign w:val="bottom"/>
            <w:tcBorders>
              <w:bottom w:val="single" w:sz="8" w:color="062B48"/>
            </w:tcBorders>
            <w:shd w:val="clear" w:color="auto" w:fill="062B48"/>
          </w:tcPr>
          <w:p>
            <w:pPr>
              <w:spacing w:after="0"/>
              <w:rPr>
                <w:sz w:val="14"/>
                <w:szCs w:val="14"/>
                <w:color w:val="auto"/>
              </w:rPr>
            </w:pPr>
          </w:p>
        </w:tc>
        <w:tc>
          <w:tcPr>
            <w:tcW w:w="380" w:type="dxa"/>
            <w:vAlign w:val="bottom"/>
            <w:tcBorders>
              <w:bottom w:val="single" w:sz="8" w:color="062B48"/>
            </w:tcBorders>
            <w:shd w:val="clear" w:color="auto" w:fill="062B48"/>
          </w:tcPr>
          <w:p>
            <w:pPr>
              <w:spacing w:after="0"/>
              <w:rPr>
                <w:sz w:val="14"/>
                <w:szCs w:val="14"/>
                <w:color w:val="auto"/>
              </w:rPr>
            </w:pPr>
          </w:p>
        </w:tc>
        <w:tc>
          <w:tcPr>
            <w:tcW w:w="1240" w:type="dxa"/>
            <w:vAlign w:val="bottom"/>
            <w:tcBorders>
              <w:bottom w:val="single" w:sz="8" w:color="062B48"/>
            </w:tcBorders>
            <w:shd w:val="clear" w:color="auto" w:fill="062B48"/>
          </w:tcPr>
          <w:p>
            <w:pPr>
              <w:spacing w:after="0"/>
              <w:rPr>
                <w:sz w:val="14"/>
                <w:szCs w:val="14"/>
                <w:color w:val="auto"/>
              </w:rPr>
            </w:pPr>
          </w:p>
        </w:tc>
        <w:tc>
          <w:tcPr>
            <w:tcW w:w="460" w:type="dxa"/>
            <w:vAlign w:val="bottom"/>
            <w:tcBorders>
              <w:bottom w:val="single" w:sz="8" w:color="062B48"/>
            </w:tcBorders>
            <w:shd w:val="clear" w:color="auto" w:fill="062B48"/>
          </w:tcPr>
          <w:p>
            <w:pPr>
              <w:spacing w:after="0"/>
              <w:rPr>
                <w:sz w:val="14"/>
                <w:szCs w:val="14"/>
                <w:color w:val="auto"/>
              </w:rPr>
            </w:pPr>
          </w:p>
        </w:tc>
        <w:tc>
          <w:tcPr>
            <w:tcW w:w="860" w:type="dxa"/>
            <w:vAlign w:val="bottom"/>
            <w:tcBorders>
              <w:bottom w:val="single" w:sz="8" w:color="062B48"/>
            </w:tcBorders>
            <w:shd w:val="clear" w:color="auto" w:fill="062B48"/>
          </w:tcPr>
          <w:p>
            <w:pPr>
              <w:spacing w:after="0"/>
              <w:rPr>
                <w:sz w:val="14"/>
                <w:szCs w:val="14"/>
                <w:color w:val="auto"/>
              </w:rPr>
            </w:pPr>
          </w:p>
        </w:tc>
        <w:tc>
          <w:tcPr>
            <w:tcW w:w="1320" w:type="dxa"/>
            <w:vAlign w:val="bottom"/>
            <w:tcBorders>
              <w:bottom w:val="single" w:sz="8" w:color="062B48"/>
            </w:tcBorders>
            <w:gridSpan w:val="2"/>
            <w:shd w:val="clear" w:color="auto" w:fill="062B48"/>
          </w:tcPr>
          <w:p>
            <w:pPr>
              <w:ind w:left="100"/>
              <w:spacing w:after="0" w:line="171" w:lineRule="exact"/>
              <w:rPr>
                <w:sz w:val="20"/>
                <w:szCs w:val="20"/>
                <w:color w:val="auto"/>
              </w:rPr>
            </w:pPr>
            <w:r>
              <w:rPr>
                <w:rFonts w:ascii="Calibri" w:cs="Calibri" w:eastAsia="Calibri" w:hAnsi="Calibri"/>
                <w:sz w:val="12"/>
                <w:szCs w:val="12"/>
                <w:b w:val="1"/>
                <w:bCs w:val="1"/>
                <w:color w:val="FFFFFF"/>
              </w:rPr>
              <w:t>COMPENSATION</w:t>
            </w:r>
            <w:r>
              <w:rPr>
                <w:rFonts w:ascii="Calibri" w:cs="Calibri" w:eastAsia="Calibri" w:hAnsi="Calibri"/>
                <w:sz w:val="18"/>
                <w:szCs w:val="18"/>
                <w:b w:val="1"/>
                <w:bCs w:val="1"/>
                <w:color w:val="FFFFFF"/>
                <w:vertAlign w:val="superscript"/>
              </w:rPr>
              <w:t>(3)</w:t>
            </w:r>
          </w:p>
        </w:tc>
        <w:tc>
          <w:tcPr>
            <w:tcW w:w="1320" w:type="dxa"/>
            <w:vAlign w:val="bottom"/>
            <w:tcBorders>
              <w:bottom w:val="single" w:sz="8" w:color="062B48"/>
            </w:tcBorders>
            <w:gridSpan w:val="2"/>
            <w:vMerge w:val="continue"/>
            <w:shd w:val="clear" w:color="auto" w:fill="062B48"/>
          </w:tcPr>
          <w:p>
            <w:pPr>
              <w:spacing w:after="0"/>
              <w:rPr>
                <w:sz w:val="14"/>
                <w:szCs w:val="14"/>
                <w:color w:val="auto"/>
              </w:rPr>
            </w:pPr>
          </w:p>
        </w:tc>
        <w:tc>
          <w:tcPr>
            <w:tcW w:w="320" w:type="dxa"/>
            <w:vAlign w:val="bottom"/>
            <w:tcBorders>
              <w:bottom w:val="single" w:sz="8" w:color="062B48"/>
            </w:tcBorders>
            <w:shd w:val="clear" w:color="auto" w:fill="062B48"/>
          </w:tcPr>
          <w:p>
            <w:pPr>
              <w:spacing w:after="0"/>
              <w:rPr>
                <w:sz w:val="14"/>
                <w:szCs w:val="14"/>
                <w:color w:val="auto"/>
              </w:rPr>
            </w:pPr>
          </w:p>
        </w:tc>
        <w:tc>
          <w:tcPr>
            <w:tcW w:w="1000" w:type="dxa"/>
            <w:vAlign w:val="bottom"/>
            <w:tcBorders>
              <w:bottom w:val="single" w:sz="8" w:color="062B48"/>
            </w:tcBorders>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460" w:type="dxa"/>
            <w:vAlign w:val="bottom"/>
          </w:tcPr>
          <w:p>
            <w:pPr>
              <w:spacing w:after="0" w:line="159" w:lineRule="exact"/>
              <w:rPr>
                <w:sz w:val="20"/>
                <w:szCs w:val="20"/>
                <w:color w:val="auto"/>
              </w:rPr>
            </w:pPr>
            <w:r>
              <w:rPr>
                <w:rFonts w:ascii="Calibri" w:cs="Calibri" w:eastAsia="Calibri" w:hAnsi="Calibri"/>
                <w:sz w:val="14"/>
                <w:szCs w:val="14"/>
                <w:color w:val="auto"/>
              </w:rPr>
              <w:t>Kate A. Lorenson</w:t>
            </w:r>
          </w:p>
        </w:tc>
        <w:tc>
          <w:tcPr>
            <w:tcW w:w="580" w:type="dxa"/>
            <w:vAlign w:val="bottom"/>
          </w:tcPr>
          <w:p>
            <w:pPr>
              <w:ind w:left="200"/>
              <w:spacing w:after="0" w:line="159" w:lineRule="exact"/>
              <w:rPr>
                <w:sz w:val="20"/>
                <w:szCs w:val="20"/>
                <w:color w:val="auto"/>
              </w:rPr>
            </w:pPr>
            <w:r>
              <w:rPr>
                <w:rFonts w:ascii="Calibri" w:cs="Calibri" w:eastAsia="Calibri" w:hAnsi="Calibri"/>
                <w:sz w:val="14"/>
                <w:szCs w:val="14"/>
                <w:color w:val="auto"/>
              </w:rPr>
              <w:t>2025</w:t>
            </w:r>
          </w:p>
        </w:tc>
        <w:tc>
          <w:tcPr>
            <w:tcW w:w="2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0"/>
              <w:spacing w:after="0" w:line="159" w:lineRule="exact"/>
              <w:rPr>
                <w:sz w:val="20"/>
                <w:szCs w:val="20"/>
                <w:color w:val="auto"/>
              </w:rPr>
            </w:pPr>
            <w:r>
              <w:rPr>
                <w:rFonts w:ascii="Calibri" w:cs="Calibri" w:eastAsia="Calibri" w:hAnsi="Calibri"/>
                <w:sz w:val="14"/>
                <w:szCs w:val="14"/>
                <w:color w:val="auto"/>
              </w:rPr>
              <w:t>625,000</w:t>
            </w:r>
          </w:p>
        </w:tc>
        <w:tc>
          <w:tcPr>
            <w:tcW w:w="380" w:type="dxa"/>
            <w:vAlign w:val="bottom"/>
          </w:tcPr>
          <w:p>
            <w:pPr>
              <w:jc w:val="right"/>
              <w:ind w:right="129"/>
              <w:spacing w:after="0" w:line="159"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4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8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437,500</w:t>
            </w:r>
          </w:p>
        </w:tc>
        <w:tc>
          <w:tcPr>
            <w:tcW w:w="22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484,688</w:t>
            </w:r>
          </w:p>
        </w:tc>
        <w:tc>
          <w:tcPr>
            <w:tcW w:w="2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82,992</w:t>
            </w:r>
          </w:p>
        </w:tc>
        <w:tc>
          <w:tcPr>
            <w:tcW w:w="320" w:type="dxa"/>
            <w:vAlign w:val="bottom"/>
          </w:tcPr>
          <w:p>
            <w:pPr>
              <w:jc w:val="right"/>
              <w:ind w:right="69"/>
              <w:spacing w:after="0" w:line="15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1,630,180</w:t>
            </w:r>
          </w:p>
        </w:tc>
        <w:tc>
          <w:tcPr>
            <w:tcW w:w="0" w:type="dxa"/>
            <w:vAlign w:val="bottom"/>
          </w:tcPr>
          <w:p>
            <w:pPr>
              <w:spacing w:after="0"/>
              <w:rPr>
                <w:sz w:val="1"/>
                <w:szCs w:val="1"/>
                <w:color w:val="auto"/>
              </w:rPr>
            </w:pPr>
          </w:p>
        </w:tc>
      </w:tr>
      <w:tr>
        <w:trPr>
          <w:trHeight w:val="169"/>
        </w:trPr>
        <w:tc>
          <w:tcPr>
            <w:tcW w:w="2460" w:type="dxa"/>
            <w:vAlign w:val="bottom"/>
          </w:tcPr>
          <w:p>
            <w:pPr>
              <w:ind w:left="160"/>
              <w:spacing w:after="0" w:line="169" w:lineRule="exact"/>
              <w:rPr>
                <w:sz w:val="20"/>
                <w:szCs w:val="20"/>
                <w:color w:val="auto"/>
              </w:rPr>
            </w:pPr>
            <w:r>
              <w:rPr>
                <w:rFonts w:ascii="Calibri" w:cs="Calibri" w:eastAsia="Calibri" w:hAnsi="Calibri"/>
                <w:sz w:val="14"/>
                <w:szCs w:val="14"/>
                <w:i w:val="1"/>
                <w:iCs w:val="1"/>
                <w:color w:val="auto"/>
              </w:rPr>
              <w:t>President and Chief Executve Ofcer</w:t>
            </w:r>
          </w:p>
        </w:tc>
        <w:tc>
          <w:tcPr>
            <w:tcW w:w="580" w:type="dxa"/>
            <w:vAlign w:val="bottom"/>
          </w:tcPr>
          <w:p>
            <w:pPr>
              <w:ind w:left="200"/>
              <w:spacing w:after="0" w:line="169" w:lineRule="exact"/>
              <w:rPr>
                <w:sz w:val="20"/>
                <w:szCs w:val="20"/>
                <w:color w:val="auto"/>
              </w:rPr>
            </w:pPr>
            <w:r>
              <w:rPr>
                <w:rFonts w:ascii="Calibri" w:cs="Calibri" w:eastAsia="Calibri" w:hAnsi="Calibri"/>
                <w:sz w:val="14"/>
                <w:szCs w:val="14"/>
                <w:color w:val="auto"/>
              </w:rPr>
              <w:t>2024</w:t>
            </w:r>
          </w:p>
        </w:tc>
        <w:tc>
          <w:tcPr>
            <w:tcW w:w="2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600,000</w:t>
            </w:r>
          </w:p>
        </w:tc>
        <w:tc>
          <w:tcPr>
            <w:tcW w:w="380" w:type="dxa"/>
            <w:vAlign w:val="bottom"/>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460" w:type="dxa"/>
            <w:vAlign w:val="bottom"/>
          </w:tcPr>
          <w:p>
            <w:pPr>
              <w:ind w:left="100"/>
              <w:spacing w:after="0" w:line="169" w:lineRule="exact"/>
              <w:rPr>
                <w:sz w:val="20"/>
                <w:szCs w:val="20"/>
                <w:color w:val="auto"/>
              </w:rPr>
            </w:pPr>
            <w:r>
              <w:rPr>
                <w:rFonts w:ascii="Calibri" w:cs="Calibri" w:eastAsia="Calibri" w:hAnsi="Calibri"/>
                <w:sz w:val="14"/>
                <w:szCs w:val="14"/>
                <w:color w:val="auto"/>
              </w:rPr>
              <w:t>$</w:t>
            </w:r>
          </w:p>
        </w:tc>
        <w:tc>
          <w:tcPr>
            <w:tcW w:w="8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360,000</w:t>
            </w:r>
          </w:p>
        </w:tc>
        <w:tc>
          <w:tcPr>
            <w:tcW w:w="220" w:type="dxa"/>
            <w:vAlign w:val="bottom"/>
          </w:tcPr>
          <w:p>
            <w:pPr>
              <w:ind w:left="100"/>
              <w:spacing w:after="0" w:line="16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343,200</w:t>
            </w:r>
          </w:p>
        </w:tc>
        <w:tc>
          <w:tcPr>
            <w:tcW w:w="260" w:type="dxa"/>
            <w:vAlign w:val="bottom"/>
          </w:tcPr>
          <w:p>
            <w:pPr>
              <w:ind w:left="100"/>
              <w:spacing w:after="0" w:line="169"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36,340</w:t>
            </w:r>
          </w:p>
        </w:tc>
        <w:tc>
          <w:tcPr>
            <w:tcW w:w="320" w:type="dxa"/>
            <w:vAlign w:val="bottom"/>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1,339,540</w:t>
            </w:r>
          </w:p>
        </w:tc>
        <w:tc>
          <w:tcPr>
            <w:tcW w:w="0" w:type="dxa"/>
            <w:vAlign w:val="bottom"/>
          </w:tcPr>
          <w:p>
            <w:pPr>
              <w:spacing w:after="0"/>
              <w:rPr>
                <w:sz w:val="1"/>
                <w:szCs w:val="1"/>
                <w:color w:val="auto"/>
              </w:rPr>
            </w:pPr>
          </w:p>
        </w:tc>
      </w:tr>
      <w:tr>
        <w:trPr>
          <w:trHeight w:val="186"/>
        </w:trPr>
        <w:tc>
          <w:tcPr>
            <w:tcW w:w="2460" w:type="dxa"/>
            <w:vAlign w:val="bottom"/>
            <w:tcBorders>
              <w:bottom w:val="single" w:sz="8" w:color="1AB2D2"/>
            </w:tcBorders>
          </w:tcPr>
          <w:p>
            <w:pPr>
              <w:spacing w:after="0"/>
              <w:rPr>
                <w:sz w:val="16"/>
                <w:szCs w:val="16"/>
                <w:color w:val="auto"/>
              </w:rPr>
            </w:pPr>
          </w:p>
        </w:tc>
        <w:tc>
          <w:tcPr>
            <w:tcW w:w="580" w:type="dxa"/>
            <w:vAlign w:val="bottom"/>
            <w:tcBorders>
              <w:bottom w:val="single" w:sz="8" w:color="1AB2D2"/>
            </w:tcBorders>
          </w:tcPr>
          <w:p>
            <w:pPr>
              <w:ind w:left="200"/>
              <w:spacing w:after="0"/>
              <w:rPr>
                <w:sz w:val="20"/>
                <w:szCs w:val="20"/>
                <w:color w:val="auto"/>
              </w:rPr>
            </w:pPr>
            <w:r>
              <w:rPr>
                <w:rFonts w:ascii="Calibri" w:cs="Calibri" w:eastAsia="Calibri" w:hAnsi="Calibri"/>
                <w:sz w:val="14"/>
                <w:szCs w:val="14"/>
                <w:color w:val="auto"/>
              </w:rPr>
              <w:t>2023</w:t>
            </w:r>
          </w:p>
        </w:tc>
        <w:tc>
          <w:tcPr>
            <w:tcW w:w="2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1AB2D2"/>
            </w:tcBorders>
          </w:tcPr>
          <w:p>
            <w:pPr>
              <w:jc w:val="right"/>
              <w:ind w:right="30"/>
              <w:spacing w:after="0"/>
              <w:rPr>
                <w:sz w:val="20"/>
                <w:szCs w:val="20"/>
                <w:color w:val="auto"/>
              </w:rPr>
            </w:pPr>
            <w:r>
              <w:rPr>
                <w:rFonts w:ascii="Calibri" w:cs="Calibri" w:eastAsia="Calibri" w:hAnsi="Calibri"/>
                <w:sz w:val="14"/>
                <w:szCs w:val="14"/>
                <w:color w:val="auto"/>
              </w:rPr>
              <w:t>550,000</w:t>
            </w:r>
          </w:p>
        </w:tc>
        <w:tc>
          <w:tcPr>
            <w:tcW w:w="380" w:type="dxa"/>
            <w:vAlign w:val="bottom"/>
            <w:tcBorders>
              <w:bottom w:val="single" w:sz="8" w:color="1AB2D2"/>
            </w:tcBorders>
          </w:tcPr>
          <w:p>
            <w:pPr>
              <w:jc w:val="right"/>
              <w:ind w:right="129"/>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64,625</w:t>
            </w:r>
          </w:p>
        </w:tc>
        <w:tc>
          <w:tcPr>
            <w:tcW w:w="4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275,000</w:t>
            </w:r>
          </w:p>
        </w:tc>
        <w:tc>
          <w:tcPr>
            <w:tcW w:w="22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173,250</w:t>
            </w:r>
          </w:p>
        </w:tc>
        <w:tc>
          <w:tcPr>
            <w:tcW w:w="2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30,530</w:t>
            </w:r>
          </w:p>
        </w:tc>
        <w:tc>
          <w:tcPr>
            <w:tcW w:w="320" w:type="dxa"/>
            <w:vAlign w:val="bottom"/>
            <w:tcBorders>
              <w:bottom w:val="single" w:sz="8" w:color="1AB2D2"/>
            </w:tcBorders>
          </w:tcPr>
          <w:p>
            <w:pPr>
              <w:jc w:val="right"/>
              <w:ind w:right="69"/>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1,093,405</w:t>
            </w:r>
          </w:p>
        </w:tc>
        <w:tc>
          <w:tcPr>
            <w:tcW w:w="0" w:type="dxa"/>
            <w:vAlign w:val="bottom"/>
          </w:tcPr>
          <w:p>
            <w:pPr>
              <w:spacing w:after="0"/>
              <w:rPr>
                <w:sz w:val="1"/>
                <w:szCs w:val="1"/>
                <w:color w:val="auto"/>
              </w:rPr>
            </w:pPr>
          </w:p>
        </w:tc>
      </w:tr>
      <w:tr>
        <w:trPr>
          <w:trHeight w:val="159"/>
        </w:trPr>
        <w:tc>
          <w:tcPr>
            <w:tcW w:w="2460" w:type="dxa"/>
            <w:vAlign w:val="bottom"/>
          </w:tcPr>
          <w:p>
            <w:pPr>
              <w:spacing w:after="0" w:line="159" w:lineRule="exact"/>
              <w:rPr>
                <w:sz w:val="20"/>
                <w:szCs w:val="20"/>
                <w:color w:val="auto"/>
              </w:rPr>
            </w:pPr>
            <w:r>
              <w:rPr>
                <w:rFonts w:ascii="Calibri" w:cs="Calibri" w:eastAsia="Calibri" w:hAnsi="Calibri"/>
                <w:sz w:val="11"/>
                <w:szCs w:val="11"/>
                <w:color w:val="auto"/>
              </w:rPr>
              <w:t>Alan A. Villalon</w:t>
            </w:r>
            <w:r>
              <w:rPr>
                <w:rFonts w:ascii="Calibri" w:cs="Calibri" w:eastAsia="Calibri" w:hAnsi="Calibri"/>
                <w:sz w:val="17"/>
                <w:szCs w:val="17"/>
                <w:color w:val="auto"/>
                <w:vertAlign w:val="superscript"/>
              </w:rPr>
              <w:t>(5)</w:t>
            </w:r>
          </w:p>
        </w:tc>
        <w:tc>
          <w:tcPr>
            <w:tcW w:w="580" w:type="dxa"/>
            <w:vAlign w:val="bottom"/>
          </w:tcPr>
          <w:p>
            <w:pPr>
              <w:ind w:left="200"/>
              <w:spacing w:after="0" w:line="159" w:lineRule="exact"/>
              <w:rPr>
                <w:sz w:val="20"/>
                <w:szCs w:val="20"/>
                <w:color w:val="auto"/>
              </w:rPr>
            </w:pPr>
            <w:r>
              <w:rPr>
                <w:rFonts w:ascii="Calibri" w:cs="Calibri" w:eastAsia="Calibri" w:hAnsi="Calibri"/>
                <w:sz w:val="14"/>
                <w:szCs w:val="14"/>
                <w:color w:val="auto"/>
              </w:rPr>
              <w:t>2025</w:t>
            </w:r>
          </w:p>
        </w:tc>
        <w:tc>
          <w:tcPr>
            <w:tcW w:w="2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0"/>
              <w:spacing w:after="0" w:line="159" w:lineRule="exact"/>
              <w:rPr>
                <w:sz w:val="20"/>
                <w:szCs w:val="20"/>
                <w:color w:val="auto"/>
              </w:rPr>
            </w:pPr>
            <w:r>
              <w:rPr>
                <w:rFonts w:ascii="Calibri" w:cs="Calibri" w:eastAsia="Calibri" w:hAnsi="Calibri"/>
                <w:sz w:val="14"/>
                <w:szCs w:val="14"/>
                <w:color w:val="auto"/>
              </w:rPr>
              <w:t>360,000</w:t>
            </w:r>
          </w:p>
        </w:tc>
        <w:tc>
          <w:tcPr>
            <w:tcW w:w="380" w:type="dxa"/>
            <w:vAlign w:val="bottom"/>
          </w:tcPr>
          <w:p>
            <w:pPr>
              <w:jc w:val="right"/>
              <w:ind w:right="129"/>
              <w:spacing w:after="0" w:line="159"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4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8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162,000</w:t>
            </w:r>
          </w:p>
        </w:tc>
        <w:tc>
          <w:tcPr>
            <w:tcW w:w="22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203,040</w:t>
            </w:r>
          </w:p>
        </w:tc>
        <w:tc>
          <w:tcPr>
            <w:tcW w:w="2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43,648</w:t>
            </w:r>
          </w:p>
        </w:tc>
        <w:tc>
          <w:tcPr>
            <w:tcW w:w="320" w:type="dxa"/>
            <w:vAlign w:val="bottom"/>
          </w:tcPr>
          <w:p>
            <w:pPr>
              <w:jc w:val="right"/>
              <w:ind w:right="69"/>
              <w:spacing w:after="0" w:line="15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768,688</w:t>
            </w:r>
          </w:p>
        </w:tc>
        <w:tc>
          <w:tcPr>
            <w:tcW w:w="0" w:type="dxa"/>
            <w:vAlign w:val="bottom"/>
          </w:tcPr>
          <w:p>
            <w:pPr>
              <w:spacing w:after="0"/>
              <w:rPr>
                <w:sz w:val="1"/>
                <w:szCs w:val="1"/>
                <w:color w:val="auto"/>
              </w:rPr>
            </w:pPr>
          </w:p>
        </w:tc>
      </w:tr>
      <w:tr>
        <w:trPr>
          <w:trHeight w:val="169"/>
        </w:trPr>
        <w:tc>
          <w:tcPr>
            <w:tcW w:w="2460" w:type="dxa"/>
            <w:vAlign w:val="bottom"/>
          </w:tcPr>
          <w:p>
            <w:pPr>
              <w:ind w:left="160"/>
              <w:spacing w:after="0" w:line="169" w:lineRule="exact"/>
              <w:rPr>
                <w:sz w:val="20"/>
                <w:szCs w:val="20"/>
                <w:color w:val="auto"/>
              </w:rPr>
            </w:pPr>
            <w:r>
              <w:rPr>
                <w:rFonts w:ascii="Calibri" w:cs="Calibri" w:eastAsia="Calibri" w:hAnsi="Calibri"/>
                <w:sz w:val="14"/>
                <w:szCs w:val="14"/>
                <w:i w:val="1"/>
                <w:iCs w:val="1"/>
                <w:color w:val="auto"/>
              </w:rPr>
              <w:t>Executve Vice President and Chief</w:t>
            </w:r>
          </w:p>
        </w:tc>
        <w:tc>
          <w:tcPr>
            <w:tcW w:w="580" w:type="dxa"/>
            <w:vAlign w:val="bottom"/>
            <w:vMerge w:val="restart"/>
          </w:tcPr>
          <w:p>
            <w:pPr>
              <w:ind w:left="200"/>
              <w:spacing w:after="0"/>
              <w:rPr>
                <w:sz w:val="20"/>
                <w:szCs w:val="20"/>
                <w:color w:val="auto"/>
              </w:rPr>
            </w:pPr>
            <w:r>
              <w:rPr>
                <w:rFonts w:ascii="Calibri" w:cs="Calibri" w:eastAsia="Calibri" w:hAnsi="Calibri"/>
                <w:sz w:val="14"/>
                <w:szCs w:val="14"/>
                <w:color w:val="auto"/>
              </w:rPr>
              <w:t>2024</w:t>
            </w:r>
          </w:p>
        </w:tc>
        <w:tc>
          <w:tcPr>
            <w:tcW w:w="2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0"/>
              <w:spacing w:after="0"/>
              <w:rPr>
                <w:sz w:val="20"/>
                <w:szCs w:val="20"/>
                <w:color w:val="auto"/>
              </w:rPr>
            </w:pPr>
            <w:r>
              <w:rPr>
                <w:rFonts w:ascii="Calibri" w:cs="Calibri" w:eastAsia="Calibri" w:hAnsi="Calibri"/>
                <w:sz w:val="14"/>
                <w:szCs w:val="14"/>
                <w:color w:val="auto"/>
              </w:rPr>
              <w:t>345,000</w:t>
            </w:r>
          </w:p>
        </w:tc>
        <w:tc>
          <w:tcPr>
            <w:tcW w:w="380" w:type="dxa"/>
            <w:vAlign w:val="bottom"/>
            <w:vMerge w:val="restart"/>
          </w:tcPr>
          <w:p>
            <w:pPr>
              <w:jc w:val="right"/>
              <w:ind w:right="129"/>
              <w:spacing w:after="0"/>
              <w:rPr>
                <w:sz w:val="20"/>
                <w:szCs w:val="20"/>
                <w:color w:val="auto"/>
              </w:rPr>
            </w:pPr>
            <w:r>
              <w:rPr>
                <w:rFonts w:ascii="Calibri" w:cs="Calibri" w:eastAsia="Calibri" w:hAnsi="Calibri"/>
                <w:sz w:val="14"/>
                <w:szCs w:val="14"/>
                <w:color w:val="auto"/>
              </w:rPr>
              <w:t>$</w:t>
            </w:r>
          </w:p>
        </w:tc>
        <w:tc>
          <w:tcPr>
            <w:tcW w:w="124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w:t>
            </w:r>
          </w:p>
        </w:tc>
        <w:tc>
          <w:tcPr>
            <w:tcW w:w="4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138,000</w:t>
            </w:r>
          </w:p>
        </w:tc>
        <w:tc>
          <w:tcPr>
            <w:tcW w:w="22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143,520</w:t>
            </w:r>
          </w:p>
        </w:tc>
        <w:tc>
          <w:tcPr>
            <w:tcW w:w="2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34,959</w:t>
            </w:r>
          </w:p>
        </w:tc>
        <w:tc>
          <w:tcPr>
            <w:tcW w:w="32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10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661,479</w:t>
            </w:r>
          </w:p>
        </w:tc>
        <w:tc>
          <w:tcPr>
            <w:tcW w:w="0" w:type="dxa"/>
            <w:vAlign w:val="bottom"/>
          </w:tcPr>
          <w:p>
            <w:pPr>
              <w:spacing w:after="0"/>
              <w:rPr>
                <w:sz w:val="1"/>
                <w:szCs w:val="1"/>
                <w:color w:val="auto"/>
              </w:rPr>
            </w:pPr>
          </w:p>
        </w:tc>
      </w:tr>
      <w:tr>
        <w:trPr>
          <w:trHeight w:val="80"/>
        </w:trPr>
        <w:tc>
          <w:tcPr>
            <w:tcW w:w="2460" w:type="dxa"/>
            <w:vAlign w:val="bottom"/>
            <w:vMerge w:val="restart"/>
          </w:tcPr>
          <w:p>
            <w:pPr>
              <w:ind w:left="160"/>
              <w:spacing w:after="0"/>
              <w:rPr>
                <w:sz w:val="20"/>
                <w:szCs w:val="20"/>
                <w:color w:val="auto"/>
              </w:rPr>
            </w:pPr>
            <w:r>
              <w:rPr>
                <w:rFonts w:ascii="Calibri" w:cs="Calibri" w:eastAsia="Calibri" w:hAnsi="Calibri"/>
                <w:sz w:val="14"/>
                <w:szCs w:val="14"/>
                <w:i w:val="1"/>
                <w:iCs w:val="1"/>
                <w:color w:val="auto"/>
              </w:rPr>
              <w:t>Financial Ofcer</w:t>
            </w:r>
          </w:p>
        </w:tc>
        <w:tc>
          <w:tcPr>
            <w:tcW w:w="5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460" w:type="dxa"/>
            <w:vAlign w:val="bottom"/>
            <w:tcBorders>
              <w:bottom w:val="single" w:sz="8" w:color="1AB2D2"/>
            </w:tcBorders>
          </w:tcPr>
          <w:p>
            <w:pPr>
              <w:spacing w:after="0"/>
              <w:rPr>
                <w:sz w:val="16"/>
                <w:szCs w:val="16"/>
                <w:color w:val="auto"/>
              </w:rPr>
            </w:pPr>
          </w:p>
        </w:tc>
        <w:tc>
          <w:tcPr>
            <w:tcW w:w="580" w:type="dxa"/>
            <w:vAlign w:val="bottom"/>
            <w:tcBorders>
              <w:bottom w:val="single" w:sz="8" w:color="1AB2D2"/>
            </w:tcBorders>
          </w:tcPr>
          <w:p>
            <w:pPr>
              <w:spacing w:after="0"/>
              <w:rPr>
                <w:sz w:val="16"/>
                <w:szCs w:val="16"/>
                <w:color w:val="auto"/>
              </w:rPr>
            </w:pPr>
          </w:p>
        </w:tc>
        <w:tc>
          <w:tcPr>
            <w:tcW w:w="260" w:type="dxa"/>
            <w:vAlign w:val="bottom"/>
            <w:tcBorders>
              <w:bottom w:val="single" w:sz="8" w:color="1AB2D2"/>
            </w:tcBorders>
          </w:tcPr>
          <w:p>
            <w:pPr>
              <w:spacing w:after="0"/>
              <w:rPr>
                <w:sz w:val="16"/>
                <w:szCs w:val="16"/>
                <w:color w:val="auto"/>
              </w:rPr>
            </w:pPr>
          </w:p>
        </w:tc>
        <w:tc>
          <w:tcPr>
            <w:tcW w:w="1040" w:type="dxa"/>
            <w:vAlign w:val="bottom"/>
            <w:tcBorders>
              <w:bottom w:val="single" w:sz="8" w:color="1AB2D2"/>
            </w:tcBorders>
          </w:tcPr>
          <w:p>
            <w:pPr>
              <w:spacing w:after="0"/>
              <w:rPr>
                <w:sz w:val="16"/>
                <w:szCs w:val="16"/>
                <w:color w:val="auto"/>
              </w:rPr>
            </w:pPr>
          </w:p>
        </w:tc>
        <w:tc>
          <w:tcPr>
            <w:tcW w:w="380" w:type="dxa"/>
            <w:vAlign w:val="bottom"/>
            <w:tcBorders>
              <w:bottom w:val="single" w:sz="8" w:color="1AB2D2"/>
            </w:tcBorders>
          </w:tcPr>
          <w:p>
            <w:pPr>
              <w:spacing w:after="0"/>
              <w:rPr>
                <w:sz w:val="16"/>
                <w:szCs w:val="16"/>
                <w:color w:val="auto"/>
              </w:rPr>
            </w:pPr>
          </w:p>
        </w:tc>
        <w:tc>
          <w:tcPr>
            <w:tcW w:w="1240" w:type="dxa"/>
            <w:vAlign w:val="bottom"/>
            <w:tcBorders>
              <w:bottom w:val="single" w:sz="8" w:color="1AB2D2"/>
            </w:tcBorders>
          </w:tcPr>
          <w:p>
            <w:pPr>
              <w:spacing w:after="0"/>
              <w:rPr>
                <w:sz w:val="16"/>
                <w:szCs w:val="16"/>
                <w:color w:val="auto"/>
              </w:rPr>
            </w:pPr>
          </w:p>
        </w:tc>
        <w:tc>
          <w:tcPr>
            <w:tcW w:w="460" w:type="dxa"/>
            <w:vAlign w:val="bottom"/>
            <w:tcBorders>
              <w:bottom w:val="single" w:sz="8" w:color="1AB2D2"/>
            </w:tcBorders>
          </w:tcPr>
          <w:p>
            <w:pPr>
              <w:spacing w:after="0"/>
              <w:rPr>
                <w:sz w:val="16"/>
                <w:szCs w:val="16"/>
                <w:color w:val="auto"/>
              </w:rPr>
            </w:pPr>
          </w:p>
        </w:tc>
        <w:tc>
          <w:tcPr>
            <w:tcW w:w="860" w:type="dxa"/>
            <w:vAlign w:val="bottom"/>
            <w:tcBorders>
              <w:bottom w:val="single" w:sz="8" w:color="1AB2D2"/>
            </w:tcBorders>
          </w:tcPr>
          <w:p>
            <w:pPr>
              <w:spacing w:after="0"/>
              <w:rPr>
                <w:sz w:val="16"/>
                <w:szCs w:val="16"/>
                <w:color w:val="auto"/>
              </w:rPr>
            </w:pPr>
          </w:p>
        </w:tc>
        <w:tc>
          <w:tcPr>
            <w:tcW w:w="220" w:type="dxa"/>
            <w:vAlign w:val="bottom"/>
            <w:tcBorders>
              <w:bottom w:val="single" w:sz="8" w:color="1AB2D2"/>
            </w:tcBorders>
          </w:tcPr>
          <w:p>
            <w:pPr>
              <w:spacing w:after="0"/>
              <w:rPr>
                <w:sz w:val="16"/>
                <w:szCs w:val="16"/>
                <w:color w:val="auto"/>
              </w:rPr>
            </w:pPr>
          </w:p>
        </w:tc>
        <w:tc>
          <w:tcPr>
            <w:tcW w:w="1100" w:type="dxa"/>
            <w:vAlign w:val="bottom"/>
            <w:tcBorders>
              <w:bottom w:val="single" w:sz="8" w:color="1AB2D2"/>
            </w:tcBorders>
          </w:tcPr>
          <w:p>
            <w:pPr>
              <w:spacing w:after="0"/>
              <w:rPr>
                <w:sz w:val="16"/>
                <w:szCs w:val="16"/>
                <w:color w:val="auto"/>
              </w:rPr>
            </w:pPr>
          </w:p>
        </w:tc>
        <w:tc>
          <w:tcPr>
            <w:tcW w:w="260" w:type="dxa"/>
            <w:vAlign w:val="bottom"/>
            <w:tcBorders>
              <w:bottom w:val="single" w:sz="8" w:color="1AB2D2"/>
            </w:tcBorders>
          </w:tcPr>
          <w:p>
            <w:pPr>
              <w:spacing w:after="0"/>
              <w:rPr>
                <w:sz w:val="16"/>
                <w:szCs w:val="16"/>
                <w:color w:val="auto"/>
              </w:rPr>
            </w:pPr>
          </w:p>
        </w:tc>
        <w:tc>
          <w:tcPr>
            <w:tcW w:w="1060" w:type="dxa"/>
            <w:vAlign w:val="bottom"/>
            <w:tcBorders>
              <w:bottom w:val="single" w:sz="8" w:color="1AB2D2"/>
            </w:tcBorders>
          </w:tcPr>
          <w:p>
            <w:pPr>
              <w:spacing w:after="0"/>
              <w:rPr>
                <w:sz w:val="16"/>
                <w:szCs w:val="16"/>
                <w:color w:val="auto"/>
              </w:rPr>
            </w:pPr>
          </w:p>
        </w:tc>
        <w:tc>
          <w:tcPr>
            <w:tcW w:w="320" w:type="dxa"/>
            <w:vAlign w:val="bottom"/>
            <w:tcBorders>
              <w:bottom w:val="single" w:sz="8" w:color="1AB2D2"/>
            </w:tcBorders>
          </w:tcPr>
          <w:p>
            <w:pPr>
              <w:spacing w:after="0"/>
              <w:rPr>
                <w:sz w:val="16"/>
                <w:szCs w:val="16"/>
                <w:color w:val="auto"/>
              </w:rPr>
            </w:pPr>
          </w:p>
        </w:tc>
        <w:tc>
          <w:tcPr>
            <w:tcW w:w="1000" w:type="dxa"/>
            <w:vAlign w:val="bottom"/>
            <w:tcBorders>
              <w:bottom w:val="single" w:sz="8" w:color="1AB2D2"/>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60" w:type="dxa"/>
            <w:vAlign w:val="bottom"/>
          </w:tcPr>
          <w:p>
            <w:pPr>
              <w:spacing w:after="0" w:line="152" w:lineRule="exact"/>
              <w:rPr>
                <w:sz w:val="20"/>
                <w:szCs w:val="20"/>
                <w:color w:val="auto"/>
              </w:rPr>
            </w:pPr>
            <w:r>
              <w:rPr>
                <w:rFonts w:ascii="Calibri" w:cs="Calibri" w:eastAsia="Calibri" w:hAnsi="Calibri"/>
                <w:sz w:val="14"/>
                <w:szCs w:val="14"/>
                <w:color w:val="auto"/>
              </w:rPr>
              <w:t>Jim R. Collins</w:t>
            </w:r>
          </w:p>
        </w:tc>
        <w:tc>
          <w:tcPr>
            <w:tcW w:w="580" w:type="dxa"/>
            <w:vAlign w:val="bottom"/>
          </w:tcPr>
          <w:p>
            <w:pPr>
              <w:ind w:left="200"/>
              <w:spacing w:after="0" w:line="152" w:lineRule="exact"/>
              <w:rPr>
                <w:sz w:val="20"/>
                <w:szCs w:val="20"/>
                <w:color w:val="auto"/>
              </w:rPr>
            </w:pPr>
            <w:r>
              <w:rPr>
                <w:rFonts w:ascii="Calibri" w:cs="Calibri" w:eastAsia="Calibri" w:hAnsi="Calibri"/>
                <w:sz w:val="14"/>
                <w:szCs w:val="14"/>
                <w:color w:val="auto"/>
              </w:rPr>
              <w:t>2025</w:t>
            </w:r>
          </w:p>
        </w:tc>
        <w:tc>
          <w:tcPr>
            <w:tcW w:w="260" w:type="dxa"/>
            <w:vAlign w:val="bottom"/>
          </w:tcPr>
          <w:p>
            <w:pPr>
              <w:jc w:val="right"/>
              <w:ind w:right="29"/>
              <w:spacing w:after="0" w:line="152"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0"/>
              <w:spacing w:after="0" w:line="152" w:lineRule="exact"/>
              <w:rPr>
                <w:sz w:val="20"/>
                <w:szCs w:val="20"/>
                <w:color w:val="auto"/>
              </w:rPr>
            </w:pPr>
            <w:r>
              <w:rPr>
                <w:rFonts w:ascii="Calibri" w:cs="Calibri" w:eastAsia="Calibri" w:hAnsi="Calibri"/>
                <w:sz w:val="14"/>
                <w:szCs w:val="14"/>
                <w:color w:val="auto"/>
              </w:rPr>
              <w:t>465,000</w:t>
            </w:r>
          </w:p>
        </w:tc>
        <w:tc>
          <w:tcPr>
            <w:tcW w:w="380" w:type="dxa"/>
            <w:vAlign w:val="bottom"/>
          </w:tcPr>
          <w:p>
            <w:pPr>
              <w:jc w:val="right"/>
              <w:ind w:right="129"/>
              <w:spacing w:after="0" w:line="152"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29"/>
              <w:spacing w:after="0" w:line="152" w:lineRule="exact"/>
              <w:rPr>
                <w:sz w:val="20"/>
                <w:szCs w:val="20"/>
                <w:color w:val="auto"/>
              </w:rPr>
            </w:pPr>
            <w:r>
              <w:rPr>
                <w:rFonts w:ascii="Calibri" w:cs="Calibri" w:eastAsia="Calibri" w:hAnsi="Calibri"/>
                <w:sz w:val="14"/>
                <w:szCs w:val="14"/>
                <w:color w:val="auto"/>
              </w:rPr>
              <w:t>—</w:t>
            </w:r>
          </w:p>
        </w:tc>
        <w:tc>
          <w:tcPr>
            <w:tcW w:w="460" w:type="dxa"/>
            <w:vAlign w:val="bottom"/>
          </w:tcPr>
          <w:p>
            <w:pPr>
              <w:ind w:left="100"/>
              <w:spacing w:after="0" w:line="152" w:lineRule="exact"/>
              <w:rPr>
                <w:sz w:val="20"/>
                <w:szCs w:val="20"/>
                <w:color w:val="auto"/>
              </w:rPr>
            </w:pPr>
            <w:r>
              <w:rPr>
                <w:rFonts w:ascii="Calibri" w:cs="Calibri" w:eastAsia="Calibri" w:hAnsi="Calibri"/>
                <w:sz w:val="14"/>
                <w:szCs w:val="14"/>
                <w:color w:val="auto"/>
              </w:rPr>
              <w:t>$</w:t>
            </w:r>
          </w:p>
        </w:tc>
        <w:tc>
          <w:tcPr>
            <w:tcW w:w="860" w:type="dxa"/>
            <w:vAlign w:val="bottom"/>
          </w:tcPr>
          <w:p>
            <w:pPr>
              <w:jc w:val="right"/>
              <w:ind w:right="29"/>
              <w:spacing w:after="0" w:line="152" w:lineRule="exact"/>
              <w:rPr>
                <w:sz w:val="20"/>
                <w:szCs w:val="20"/>
                <w:color w:val="auto"/>
              </w:rPr>
            </w:pPr>
            <w:r>
              <w:rPr>
                <w:rFonts w:ascii="Calibri" w:cs="Calibri" w:eastAsia="Calibri" w:hAnsi="Calibri"/>
                <w:sz w:val="14"/>
                <w:szCs w:val="14"/>
                <w:color w:val="auto"/>
              </w:rPr>
              <w:t>186,000</w:t>
            </w:r>
          </w:p>
        </w:tc>
        <w:tc>
          <w:tcPr>
            <w:tcW w:w="220" w:type="dxa"/>
            <w:vAlign w:val="bottom"/>
          </w:tcPr>
          <w:p>
            <w:pPr>
              <w:ind w:left="100"/>
              <w:spacing w:after="0" w:line="152"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29"/>
              <w:spacing w:after="0" w:line="152" w:lineRule="exact"/>
              <w:rPr>
                <w:sz w:val="20"/>
                <w:szCs w:val="20"/>
                <w:color w:val="auto"/>
              </w:rPr>
            </w:pPr>
            <w:r>
              <w:rPr>
                <w:rFonts w:ascii="Calibri" w:cs="Calibri" w:eastAsia="Calibri" w:hAnsi="Calibri"/>
                <w:sz w:val="14"/>
                <w:szCs w:val="14"/>
                <w:color w:val="auto"/>
              </w:rPr>
              <w:t>262,260</w:t>
            </w:r>
          </w:p>
        </w:tc>
        <w:tc>
          <w:tcPr>
            <w:tcW w:w="260" w:type="dxa"/>
            <w:vAlign w:val="bottom"/>
          </w:tcPr>
          <w:p>
            <w:pPr>
              <w:ind w:left="100"/>
              <w:spacing w:after="0" w:line="152"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29"/>
              <w:spacing w:after="0" w:line="152" w:lineRule="exact"/>
              <w:rPr>
                <w:sz w:val="20"/>
                <w:szCs w:val="20"/>
                <w:color w:val="auto"/>
              </w:rPr>
            </w:pPr>
            <w:r>
              <w:rPr>
                <w:rFonts w:ascii="Calibri" w:cs="Calibri" w:eastAsia="Calibri" w:hAnsi="Calibri"/>
                <w:sz w:val="14"/>
                <w:szCs w:val="14"/>
                <w:color w:val="auto"/>
              </w:rPr>
              <w:t>54,137</w:t>
            </w:r>
          </w:p>
        </w:tc>
        <w:tc>
          <w:tcPr>
            <w:tcW w:w="320" w:type="dxa"/>
            <w:vAlign w:val="bottom"/>
          </w:tcPr>
          <w:p>
            <w:pPr>
              <w:jc w:val="right"/>
              <w:ind w:right="69"/>
              <w:spacing w:after="0" w:line="15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52" w:lineRule="exact"/>
              <w:rPr>
                <w:sz w:val="20"/>
                <w:szCs w:val="20"/>
                <w:color w:val="auto"/>
              </w:rPr>
            </w:pPr>
            <w:r>
              <w:rPr>
                <w:rFonts w:ascii="Calibri" w:cs="Calibri" w:eastAsia="Calibri" w:hAnsi="Calibri"/>
                <w:sz w:val="14"/>
                <w:szCs w:val="14"/>
                <w:color w:val="auto"/>
              </w:rPr>
              <w:t>967,397</w:t>
            </w:r>
          </w:p>
        </w:tc>
        <w:tc>
          <w:tcPr>
            <w:tcW w:w="0" w:type="dxa"/>
            <w:vAlign w:val="bottom"/>
          </w:tcPr>
          <w:p>
            <w:pPr>
              <w:spacing w:after="0"/>
              <w:rPr>
                <w:sz w:val="1"/>
                <w:szCs w:val="1"/>
                <w:color w:val="auto"/>
              </w:rPr>
            </w:pPr>
          </w:p>
        </w:tc>
      </w:tr>
      <w:tr>
        <w:trPr>
          <w:trHeight w:val="169"/>
        </w:trPr>
        <w:tc>
          <w:tcPr>
            <w:tcW w:w="2460" w:type="dxa"/>
            <w:vAlign w:val="bottom"/>
          </w:tcPr>
          <w:p>
            <w:pPr>
              <w:ind w:left="160"/>
              <w:spacing w:after="0" w:line="169" w:lineRule="exact"/>
              <w:rPr>
                <w:sz w:val="20"/>
                <w:szCs w:val="20"/>
                <w:color w:val="auto"/>
              </w:rPr>
            </w:pPr>
            <w:r>
              <w:rPr>
                <w:rFonts w:ascii="Calibri" w:cs="Calibri" w:eastAsia="Calibri" w:hAnsi="Calibri"/>
                <w:sz w:val="14"/>
                <w:szCs w:val="14"/>
                <w:i w:val="1"/>
                <w:iCs w:val="1"/>
                <w:color w:val="auto"/>
              </w:rPr>
              <w:t>Executve Vice President and Chief</w:t>
            </w:r>
          </w:p>
        </w:tc>
        <w:tc>
          <w:tcPr>
            <w:tcW w:w="580" w:type="dxa"/>
            <w:vAlign w:val="bottom"/>
            <w:vMerge w:val="restart"/>
          </w:tcPr>
          <w:p>
            <w:pPr>
              <w:ind w:left="200"/>
              <w:spacing w:after="0"/>
              <w:rPr>
                <w:sz w:val="20"/>
                <w:szCs w:val="20"/>
                <w:color w:val="auto"/>
              </w:rPr>
            </w:pPr>
            <w:r>
              <w:rPr>
                <w:rFonts w:ascii="Calibri" w:cs="Calibri" w:eastAsia="Calibri" w:hAnsi="Calibri"/>
                <w:sz w:val="14"/>
                <w:szCs w:val="14"/>
                <w:color w:val="auto"/>
              </w:rPr>
              <w:t>2024</w:t>
            </w:r>
          </w:p>
        </w:tc>
        <w:tc>
          <w:tcPr>
            <w:tcW w:w="2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0"/>
              <w:spacing w:after="0"/>
              <w:rPr>
                <w:sz w:val="20"/>
                <w:szCs w:val="20"/>
                <w:color w:val="auto"/>
              </w:rPr>
            </w:pPr>
            <w:r>
              <w:rPr>
                <w:rFonts w:ascii="Calibri" w:cs="Calibri" w:eastAsia="Calibri" w:hAnsi="Calibri"/>
                <w:sz w:val="14"/>
                <w:szCs w:val="14"/>
                <w:color w:val="auto"/>
              </w:rPr>
              <w:t>445,000</w:t>
            </w:r>
          </w:p>
        </w:tc>
        <w:tc>
          <w:tcPr>
            <w:tcW w:w="380" w:type="dxa"/>
            <w:vAlign w:val="bottom"/>
            <w:vMerge w:val="restart"/>
          </w:tcPr>
          <w:p>
            <w:pPr>
              <w:jc w:val="right"/>
              <w:ind w:right="129"/>
              <w:spacing w:after="0"/>
              <w:rPr>
                <w:sz w:val="20"/>
                <w:szCs w:val="20"/>
                <w:color w:val="auto"/>
              </w:rPr>
            </w:pPr>
            <w:r>
              <w:rPr>
                <w:rFonts w:ascii="Calibri" w:cs="Calibri" w:eastAsia="Calibri" w:hAnsi="Calibri"/>
                <w:sz w:val="14"/>
                <w:szCs w:val="14"/>
                <w:color w:val="auto"/>
              </w:rPr>
              <w:t>$</w:t>
            </w:r>
          </w:p>
        </w:tc>
        <w:tc>
          <w:tcPr>
            <w:tcW w:w="124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w:t>
            </w:r>
          </w:p>
        </w:tc>
        <w:tc>
          <w:tcPr>
            <w:tcW w:w="4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178,000</w:t>
            </w:r>
          </w:p>
        </w:tc>
        <w:tc>
          <w:tcPr>
            <w:tcW w:w="22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185,120</w:t>
            </w:r>
          </w:p>
        </w:tc>
        <w:tc>
          <w:tcPr>
            <w:tcW w:w="2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33,766</w:t>
            </w:r>
          </w:p>
        </w:tc>
        <w:tc>
          <w:tcPr>
            <w:tcW w:w="32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10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841,886</w:t>
            </w:r>
          </w:p>
        </w:tc>
        <w:tc>
          <w:tcPr>
            <w:tcW w:w="0" w:type="dxa"/>
            <w:vAlign w:val="bottom"/>
          </w:tcPr>
          <w:p>
            <w:pPr>
              <w:spacing w:after="0"/>
              <w:rPr>
                <w:sz w:val="1"/>
                <w:szCs w:val="1"/>
                <w:color w:val="auto"/>
              </w:rPr>
            </w:pPr>
          </w:p>
        </w:tc>
      </w:tr>
      <w:tr>
        <w:trPr>
          <w:trHeight w:val="80"/>
        </w:trPr>
        <w:tc>
          <w:tcPr>
            <w:tcW w:w="2460" w:type="dxa"/>
            <w:vAlign w:val="bottom"/>
            <w:vMerge w:val="restart"/>
          </w:tcPr>
          <w:p>
            <w:pPr>
              <w:ind w:left="160"/>
              <w:spacing w:after="0"/>
              <w:rPr>
                <w:sz w:val="20"/>
                <w:szCs w:val="20"/>
                <w:color w:val="auto"/>
              </w:rPr>
            </w:pPr>
            <w:r>
              <w:rPr>
                <w:rFonts w:ascii="Calibri" w:cs="Calibri" w:eastAsia="Calibri" w:hAnsi="Calibri"/>
                <w:sz w:val="14"/>
                <w:szCs w:val="14"/>
                <w:i w:val="1"/>
                <w:iCs w:val="1"/>
                <w:color w:val="auto"/>
              </w:rPr>
              <w:t>Banking and Revenue Ofcer</w:t>
            </w:r>
          </w:p>
        </w:tc>
        <w:tc>
          <w:tcPr>
            <w:tcW w:w="5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1AB2D2"/>
            </w:tcBorders>
          </w:tcPr>
          <w:p>
            <w:pPr>
              <w:spacing w:after="0"/>
              <w:rPr>
                <w:sz w:val="16"/>
                <w:szCs w:val="16"/>
                <w:color w:val="auto"/>
              </w:rPr>
            </w:pPr>
          </w:p>
        </w:tc>
        <w:tc>
          <w:tcPr>
            <w:tcW w:w="580" w:type="dxa"/>
            <w:vAlign w:val="bottom"/>
            <w:tcBorders>
              <w:bottom w:val="single" w:sz="8" w:color="1AB2D2"/>
            </w:tcBorders>
          </w:tcPr>
          <w:p>
            <w:pPr>
              <w:ind w:left="200"/>
              <w:spacing w:after="0"/>
              <w:rPr>
                <w:sz w:val="20"/>
                <w:szCs w:val="20"/>
                <w:color w:val="auto"/>
              </w:rPr>
            </w:pPr>
            <w:r>
              <w:rPr>
                <w:rFonts w:ascii="Calibri" w:cs="Calibri" w:eastAsia="Calibri" w:hAnsi="Calibri"/>
                <w:sz w:val="14"/>
                <w:szCs w:val="14"/>
                <w:color w:val="auto"/>
              </w:rPr>
              <w:t>2023</w:t>
            </w:r>
          </w:p>
        </w:tc>
        <w:tc>
          <w:tcPr>
            <w:tcW w:w="2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1AB2D2"/>
            </w:tcBorders>
          </w:tcPr>
          <w:p>
            <w:pPr>
              <w:jc w:val="right"/>
              <w:ind w:right="30"/>
              <w:spacing w:after="0"/>
              <w:rPr>
                <w:sz w:val="20"/>
                <w:szCs w:val="20"/>
                <w:color w:val="auto"/>
              </w:rPr>
            </w:pPr>
            <w:r>
              <w:rPr>
                <w:rFonts w:ascii="Calibri" w:cs="Calibri" w:eastAsia="Calibri" w:hAnsi="Calibri"/>
                <w:sz w:val="14"/>
                <w:szCs w:val="14"/>
                <w:color w:val="auto"/>
              </w:rPr>
              <w:t>422,212</w:t>
            </w:r>
          </w:p>
        </w:tc>
        <w:tc>
          <w:tcPr>
            <w:tcW w:w="380" w:type="dxa"/>
            <w:vAlign w:val="bottom"/>
            <w:tcBorders>
              <w:bottom w:val="single" w:sz="8" w:color="1AB2D2"/>
            </w:tcBorders>
          </w:tcPr>
          <w:p>
            <w:pPr>
              <w:jc w:val="right"/>
              <w:ind w:right="129"/>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40,420</w:t>
            </w:r>
          </w:p>
        </w:tc>
        <w:tc>
          <w:tcPr>
            <w:tcW w:w="4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124,500</w:t>
            </w:r>
          </w:p>
        </w:tc>
        <w:tc>
          <w:tcPr>
            <w:tcW w:w="22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108,360</w:t>
            </w:r>
          </w:p>
        </w:tc>
        <w:tc>
          <w:tcPr>
            <w:tcW w:w="2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30,530</w:t>
            </w:r>
          </w:p>
        </w:tc>
        <w:tc>
          <w:tcPr>
            <w:tcW w:w="320" w:type="dxa"/>
            <w:vAlign w:val="bottom"/>
            <w:tcBorders>
              <w:bottom w:val="single" w:sz="8" w:color="1AB2D2"/>
            </w:tcBorders>
          </w:tcPr>
          <w:p>
            <w:pPr>
              <w:jc w:val="right"/>
              <w:ind w:right="69"/>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726,022</w:t>
            </w:r>
          </w:p>
        </w:tc>
        <w:tc>
          <w:tcPr>
            <w:tcW w:w="0" w:type="dxa"/>
            <w:vAlign w:val="bottom"/>
          </w:tcPr>
          <w:p>
            <w:pPr>
              <w:spacing w:after="0"/>
              <w:rPr>
                <w:sz w:val="1"/>
                <w:szCs w:val="1"/>
                <w:color w:val="auto"/>
              </w:rPr>
            </w:pPr>
          </w:p>
        </w:tc>
      </w:tr>
      <w:tr>
        <w:trPr>
          <w:trHeight w:val="159"/>
        </w:trPr>
        <w:tc>
          <w:tcPr>
            <w:tcW w:w="2460" w:type="dxa"/>
            <w:vAlign w:val="bottom"/>
          </w:tcPr>
          <w:p>
            <w:pPr>
              <w:spacing w:after="0" w:line="159" w:lineRule="exact"/>
              <w:rPr>
                <w:sz w:val="20"/>
                <w:szCs w:val="20"/>
                <w:color w:val="auto"/>
              </w:rPr>
            </w:pPr>
            <w:r>
              <w:rPr>
                <w:rFonts w:ascii="Calibri" w:cs="Calibri" w:eastAsia="Calibri" w:hAnsi="Calibri"/>
                <w:sz w:val="14"/>
                <w:szCs w:val="14"/>
                <w:color w:val="auto"/>
              </w:rPr>
              <w:t>Karin M. Taylor</w:t>
            </w:r>
          </w:p>
        </w:tc>
        <w:tc>
          <w:tcPr>
            <w:tcW w:w="580" w:type="dxa"/>
            <w:vAlign w:val="bottom"/>
          </w:tcPr>
          <w:p>
            <w:pPr>
              <w:ind w:left="200"/>
              <w:spacing w:after="0" w:line="159" w:lineRule="exact"/>
              <w:rPr>
                <w:sz w:val="20"/>
                <w:szCs w:val="20"/>
                <w:color w:val="auto"/>
              </w:rPr>
            </w:pPr>
            <w:r>
              <w:rPr>
                <w:rFonts w:ascii="Calibri" w:cs="Calibri" w:eastAsia="Calibri" w:hAnsi="Calibri"/>
                <w:sz w:val="14"/>
                <w:szCs w:val="14"/>
                <w:color w:val="auto"/>
              </w:rPr>
              <w:t>2025</w:t>
            </w:r>
          </w:p>
        </w:tc>
        <w:tc>
          <w:tcPr>
            <w:tcW w:w="2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0"/>
              <w:spacing w:after="0" w:line="159" w:lineRule="exact"/>
              <w:rPr>
                <w:sz w:val="20"/>
                <w:szCs w:val="20"/>
                <w:color w:val="auto"/>
              </w:rPr>
            </w:pPr>
            <w:r>
              <w:rPr>
                <w:rFonts w:ascii="Calibri" w:cs="Calibri" w:eastAsia="Calibri" w:hAnsi="Calibri"/>
                <w:sz w:val="14"/>
                <w:szCs w:val="14"/>
                <w:color w:val="auto"/>
              </w:rPr>
              <w:t>405,000</w:t>
            </w:r>
          </w:p>
        </w:tc>
        <w:tc>
          <w:tcPr>
            <w:tcW w:w="380" w:type="dxa"/>
            <w:vAlign w:val="bottom"/>
          </w:tcPr>
          <w:p>
            <w:pPr>
              <w:jc w:val="right"/>
              <w:ind w:right="129"/>
              <w:spacing w:after="0" w:line="159"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4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8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162,000</w:t>
            </w:r>
          </w:p>
        </w:tc>
        <w:tc>
          <w:tcPr>
            <w:tcW w:w="22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228,420</w:t>
            </w:r>
          </w:p>
        </w:tc>
        <w:tc>
          <w:tcPr>
            <w:tcW w:w="2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53,367</w:t>
            </w:r>
          </w:p>
        </w:tc>
        <w:tc>
          <w:tcPr>
            <w:tcW w:w="320" w:type="dxa"/>
            <w:vAlign w:val="bottom"/>
          </w:tcPr>
          <w:p>
            <w:pPr>
              <w:jc w:val="right"/>
              <w:ind w:right="69"/>
              <w:spacing w:after="0" w:line="15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848,787</w:t>
            </w:r>
          </w:p>
        </w:tc>
        <w:tc>
          <w:tcPr>
            <w:tcW w:w="0" w:type="dxa"/>
            <w:vAlign w:val="bottom"/>
          </w:tcPr>
          <w:p>
            <w:pPr>
              <w:spacing w:after="0"/>
              <w:rPr>
                <w:sz w:val="1"/>
                <w:szCs w:val="1"/>
                <w:color w:val="auto"/>
              </w:rPr>
            </w:pPr>
          </w:p>
        </w:tc>
      </w:tr>
      <w:tr>
        <w:trPr>
          <w:trHeight w:val="169"/>
        </w:trPr>
        <w:tc>
          <w:tcPr>
            <w:tcW w:w="2460" w:type="dxa"/>
            <w:vAlign w:val="bottom"/>
          </w:tcPr>
          <w:p>
            <w:pPr>
              <w:ind w:left="160"/>
              <w:spacing w:after="0" w:line="169" w:lineRule="exact"/>
              <w:rPr>
                <w:sz w:val="20"/>
                <w:szCs w:val="20"/>
                <w:color w:val="auto"/>
              </w:rPr>
            </w:pPr>
            <w:r>
              <w:rPr>
                <w:rFonts w:ascii="Calibri" w:cs="Calibri" w:eastAsia="Calibri" w:hAnsi="Calibri"/>
                <w:sz w:val="14"/>
                <w:szCs w:val="14"/>
                <w:i w:val="1"/>
                <w:iCs w:val="1"/>
                <w:color w:val="auto"/>
              </w:rPr>
              <w:t>Executve Vice President and Chief</w:t>
            </w:r>
          </w:p>
        </w:tc>
        <w:tc>
          <w:tcPr>
            <w:tcW w:w="580" w:type="dxa"/>
            <w:vAlign w:val="bottom"/>
            <w:vMerge w:val="restart"/>
          </w:tcPr>
          <w:p>
            <w:pPr>
              <w:ind w:left="200"/>
              <w:spacing w:after="0"/>
              <w:rPr>
                <w:sz w:val="20"/>
                <w:szCs w:val="20"/>
                <w:color w:val="auto"/>
              </w:rPr>
            </w:pPr>
            <w:r>
              <w:rPr>
                <w:rFonts w:ascii="Calibri" w:cs="Calibri" w:eastAsia="Calibri" w:hAnsi="Calibri"/>
                <w:sz w:val="14"/>
                <w:szCs w:val="14"/>
                <w:color w:val="auto"/>
              </w:rPr>
              <w:t>2024</w:t>
            </w:r>
          </w:p>
        </w:tc>
        <w:tc>
          <w:tcPr>
            <w:tcW w:w="2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0"/>
              <w:spacing w:after="0"/>
              <w:rPr>
                <w:sz w:val="20"/>
                <w:szCs w:val="20"/>
                <w:color w:val="auto"/>
              </w:rPr>
            </w:pPr>
            <w:r>
              <w:rPr>
                <w:rFonts w:ascii="Calibri" w:cs="Calibri" w:eastAsia="Calibri" w:hAnsi="Calibri"/>
                <w:sz w:val="14"/>
                <w:szCs w:val="14"/>
                <w:color w:val="auto"/>
              </w:rPr>
              <w:t>378,000</w:t>
            </w:r>
          </w:p>
        </w:tc>
        <w:tc>
          <w:tcPr>
            <w:tcW w:w="380" w:type="dxa"/>
            <w:vAlign w:val="bottom"/>
            <w:vMerge w:val="restart"/>
          </w:tcPr>
          <w:p>
            <w:pPr>
              <w:jc w:val="right"/>
              <w:ind w:right="129"/>
              <w:spacing w:after="0"/>
              <w:rPr>
                <w:sz w:val="20"/>
                <w:szCs w:val="20"/>
                <w:color w:val="auto"/>
              </w:rPr>
            </w:pPr>
            <w:r>
              <w:rPr>
                <w:rFonts w:ascii="Calibri" w:cs="Calibri" w:eastAsia="Calibri" w:hAnsi="Calibri"/>
                <w:sz w:val="14"/>
                <w:szCs w:val="14"/>
                <w:color w:val="auto"/>
              </w:rPr>
              <w:t>$</w:t>
            </w:r>
          </w:p>
        </w:tc>
        <w:tc>
          <w:tcPr>
            <w:tcW w:w="124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w:t>
            </w:r>
          </w:p>
        </w:tc>
        <w:tc>
          <w:tcPr>
            <w:tcW w:w="4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151,200</w:t>
            </w:r>
          </w:p>
        </w:tc>
        <w:tc>
          <w:tcPr>
            <w:tcW w:w="22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157,248</w:t>
            </w:r>
          </w:p>
        </w:tc>
        <w:tc>
          <w:tcPr>
            <w:tcW w:w="2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35,069</w:t>
            </w:r>
          </w:p>
        </w:tc>
        <w:tc>
          <w:tcPr>
            <w:tcW w:w="32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10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721,517</w:t>
            </w:r>
          </w:p>
        </w:tc>
        <w:tc>
          <w:tcPr>
            <w:tcW w:w="0" w:type="dxa"/>
            <w:vAlign w:val="bottom"/>
          </w:tcPr>
          <w:p>
            <w:pPr>
              <w:spacing w:after="0"/>
              <w:rPr>
                <w:sz w:val="1"/>
                <w:szCs w:val="1"/>
                <w:color w:val="auto"/>
              </w:rPr>
            </w:pPr>
          </w:p>
        </w:tc>
      </w:tr>
      <w:tr>
        <w:trPr>
          <w:trHeight w:val="80"/>
        </w:trPr>
        <w:tc>
          <w:tcPr>
            <w:tcW w:w="2460" w:type="dxa"/>
            <w:vAlign w:val="bottom"/>
            <w:vMerge w:val="restart"/>
          </w:tcPr>
          <w:p>
            <w:pPr>
              <w:ind w:left="160"/>
              <w:spacing w:after="0"/>
              <w:rPr>
                <w:sz w:val="20"/>
                <w:szCs w:val="20"/>
                <w:color w:val="auto"/>
              </w:rPr>
            </w:pPr>
            <w:r>
              <w:rPr>
                <w:rFonts w:ascii="Calibri" w:cs="Calibri" w:eastAsia="Calibri" w:hAnsi="Calibri"/>
                <w:sz w:val="14"/>
                <w:szCs w:val="14"/>
                <w:i w:val="1"/>
                <w:iCs w:val="1"/>
                <w:color w:val="auto"/>
              </w:rPr>
              <w:t>Operatng Ofcer</w:t>
            </w:r>
          </w:p>
        </w:tc>
        <w:tc>
          <w:tcPr>
            <w:tcW w:w="5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460" w:type="dxa"/>
            <w:vAlign w:val="bottom"/>
            <w:tcBorders>
              <w:bottom w:val="single" w:sz="8" w:color="1AB2D2"/>
            </w:tcBorders>
          </w:tcPr>
          <w:p>
            <w:pPr>
              <w:spacing w:after="0"/>
              <w:rPr>
                <w:sz w:val="16"/>
                <w:szCs w:val="16"/>
                <w:color w:val="auto"/>
              </w:rPr>
            </w:pPr>
          </w:p>
        </w:tc>
        <w:tc>
          <w:tcPr>
            <w:tcW w:w="580" w:type="dxa"/>
            <w:vAlign w:val="bottom"/>
            <w:tcBorders>
              <w:bottom w:val="single" w:sz="8" w:color="1AB2D2"/>
            </w:tcBorders>
          </w:tcPr>
          <w:p>
            <w:pPr>
              <w:ind w:left="200"/>
              <w:spacing w:after="0"/>
              <w:rPr>
                <w:sz w:val="20"/>
                <w:szCs w:val="20"/>
                <w:color w:val="auto"/>
              </w:rPr>
            </w:pPr>
            <w:r>
              <w:rPr>
                <w:rFonts w:ascii="Calibri" w:cs="Calibri" w:eastAsia="Calibri" w:hAnsi="Calibri"/>
                <w:sz w:val="14"/>
                <w:szCs w:val="14"/>
                <w:color w:val="auto"/>
              </w:rPr>
              <w:t>2023</w:t>
            </w:r>
          </w:p>
        </w:tc>
        <w:tc>
          <w:tcPr>
            <w:tcW w:w="2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w:t>
            </w:r>
          </w:p>
        </w:tc>
        <w:tc>
          <w:tcPr>
            <w:tcW w:w="1040" w:type="dxa"/>
            <w:vAlign w:val="bottom"/>
            <w:tcBorders>
              <w:bottom w:val="single" w:sz="8" w:color="1AB2D2"/>
            </w:tcBorders>
          </w:tcPr>
          <w:p>
            <w:pPr>
              <w:jc w:val="right"/>
              <w:ind w:right="30"/>
              <w:spacing w:after="0"/>
              <w:rPr>
                <w:sz w:val="20"/>
                <w:szCs w:val="20"/>
                <w:color w:val="auto"/>
              </w:rPr>
            </w:pPr>
            <w:r>
              <w:rPr>
                <w:rFonts w:ascii="Calibri" w:cs="Calibri" w:eastAsia="Calibri" w:hAnsi="Calibri"/>
                <w:sz w:val="14"/>
                <w:szCs w:val="14"/>
                <w:color w:val="auto"/>
              </w:rPr>
              <w:t>357,212</w:t>
            </w:r>
          </w:p>
        </w:tc>
        <w:tc>
          <w:tcPr>
            <w:tcW w:w="380" w:type="dxa"/>
            <w:vAlign w:val="bottom"/>
            <w:tcBorders>
              <w:bottom w:val="single" w:sz="8" w:color="1AB2D2"/>
            </w:tcBorders>
          </w:tcPr>
          <w:p>
            <w:pPr>
              <w:jc w:val="right"/>
              <w:ind w:right="129"/>
              <w:spacing w:after="0"/>
              <w:rPr>
                <w:sz w:val="20"/>
                <w:szCs w:val="20"/>
                <w:color w:val="auto"/>
              </w:rPr>
            </w:pPr>
            <w:r>
              <w:rPr>
                <w:rFonts w:ascii="Calibri" w:cs="Calibri" w:eastAsia="Calibri" w:hAnsi="Calibri"/>
                <w:sz w:val="14"/>
                <w:szCs w:val="14"/>
                <w:color w:val="auto"/>
              </w:rPr>
              <w:t>$</w:t>
            </w:r>
          </w:p>
        </w:tc>
        <w:tc>
          <w:tcPr>
            <w:tcW w:w="124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34,310</w:t>
            </w:r>
          </w:p>
        </w:tc>
        <w:tc>
          <w:tcPr>
            <w:tcW w:w="4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8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109,500</w:t>
            </w:r>
          </w:p>
        </w:tc>
        <w:tc>
          <w:tcPr>
            <w:tcW w:w="22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91,980</w:t>
            </w:r>
          </w:p>
        </w:tc>
        <w:tc>
          <w:tcPr>
            <w:tcW w:w="260" w:type="dxa"/>
            <w:vAlign w:val="bottom"/>
            <w:tcBorders>
              <w:bottom w:val="single" w:sz="8" w:color="1AB2D2"/>
            </w:tcBorders>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29,880</w:t>
            </w:r>
          </w:p>
        </w:tc>
        <w:tc>
          <w:tcPr>
            <w:tcW w:w="320" w:type="dxa"/>
            <w:vAlign w:val="bottom"/>
            <w:tcBorders>
              <w:bottom w:val="single" w:sz="8" w:color="1AB2D2"/>
            </w:tcBorders>
          </w:tcPr>
          <w:p>
            <w:pPr>
              <w:jc w:val="right"/>
              <w:ind w:right="69"/>
              <w:spacing w:after="0"/>
              <w:rPr>
                <w:sz w:val="20"/>
                <w:szCs w:val="20"/>
                <w:color w:val="auto"/>
              </w:rPr>
            </w:pPr>
            <w:r>
              <w:rPr>
                <w:rFonts w:ascii="Calibri" w:cs="Calibri" w:eastAsia="Calibri" w:hAnsi="Calibri"/>
                <w:sz w:val="14"/>
                <w:szCs w:val="14"/>
                <w:color w:val="auto"/>
              </w:rPr>
              <w:t>$</w:t>
            </w:r>
          </w:p>
        </w:tc>
        <w:tc>
          <w:tcPr>
            <w:tcW w:w="1000" w:type="dxa"/>
            <w:vAlign w:val="bottom"/>
            <w:tcBorders>
              <w:bottom w:val="single" w:sz="8" w:color="1AB2D2"/>
            </w:tcBorders>
          </w:tcPr>
          <w:p>
            <w:pPr>
              <w:jc w:val="right"/>
              <w:ind w:right="29"/>
              <w:spacing w:after="0"/>
              <w:rPr>
                <w:sz w:val="20"/>
                <w:szCs w:val="20"/>
                <w:color w:val="auto"/>
              </w:rPr>
            </w:pPr>
            <w:r>
              <w:rPr>
                <w:rFonts w:ascii="Calibri" w:cs="Calibri" w:eastAsia="Calibri" w:hAnsi="Calibri"/>
                <w:sz w:val="14"/>
                <w:szCs w:val="14"/>
                <w:color w:val="auto"/>
              </w:rPr>
              <w:t>622,882</w:t>
            </w:r>
          </w:p>
        </w:tc>
        <w:tc>
          <w:tcPr>
            <w:tcW w:w="0" w:type="dxa"/>
            <w:vAlign w:val="bottom"/>
          </w:tcPr>
          <w:p>
            <w:pPr>
              <w:spacing w:after="0"/>
              <w:rPr>
                <w:sz w:val="1"/>
                <w:szCs w:val="1"/>
                <w:color w:val="auto"/>
              </w:rPr>
            </w:pPr>
          </w:p>
        </w:tc>
      </w:tr>
      <w:tr>
        <w:trPr>
          <w:trHeight w:val="159"/>
        </w:trPr>
        <w:tc>
          <w:tcPr>
            <w:tcW w:w="2460" w:type="dxa"/>
            <w:vAlign w:val="bottom"/>
          </w:tcPr>
          <w:p>
            <w:pPr>
              <w:spacing w:after="0" w:line="159" w:lineRule="exact"/>
              <w:rPr>
                <w:sz w:val="20"/>
                <w:szCs w:val="20"/>
                <w:color w:val="auto"/>
              </w:rPr>
            </w:pPr>
            <w:r>
              <w:rPr>
                <w:rFonts w:ascii="Calibri" w:cs="Calibri" w:eastAsia="Calibri" w:hAnsi="Calibri"/>
                <w:sz w:val="11"/>
                <w:szCs w:val="11"/>
                <w:color w:val="auto"/>
              </w:rPr>
              <w:t>Forrest R. Wilson</w:t>
            </w:r>
            <w:r>
              <w:rPr>
                <w:rFonts w:ascii="Calibri" w:cs="Calibri" w:eastAsia="Calibri" w:hAnsi="Calibri"/>
                <w:sz w:val="17"/>
                <w:szCs w:val="17"/>
                <w:color w:val="auto"/>
                <w:vertAlign w:val="superscript"/>
              </w:rPr>
              <w:t>(6)</w:t>
            </w:r>
          </w:p>
        </w:tc>
        <w:tc>
          <w:tcPr>
            <w:tcW w:w="580" w:type="dxa"/>
            <w:vAlign w:val="bottom"/>
          </w:tcPr>
          <w:p>
            <w:pPr>
              <w:ind w:left="200"/>
              <w:spacing w:after="0" w:line="159" w:lineRule="exact"/>
              <w:rPr>
                <w:sz w:val="20"/>
                <w:szCs w:val="20"/>
                <w:color w:val="auto"/>
              </w:rPr>
            </w:pPr>
            <w:r>
              <w:rPr>
                <w:rFonts w:ascii="Calibri" w:cs="Calibri" w:eastAsia="Calibri" w:hAnsi="Calibri"/>
                <w:sz w:val="14"/>
                <w:szCs w:val="14"/>
                <w:color w:val="auto"/>
              </w:rPr>
              <w:t>2025</w:t>
            </w:r>
          </w:p>
        </w:tc>
        <w:tc>
          <w:tcPr>
            <w:tcW w:w="2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30"/>
              <w:spacing w:after="0" w:line="159" w:lineRule="exact"/>
              <w:rPr>
                <w:sz w:val="20"/>
                <w:szCs w:val="20"/>
                <w:color w:val="auto"/>
              </w:rPr>
            </w:pPr>
            <w:r>
              <w:rPr>
                <w:rFonts w:ascii="Calibri" w:cs="Calibri" w:eastAsia="Calibri" w:hAnsi="Calibri"/>
                <w:sz w:val="14"/>
                <w:szCs w:val="14"/>
                <w:color w:val="auto"/>
              </w:rPr>
              <w:t>390,000</w:t>
            </w:r>
          </w:p>
        </w:tc>
        <w:tc>
          <w:tcPr>
            <w:tcW w:w="380" w:type="dxa"/>
            <w:vAlign w:val="bottom"/>
          </w:tcPr>
          <w:p>
            <w:pPr>
              <w:jc w:val="right"/>
              <w:ind w:right="129"/>
              <w:spacing w:after="0" w:line="159" w:lineRule="exact"/>
              <w:rPr>
                <w:sz w:val="20"/>
                <w:szCs w:val="20"/>
                <w:color w:val="auto"/>
              </w:rPr>
            </w:pPr>
            <w:r>
              <w:rPr>
                <w:rFonts w:ascii="Calibri" w:cs="Calibri" w:eastAsia="Calibri" w:hAnsi="Calibri"/>
                <w:sz w:val="14"/>
                <w:szCs w:val="14"/>
                <w:color w:val="auto"/>
              </w:rPr>
              <w:t>$</w:t>
            </w:r>
          </w:p>
        </w:tc>
        <w:tc>
          <w:tcPr>
            <w:tcW w:w="124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w:t>
            </w:r>
          </w:p>
        </w:tc>
        <w:tc>
          <w:tcPr>
            <w:tcW w:w="4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8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156,000</w:t>
            </w:r>
          </w:p>
        </w:tc>
        <w:tc>
          <w:tcPr>
            <w:tcW w:w="22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1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219,960</w:t>
            </w:r>
          </w:p>
        </w:tc>
        <w:tc>
          <w:tcPr>
            <w:tcW w:w="260" w:type="dxa"/>
            <w:vAlign w:val="bottom"/>
          </w:tcPr>
          <w:p>
            <w:pPr>
              <w:ind w:left="100"/>
              <w:spacing w:after="0" w:line="159" w:lineRule="exact"/>
              <w:rPr>
                <w:sz w:val="20"/>
                <w:szCs w:val="20"/>
                <w:color w:val="auto"/>
              </w:rPr>
            </w:pPr>
            <w:r>
              <w:rPr>
                <w:rFonts w:ascii="Calibri" w:cs="Calibri" w:eastAsia="Calibri" w:hAnsi="Calibri"/>
                <w:sz w:val="14"/>
                <w:szCs w:val="14"/>
                <w:color w:val="auto"/>
              </w:rPr>
              <w:t>$</w:t>
            </w:r>
          </w:p>
        </w:tc>
        <w:tc>
          <w:tcPr>
            <w:tcW w:w="106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50,237</w:t>
            </w:r>
          </w:p>
        </w:tc>
        <w:tc>
          <w:tcPr>
            <w:tcW w:w="320" w:type="dxa"/>
            <w:vAlign w:val="bottom"/>
          </w:tcPr>
          <w:p>
            <w:pPr>
              <w:jc w:val="right"/>
              <w:ind w:right="69"/>
              <w:spacing w:after="0" w:line="15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59" w:lineRule="exact"/>
              <w:rPr>
                <w:sz w:val="20"/>
                <w:szCs w:val="20"/>
                <w:color w:val="auto"/>
              </w:rPr>
            </w:pPr>
            <w:r>
              <w:rPr>
                <w:rFonts w:ascii="Calibri" w:cs="Calibri" w:eastAsia="Calibri" w:hAnsi="Calibri"/>
                <w:sz w:val="14"/>
                <w:szCs w:val="14"/>
                <w:color w:val="auto"/>
              </w:rPr>
              <w:t>816,197</w:t>
            </w:r>
          </w:p>
        </w:tc>
        <w:tc>
          <w:tcPr>
            <w:tcW w:w="0" w:type="dxa"/>
            <w:vAlign w:val="bottom"/>
          </w:tcPr>
          <w:p>
            <w:pPr>
              <w:spacing w:after="0"/>
              <w:rPr>
                <w:sz w:val="1"/>
                <w:szCs w:val="1"/>
                <w:color w:val="auto"/>
              </w:rPr>
            </w:pPr>
          </w:p>
        </w:tc>
      </w:tr>
      <w:tr>
        <w:trPr>
          <w:trHeight w:val="169"/>
        </w:trPr>
        <w:tc>
          <w:tcPr>
            <w:tcW w:w="2460" w:type="dxa"/>
            <w:vAlign w:val="bottom"/>
          </w:tcPr>
          <w:p>
            <w:pPr>
              <w:ind w:left="160"/>
              <w:spacing w:after="0" w:line="169" w:lineRule="exact"/>
              <w:rPr>
                <w:sz w:val="20"/>
                <w:szCs w:val="20"/>
                <w:color w:val="auto"/>
              </w:rPr>
            </w:pPr>
            <w:r>
              <w:rPr>
                <w:rFonts w:ascii="Calibri" w:cs="Calibri" w:eastAsia="Calibri" w:hAnsi="Calibri"/>
                <w:sz w:val="14"/>
                <w:szCs w:val="14"/>
                <w:i w:val="1"/>
                <w:iCs w:val="1"/>
                <w:color w:val="auto"/>
              </w:rPr>
              <w:t>Executve Vice President and Chief</w:t>
            </w:r>
          </w:p>
        </w:tc>
        <w:tc>
          <w:tcPr>
            <w:tcW w:w="580" w:type="dxa"/>
            <w:vAlign w:val="bottom"/>
            <w:vMerge w:val="restart"/>
          </w:tcPr>
          <w:p>
            <w:pPr>
              <w:ind w:left="200"/>
              <w:spacing w:after="0"/>
              <w:rPr>
                <w:sz w:val="20"/>
                <w:szCs w:val="20"/>
                <w:color w:val="auto"/>
              </w:rPr>
            </w:pPr>
            <w:r>
              <w:rPr>
                <w:rFonts w:ascii="Calibri" w:cs="Calibri" w:eastAsia="Calibri" w:hAnsi="Calibri"/>
                <w:sz w:val="14"/>
                <w:szCs w:val="14"/>
                <w:color w:val="auto"/>
              </w:rPr>
              <w:t>2024</w:t>
            </w:r>
          </w:p>
        </w:tc>
        <w:tc>
          <w:tcPr>
            <w:tcW w:w="2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w:t>
            </w:r>
          </w:p>
        </w:tc>
        <w:tc>
          <w:tcPr>
            <w:tcW w:w="1040" w:type="dxa"/>
            <w:vAlign w:val="bottom"/>
            <w:vMerge w:val="restart"/>
          </w:tcPr>
          <w:p>
            <w:pPr>
              <w:jc w:val="right"/>
              <w:ind w:right="30"/>
              <w:spacing w:after="0"/>
              <w:rPr>
                <w:sz w:val="20"/>
                <w:szCs w:val="20"/>
                <w:color w:val="auto"/>
              </w:rPr>
            </w:pPr>
            <w:r>
              <w:rPr>
                <w:rFonts w:ascii="Calibri" w:cs="Calibri" w:eastAsia="Calibri" w:hAnsi="Calibri"/>
                <w:sz w:val="14"/>
                <w:szCs w:val="14"/>
                <w:color w:val="auto"/>
              </w:rPr>
              <w:t>317,307</w:t>
            </w:r>
          </w:p>
        </w:tc>
        <w:tc>
          <w:tcPr>
            <w:tcW w:w="380" w:type="dxa"/>
            <w:vAlign w:val="bottom"/>
            <w:vMerge w:val="restart"/>
          </w:tcPr>
          <w:p>
            <w:pPr>
              <w:jc w:val="right"/>
              <w:ind w:right="129"/>
              <w:spacing w:after="0"/>
              <w:rPr>
                <w:sz w:val="20"/>
                <w:szCs w:val="20"/>
                <w:color w:val="auto"/>
              </w:rPr>
            </w:pPr>
            <w:r>
              <w:rPr>
                <w:rFonts w:ascii="Calibri" w:cs="Calibri" w:eastAsia="Calibri" w:hAnsi="Calibri"/>
                <w:sz w:val="14"/>
                <w:szCs w:val="14"/>
                <w:color w:val="auto"/>
              </w:rPr>
              <w:t>$</w:t>
            </w:r>
          </w:p>
        </w:tc>
        <w:tc>
          <w:tcPr>
            <w:tcW w:w="124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150,000</w:t>
            </w:r>
          </w:p>
        </w:tc>
        <w:tc>
          <w:tcPr>
            <w:tcW w:w="4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325,000</w:t>
            </w:r>
          </w:p>
        </w:tc>
        <w:tc>
          <w:tcPr>
            <w:tcW w:w="22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1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130,000</w:t>
            </w:r>
          </w:p>
        </w:tc>
        <w:tc>
          <w:tcPr>
            <w:tcW w:w="260" w:type="dxa"/>
            <w:vAlign w:val="bottom"/>
            <w:vMerge w:val="restart"/>
          </w:tcPr>
          <w:p>
            <w:pPr>
              <w:ind w:left="100"/>
              <w:spacing w:after="0"/>
              <w:rPr>
                <w:sz w:val="20"/>
                <w:szCs w:val="20"/>
                <w:color w:val="auto"/>
              </w:rPr>
            </w:pPr>
            <w:r>
              <w:rPr>
                <w:rFonts w:ascii="Calibri" w:cs="Calibri" w:eastAsia="Calibri" w:hAnsi="Calibri"/>
                <w:sz w:val="14"/>
                <w:szCs w:val="14"/>
                <w:color w:val="auto"/>
              </w:rPr>
              <w:t>$</w:t>
            </w:r>
          </w:p>
        </w:tc>
        <w:tc>
          <w:tcPr>
            <w:tcW w:w="106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27,080</w:t>
            </w:r>
          </w:p>
        </w:tc>
        <w:tc>
          <w:tcPr>
            <w:tcW w:w="32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1000" w:type="dxa"/>
            <w:vAlign w:val="bottom"/>
            <w:vMerge w:val="restart"/>
          </w:tcPr>
          <w:p>
            <w:pPr>
              <w:jc w:val="right"/>
              <w:ind w:right="29"/>
              <w:spacing w:after="0"/>
              <w:rPr>
                <w:sz w:val="20"/>
                <w:szCs w:val="20"/>
                <w:color w:val="auto"/>
              </w:rPr>
            </w:pPr>
            <w:r>
              <w:rPr>
                <w:rFonts w:ascii="Calibri" w:cs="Calibri" w:eastAsia="Calibri" w:hAnsi="Calibri"/>
                <w:sz w:val="14"/>
                <w:szCs w:val="14"/>
                <w:color w:val="auto"/>
              </w:rPr>
              <w:t>949,387</w:t>
            </w:r>
          </w:p>
        </w:tc>
        <w:tc>
          <w:tcPr>
            <w:tcW w:w="0" w:type="dxa"/>
            <w:vAlign w:val="bottom"/>
          </w:tcPr>
          <w:p>
            <w:pPr>
              <w:spacing w:after="0"/>
              <w:rPr>
                <w:sz w:val="1"/>
                <w:szCs w:val="1"/>
                <w:color w:val="auto"/>
              </w:rPr>
            </w:pPr>
          </w:p>
        </w:tc>
      </w:tr>
      <w:tr>
        <w:trPr>
          <w:trHeight w:val="80"/>
        </w:trPr>
        <w:tc>
          <w:tcPr>
            <w:tcW w:w="2460" w:type="dxa"/>
            <w:vAlign w:val="bottom"/>
            <w:vMerge w:val="restart"/>
          </w:tcPr>
          <w:p>
            <w:pPr>
              <w:ind w:left="160"/>
              <w:spacing w:after="0"/>
              <w:rPr>
                <w:sz w:val="20"/>
                <w:szCs w:val="20"/>
                <w:color w:val="auto"/>
              </w:rPr>
            </w:pPr>
            <w:r>
              <w:rPr>
                <w:rFonts w:ascii="Calibri" w:cs="Calibri" w:eastAsia="Calibri" w:hAnsi="Calibri"/>
                <w:sz w:val="14"/>
                <w:szCs w:val="14"/>
                <w:i w:val="1"/>
                <w:iCs w:val="1"/>
                <w:color w:val="auto"/>
              </w:rPr>
              <w:t>Retrement Services Ofcer</w:t>
            </w:r>
          </w:p>
        </w:tc>
        <w:tc>
          <w:tcPr>
            <w:tcW w:w="58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4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ind w:left="320" w:hanging="313"/>
        <w:spacing w:after="0"/>
        <w:tabs>
          <w:tab w:leader="none" w:pos="320" w:val="left"/>
        </w:tabs>
        <w:numPr>
          <w:ilvl w:val="0"/>
          <w:numId w:val="40"/>
        </w:numPr>
        <w:rPr>
          <w:rFonts w:ascii="Arial" w:cs="Arial" w:eastAsia="Arial" w:hAnsi="Arial"/>
          <w:sz w:val="27"/>
          <w:szCs w:val="27"/>
          <w:color w:val="auto"/>
          <w:vertAlign w:val="superscript"/>
        </w:rPr>
      </w:pPr>
      <w:r>
        <w:rPr>
          <w:rFonts w:ascii="Arial" w:cs="Arial" w:eastAsia="Arial" w:hAnsi="Arial"/>
          <w:sz w:val="16"/>
          <w:szCs w:val="16"/>
          <w:color w:val="auto"/>
        </w:rPr>
        <w:t>Amounts reflect base salary earned in each fiscal year.</w:t>
      </w:r>
    </w:p>
    <w:p>
      <w:pPr>
        <w:spacing w:after="0" w:line="58" w:lineRule="exact"/>
        <w:rPr>
          <w:rFonts w:ascii="Arial" w:cs="Arial" w:eastAsia="Arial" w:hAnsi="Arial"/>
          <w:sz w:val="27"/>
          <w:szCs w:val="27"/>
          <w:color w:val="auto"/>
          <w:vertAlign w:val="superscript"/>
        </w:rPr>
      </w:pPr>
    </w:p>
    <w:p>
      <w:pPr>
        <w:ind w:left="320" w:right="60" w:hanging="313"/>
        <w:spacing w:after="0" w:line="227" w:lineRule="auto"/>
        <w:tabs>
          <w:tab w:leader="none" w:pos="320" w:val="left"/>
        </w:tabs>
        <w:numPr>
          <w:ilvl w:val="0"/>
          <w:numId w:val="40"/>
        </w:numPr>
        <w:rPr>
          <w:rFonts w:ascii="Arial" w:cs="Arial" w:eastAsia="Arial" w:hAnsi="Arial"/>
          <w:sz w:val="27"/>
          <w:szCs w:val="27"/>
          <w:color w:val="auto"/>
          <w:vertAlign w:val="superscript"/>
        </w:rPr>
      </w:pPr>
      <w:r>
        <w:rPr>
          <w:rFonts w:ascii="Arial" w:cs="Arial" w:eastAsia="Arial" w:hAnsi="Arial"/>
          <w:sz w:val="16"/>
          <w:szCs w:val="16"/>
          <w:color w:val="auto"/>
        </w:rPr>
        <w:t>The amounts set forth in the “Stock Awards” column reflect the aggregate grant date fair value of stock awards for the years ended December 31, 2025, 2024 and 2023 in accordance with FASB ASC Topic 718. The amounts reflected assume a target level of performance as that was the probable outcome at the time of grant. The amounts reflected for 2025 represent awards granted on February 25, 2025, and are based on a grant date fair market value of $20.64 per share. The 2025 awards are subject to a three-year vesting schedule based on a combination 60% performance-based vesting and 40% time-based vesting. In the instance of performance at a maximum level, the performance-based vesting 2025 awards have the following values: Ms. Lorenson: $393,750, Mr. Villalon: $145,800, Mr. Collins: $167,400, Ms. Taylor: $145,800, and Mr. Wilson: $140,400. The value reflected for 2025 time-based awards is as follows: Ms. Lorenson: $175,000, Mr. Villalon: $64,800, Mr. Collins: $74,400, Ms. Taylor $64,800, and Mr. Wilson: $62,400. See Note 1 (Significant Accounting Policies) and Note 17 (Share-Based Compensation Plan) to the Company's consolidated financial statements for the year-ended December 31, 2025 for information regarding the assumptions used in the valuation of these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173990</wp:posOffset>
            </wp:positionV>
            <wp:extent cx="593090" cy="1187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30</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33" w:name="page34"/>
    <w:bookmarkEnd w:id="33"/>
    <w:p>
      <w:pPr>
        <w:ind w:left="320" w:hanging="313"/>
        <w:spacing w:after="0" w:line="311" w:lineRule="exact"/>
        <w:tabs>
          <w:tab w:leader="none" w:pos="320" w:val="left"/>
        </w:tabs>
        <w:numPr>
          <w:ilvl w:val="0"/>
          <w:numId w:val="41"/>
        </w:numPr>
        <w:rPr>
          <w:rFonts w:ascii="Arial" w:cs="Arial" w:eastAsia="Arial" w:hAnsi="Arial"/>
          <w:sz w:val="27"/>
          <w:szCs w:val="27"/>
          <w:color w:val="auto"/>
          <w:vertAlign w:val="superscript"/>
        </w:rPr>
      </w:pPr>
      <w:r>
        <w:rPr>
          <w:rFonts w:ascii="Arial" w:cs="Arial" w:eastAsia="Arial" w:hAnsi="Arial"/>
          <w:sz w:val="16"/>
          <w:szCs w:val="16"/>
          <w:color w:val="auto"/>
        </w:rPr>
        <w:t>Amounts reflect annual cash incentive awards earned pursuant to the Alerus Financial Corporation Short</w:t>
      </w:r>
      <w:r>
        <w:rPr>
          <w:rFonts w:ascii="MS PGothic" w:cs="MS PGothic" w:eastAsia="MS PGothic" w:hAnsi="MS PGothic"/>
          <w:sz w:val="16"/>
          <w:szCs w:val="16"/>
          <w:color w:val="auto"/>
        </w:rPr>
        <w:t>‑</w:t>
      </w:r>
      <w:r>
        <w:rPr>
          <w:rFonts w:ascii="Arial" w:cs="Arial" w:eastAsia="Arial" w:hAnsi="Arial"/>
          <w:sz w:val="16"/>
          <w:szCs w:val="16"/>
          <w:color w:val="auto"/>
        </w:rPr>
        <w:t>Term Incentive Plan.</w:t>
      </w:r>
    </w:p>
    <w:p>
      <w:pPr>
        <w:spacing w:after="0" w:line="36" w:lineRule="exact"/>
        <w:rPr>
          <w:rFonts w:ascii="Arial" w:cs="Arial" w:eastAsia="Arial" w:hAnsi="Arial"/>
          <w:sz w:val="27"/>
          <w:szCs w:val="27"/>
          <w:color w:val="auto"/>
          <w:vertAlign w:val="superscript"/>
        </w:rPr>
      </w:pPr>
    </w:p>
    <w:p>
      <w:pPr>
        <w:ind w:left="320" w:hanging="313"/>
        <w:spacing w:after="0" w:line="184" w:lineRule="auto"/>
        <w:tabs>
          <w:tab w:leader="none" w:pos="3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“All Other Compensation” for our NEOs during 2025 is summarized below.</w:t>
      </w:r>
    </w:p>
    <w:p>
      <w:pPr>
        <w:spacing w:after="0" w:line="57" w:lineRule="exact"/>
        <w:rPr>
          <w:rFonts w:ascii="Arial" w:cs="Arial" w:eastAsia="Arial" w:hAnsi="Arial"/>
          <w:sz w:val="22"/>
          <w:szCs w:val="22"/>
          <w:color w:val="auto"/>
          <w:vertAlign w:val="superscript"/>
        </w:rPr>
      </w:pPr>
    </w:p>
    <w:p>
      <w:pPr>
        <w:ind w:left="320" w:hanging="313"/>
        <w:spacing w:after="0" w:line="187" w:lineRule="auto"/>
        <w:tabs>
          <w:tab w:leader="none" w:pos="3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Mr. Villalon was not an NEO in 2023.</w:t>
      </w:r>
    </w:p>
    <w:p>
      <w:pPr>
        <w:spacing w:after="0" w:line="56" w:lineRule="exact"/>
        <w:rPr>
          <w:rFonts w:ascii="Arial" w:cs="Arial" w:eastAsia="Arial" w:hAnsi="Arial"/>
          <w:sz w:val="22"/>
          <w:szCs w:val="22"/>
          <w:color w:val="auto"/>
          <w:vertAlign w:val="superscript"/>
        </w:rPr>
      </w:pPr>
    </w:p>
    <w:p>
      <w:pPr>
        <w:ind w:left="320" w:hanging="313"/>
        <w:spacing w:after="0" w:line="187" w:lineRule="auto"/>
        <w:tabs>
          <w:tab w:leader="none" w:pos="320" w:val="left"/>
        </w:tabs>
        <w:numPr>
          <w:ilvl w:val="0"/>
          <w:numId w:val="41"/>
        </w:numPr>
        <w:rPr>
          <w:rFonts w:ascii="Arial" w:cs="Arial" w:eastAsia="Arial" w:hAnsi="Arial"/>
          <w:sz w:val="22"/>
          <w:szCs w:val="22"/>
          <w:color w:val="auto"/>
          <w:vertAlign w:val="superscript"/>
        </w:rPr>
      </w:pPr>
      <w:r>
        <w:rPr>
          <w:rFonts w:ascii="Arial" w:cs="Arial" w:eastAsia="Arial" w:hAnsi="Arial"/>
          <w:sz w:val="14"/>
          <w:szCs w:val="14"/>
          <w:color w:val="auto"/>
        </w:rPr>
        <w:t>Mr. Wilson was not an NEO in 2023.</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Name</w:t>
            </w:r>
          </w:p>
        </w:tc>
        <w:tc>
          <w:tcPr>
            <w:tcW w:w="1820" w:type="dxa"/>
            <w:vAlign w:val="bottom"/>
            <w:shd w:val="clear" w:color="auto" w:fill="062B48"/>
          </w:tcPr>
          <w:p>
            <w:pPr>
              <w:spacing w:after="0"/>
              <w:rPr>
                <w:sz w:val="14"/>
                <w:szCs w:val="14"/>
                <w:color w:val="auto"/>
              </w:rPr>
            </w:pPr>
          </w:p>
        </w:tc>
        <w:tc>
          <w:tcPr>
            <w:tcW w:w="1160" w:type="dxa"/>
            <w:vAlign w:val="bottom"/>
            <w:vMerge w:val="restart"/>
            <w:shd w:val="clear" w:color="auto" w:fill="062B48"/>
          </w:tcPr>
          <w:p>
            <w:pPr>
              <w:jc w:val="right"/>
              <w:ind w:right="169"/>
              <w:spacing w:after="0"/>
              <w:rPr>
                <w:sz w:val="20"/>
                <w:szCs w:val="20"/>
                <w:color w:val="auto"/>
              </w:rPr>
            </w:pPr>
            <w:r>
              <w:rPr>
                <w:rFonts w:ascii="Calibri" w:cs="Calibri" w:eastAsia="Calibri" w:hAnsi="Calibri"/>
                <w:sz w:val="14"/>
                <w:szCs w:val="14"/>
                <w:b w:val="1"/>
                <w:bCs w:val="1"/>
                <w:color w:val="FFFFFF"/>
                <w:w w:val="96"/>
              </w:rPr>
              <w:t>PERQUISITES</w:t>
            </w:r>
            <w:r>
              <w:rPr>
                <w:rFonts w:ascii="Calibri" w:cs="Calibri" w:eastAsia="Calibri" w:hAnsi="Calibri"/>
                <w:sz w:val="23"/>
                <w:szCs w:val="23"/>
                <w:b w:val="1"/>
                <w:bCs w:val="1"/>
                <w:color w:val="FFFFFF"/>
                <w:w w:val="96"/>
                <w:vertAlign w:val="superscript"/>
              </w:rPr>
              <w:t>(1)</w:t>
            </w:r>
          </w:p>
        </w:tc>
        <w:tc>
          <w:tcPr>
            <w:tcW w:w="1380" w:type="dxa"/>
            <w:vAlign w:val="bottom"/>
            <w:gridSpan w:val="2"/>
            <w:shd w:val="clear" w:color="auto" w:fill="062B48"/>
          </w:tcPr>
          <w:p>
            <w:pPr>
              <w:jc w:val="right"/>
              <w:ind w:right="111"/>
              <w:spacing w:after="0"/>
              <w:rPr>
                <w:sz w:val="20"/>
                <w:szCs w:val="20"/>
                <w:color w:val="auto"/>
              </w:rPr>
            </w:pPr>
            <w:r>
              <w:rPr>
                <w:rFonts w:ascii="Calibri" w:cs="Calibri" w:eastAsia="Calibri" w:hAnsi="Calibri"/>
                <w:sz w:val="14"/>
                <w:szCs w:val="14"/>
                <w:b w:val="1"/>
                <w:bCs w:val="1"/>
                <w:color w:val="FFFFFF"/>
              </w:rPr>
              <w:t>COMPANY 401(k)</w:t>
            </w:r>
          </w:p>
        </w:tc>
        <w:tc>
          <w:tcPr>
            <w:tcW w:w="320" w:type="dxa"/>
            <w:vAlign w:val="bottom"/>
            <w:shd w:val="clear" w:color="auto" w:fill="062B48"/>
          </w:tcPr>
          <w:p>
            <w:pPr>
              <w:spacing w:after="0"/>
              <w:rPr>
                <w:sz w:val="14"/>
                <w:szCs w:val="14"/>
                <w:color w:val="auto"/>
              </w:rPr>
            </w:pPr>
          </w:p>
        </w:tc>
        <w:tc>
          <w:tcPr>
            <w:tcW w:w="1020" w:type="dxa"/>
            <w:vAlign w:val="bottom"/>
            <w:vMerge w:val="restart"/>
            <w:shd w:val="clear" w:color="auto" w:fill="062B48"/>
          </w:tcPr>
          <w:p>
            <w:pPr>
              <w:jc w:val="right"/>
              <w:ind w:right="369"/>
              <w:spacing w:after="0"/>
              <w:rPr>
                <w:sz w:val="20"/>
                <w:szCs w:val="20"/>
                <w:color w:val="auto"/>
              </w:rPr>
            </w:pPr>
            <w:r>
              <w:rPr>
                <w:rFonts w:ascii="Calibri" w:cs="Calibri" w:eastAsia="Calibri" w:hAnsi="Calibri"/>
                <w:sz w:val="14"/>
                <w:szCs w:val="14"/>
                <w:b w:val="1"/>
                <w:bCs w:val="1"/>
                <w:color w:val="FFFFFF"/>
              </w:rPr>
              <w:t>ESOP</w:t>
            </w:r>
            <w:r>
              <w:rPr>
                <w:rFonts w:ascii="Calibri" w:cs="Calibri" w:eastAsia="Calibri" w:hAnsi="Calibri"/>
                <w:sz w:val="23"/>
                <w:szCs w:val="23"/>
                <w:b w:val="1"/>
                <w:bCs w:val="1"/>
                <w:color w:val="FFFFFF"/>
                <w:vertAlign w:val="superscript"/>
              </w:rPr>
              <w:t>(3)</w:t>
            </w:r>
          </w:p>
        </w:tc>
        <w:tc>
          <w:tcPr>
            <w:tcW w:w="1320" w:type="dxa"/>
            <w:vAlign w:val="bottom"/>
            <w:gridSpan w:val="2"/>
            <w:shd w:val="clear" w:color="auto" w:fill="062B48"/>
          </w:tcPr>
          <w:p>
            <w:pPr>
              <w:jc w:val="right"/>
              <w:ind w:right="89"/>
              <w:spacing w:after="0"/>
              <w:rPr>
                <w:sz w:val="20"/>
                <w:szCs w:val="20"/>
                <w:color w:val="auto"/>
              </w:rPr>
            </w:pPr>
            <w:r>
              <w:rPr>
                <w:rFonts w:ascii="Calibri" w:cs="Calibri" w:eastAsia="Calibri" w:hAnsi="Calibri"/>
                <w:sz w:val="14"/>
                <w:szCs w:val="14"/>
                <w:b w:val="1"/>
                <w:bCs w:val="1"/>
                <w:color w:val="FFFFFF"/>
              </w:rPr>
              <w:t>NQDC COMPANY</w:t>
            </w:r>
          </w:p>
        </w:tc>
        <w:tc>
          <w:tcPr>
            <w:tcW w:w="1320" w:type="dxa"/>
            <w:vAlign w:val="bottom"/>
            <w:gridSpan w:val="2"/>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TOTAL "ALL OTHER</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062B48"/>
            </w:tcBorders>
            <w:vMerge w:val="continue"/>
            <w:shd w:val="clear" w:color="auto" w:fill="062B48"/>
          </w:tcPr>
          <w:p>
            <w:pPr>
              <w:spacing w:after="0"/>
              <w:rPr>
                <w:sz w:val="14"/>
                <w:szCs w:val="14"/>
                <w:color w:val="auto"/>
              </w:rPr>
            </w:pPr>
          </w:p>
        </w:tc>
        <w:tc>
          <w:tcPr>
            <w:tcW w:w="1820" w:type="dxa"/>
            <w:vAlign w:val="bottom"/>
            <w:tcBorders>
              <w:bottom w:val="single" w:sz="8" w:color="062B48"/>
            </w:tcBorders>
            <w:shd w:val="clear" w:color="auto" w:fill="062B48"/>
          </w:tcPr>
          <w:p>
            <w:pPr>
              <w:spacing w:after="0"/>
              <w:rPr>
                <w:sz w:val="14"/>
                <w:szCs w:val="14"/>
                <w:color w:val="auto"/>
              </w:rPr>
            </w:pPr>
          </w:p>
        </w:tc>
        <w:tc>
          <w:tcPr>
            <w:tcW w:w="1160" w:type="dxa"/>
            <w:vAlign w:val="bottom"/>
            <w:tcBorders>
              <w:bottom w:val="single" w:sz="8" w:color="062B48"/>
            </w:tcBorders>
            <w:vMerge w:val="continue"/>
            <w:shd w:val="clear" w:color="auto" w:fill="062B48"/>
          </w:tcPr>
          <w:p>
            <w:pPr>
              <w:spacing w:after="0"/>
              <w:rPr>
                <w:sz w:val="14"/>
                <w:szCs w:val="14"/>
                <w:color w:val="auto"/>
              </w:rPr>
            </w:pPr>
          </w:p>
        </w:tc>
        <w:tc>
          <w:tcPr>
            <w:tcW w:w="300" w:type="dxa"/>
            <w:vAlign w:val="bottom"/>
            <w:tcBorders>
              <w:bottom w:val="single" w:sz="8" w:color="062B48"/>
            </w:tcBorders>
            <w:shd w:val="clear" w:color="auto" w:fill="062B48"/>
          </w:tcPr>
          <w:p>
            <w:pPr>
              <w:spacing w:after="0"/>
              <w:rPr>
                <w:sz w:val="14"/>
                <w:szCs w:val="14"/>
                <w:color w:val="auto"/>
              </w:rPr>
            </w:pPr>
          </w:p>
        </w:tc>
        <w:tc>
          <w:tcPr>
            <w:tcW w:w="1080" w:type="dxa"/>
            <w:vAlign w:val="bottom"/>
            <w:tcBorders>
              <w:bottom w:val="single" w:sz="8" w:color="062B48"/>
            </w:tcBorders>
            <w:shd w:val="clear" w:color="auto" w:fill="062B48"/>
          </w:tcPr>
          <w:p>
            <w:pPr>
              <w:jc w:val="right"/>
              <w:ind w:right="351"/>
              <w:spacing w:after="0" w:line="171" w:lineRule="exact"/>
              <w:rPr>
                <w:sz w:val="20"/>
                <w:szCs w:val="20"/>
                <w:color w:val="auto"/>
              </w:rPr>
            </w:pPr>
            <w:r>
              <w:rPr>
                <w:rFonts w:ascii="Calibri" w:cs="Calibri" w:eastAsia="Calibri" w:hAnsi="Calibri"/>
                <w:sz w:val="12"/>
                <w:szCs w:val="12"/>
                <w:b w:val="1"/>
                <w:bCs w:val="1"/>
                <w:color w:val="FFFFFF"/>
              </w:rPr>
              <w:t>MATCH</w:t>
            </w:r>
            <w:r>
              <w:rPr>
                <w:rFonts w:ascii="Calibri" w:cs="Calibri" w:eastAsia="Calibri" w:hAnsi="Calibri"/>
                <w:sz w:val="18"/>
                <w:szCs w:val="18"/>
                <w:b w:val="1"/>
                <w:bCs w:val="1"/>
                <w:color w:val="FFFFFF"/>
                <w:vertAlign w:val="superscript"/>
              </w:rPr>
              <w:t>(2)</w:t>
            </w:r>
          </w:p>
        </w:tc>
        <w:tc>
          <w:tcPr>
            <w:tcW w:w="320" w:type="dxa"/>
            <w:vAlign w:val="bottom"/>
            <w:tcBorders>
              <w:bottom w:val="single" w:sz="8" w:color="062B48"/>
            </w:tcBorders>
            <w:shd w:val="clear" w:color="auto" w:fill="062B48"/>
          </w:tcPr>
          <w:p>
            <w:pPr>
              <w:spacing w:after="0"/>
              <w:rPr>
                <w:sz w:val="14"/>
                <w:szCs w:val="14"/>
                <w:color w:val="auto"/>
              </w:rPr>
            </w:pPr>
          </w:p>
        </w:tc>
        <w:tc>
          <w:tcPr>
            <w:tcW w:w="1020" w:type="dxa"/>
            <w:vAlign w:val="bottom"/>
            <w:tcBorders>
              <w:bottom w:val="single" w:sz="8" w:color="062B48"/>
            </w:tcBorders>
            <w:vMerge w:val="continue"/>
            <w:shd w:val="clear" w:color="auto" w:fill="062B48"/>
          </w:tcPr>
          <w:p>
            <w:pPr>
              <w:spacing w:after="0"/>
              <w:rPr>
                <w:sz w:val="14"/>
                <w:szCs w:val="14"/>
                <w:color w:val="auto"/>
              </w:rPr>
            </w:pPr>
          </w:p>
        </w:tc>
        <w:tc>
          <w:tcPr>
            <w:tcW w:w="1320" w:type="dxa"/>
            <w:vAlign w:val="bottom"/>
            <w:tcBorders>
              <w:bottom w:val="single" w:sz="8" w:color="062B48"/>
            </w:tcBorders>
            <w:gridSpan w:val="2"/>
            <w:shd w:val="clear" w:color="auto" w:fill="062B48"/>
          </w:tcPr>
          <w:p>
            <w:pPr>
              <w:jc w:val="right"/>
              <w:ind w:right="69"/>
              <w:spacing w:after="0" w:line="171" w:lineRule="exact"/>
              <w:rPr>
                <w:sz w:val="20"/>
                <w:szCs w:val="20"/>
                <w:color w:val="auto"/>
              </w:rPr>
            </w:pPr>
            <w:r>
              <w:rPr>
                <w:rFonts w:ascii="Calibri" w:cs="Calibri" w:eastAsia="Calibri" w:hAnsi="Calibri"/>
                <w:sz w:val="12"/>
                <w:szCs w:val="12"/>
                <w:b w:val="1"/>
                <w:bCs w:val="1"/>
                <w:color w:val="FFFFFF"/>
              </w:rPr>
              <w:t>CONTRIBUTION</w:t>
            </w:r>
            <w:r>
              <w:rPr>
                <w:rFonts w:ascii="Calibri" w:cs="Calibri" w:eastAsia="Calibri" w:hAnsi="Calibri"/>
                <w:sz w:val="18"/>
                <w:szCs w:val="18"/>
                <w:b w:val="1"/>
                <w:bCs w:val="1"/>
                <w:color w:val="FFFFFF"/>
                <w:vertAlign w:val="superscript"/>
              </w:rPr>
              <w:t>(4)</w:t>
            </w:r>
          </w:p>
        </w:tc>
        <w:tc>
          <w:tcPr>
            <w:tcW w:w="1320" w:type="dxa"/>
            <w:vAlign w:val="bottom"/>
            <w:tcBorders>
              <w:bottom w:val="single" w:sz="8" w:color="062B48"/>
            </w:tcBorders>
            <w:gridSpan w:val="2"/>
            <w:shd w:val="clear" w:color="auto" w:fill="062B48"/>
          </w:tcPr>
          <w:p>
            <w:pPr>
              <w:ind w:left="140"/>
              <w:spacing w:after="0"/>
              <w:rPr>
                <w:sz w:val="20"/>
                <w:szCs w:val="20"/>
                <w:color w:val="auto"/>
              </w:rPr>
            </w:pPr>
            <w:r>
              <w:rPr>
                <w:rFonts w:ascii="Calibri" w:cs="Calibri" w:eastAsia="Calibri" w:hAnsi="Calibri"/>
                <w:sz w:val="14"/>
                <w:szCs w:val="14"/>
                <w:b w:val="1"/>
                <w:bCs w:val="1"/>
                <w:color w:val="FFFFFF"/>
              </w:rPr>
              <w:t>COMPENSATION"</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1AB2D2"/>
            </w:tcBorders>
          </w:tcPr>
          <w:p>
            <w:pPr>
              <w:ind w:left="160"/>
              <w:spacing w:after="0" w:line="169" w:lineRule="exact"/>
              <w:rPr>
                <w:sz w:val="20"/>
                <w:szCs w:val="20"/>
                <w:color w:val="auto"/>
              </w:rPr>
            </w:pPr>
            <w:r>
              <w:rPr>
                <w:rFonts w:ascii="Calibri" w:cs="Calibri" w:eastAsia="Calibri" w:hAnsi="Calibri"/>
                <w:sz w:val="14"/>
                <w:szCs w:val="14"/>
                <w:color w:val="auto"/>
              </w:rPr>
              <w:t>Kate A. Lorenson</w:t>
            </w:r>
          </w:p>
        </w:tc>
        <w:tc>
          <w:tcPr>
            <w:tcW w:w="18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10,129</w:t>
            </w:r>
          </w:p>
        </w:tc>
        <w:tc>
          <w:tcPr>
            <w:tcW w:w="30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51"/>
              <w:spacing w:after="0" w:line="169" w:lineRule="exact"/>
              <w:rPr>
                <w:sz w:val="20"/>
                <w:szCs w:val="20"/>
                <w:color w:val="auto"/>
              </w:rPr>
            </w:pPr>
            <w:r>
              <w:rPr>
                <w:rFonts w:ascii="Calibri" w:cs="Calibri" w:eastAsia="Calibri" w:hAnsi="Calibri"/>
                <w:sz w:val="14"/>
                <w:szCs w:val="14"/>
                <w:color w:val="auto"/>
              </w:rPr>
              <w:t>15,750</w:t>
            </w:r>
          </w:p>
        </w:tc>
        <w:tc>
          <w:tcPr>
            <w:tcW w:w="320" w:type="dxa"/>
            <w:vAlign w:val="bottom"/>
            <w:tcBorders>
              <w:bottom w:val="single" w:sz="8" w:color="1AB2D2"/>
            </w:tcBorders>
          </w:tcPr>
          <w:p>
            <w:pPr>
              <w:jc w:val="right"/>
              <w:ind w:right="69"/>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1AB2D2"/>
            </w:tcBorders>
          </w:tcPr>
          <w:p>
            <w:pPr>
              <w:jc w:val="right"/>
              <w:ind w:right="29"/>
              <w:spacing w:after="0" w:line="169" w:lineRule="exact"/>
              <w:rPr>
                <w:sz w:val="20"/>
                <w:szCs w:val="20"/>
                <w:color w:val="auto"/>
              </w:rPr>
            </w:pPr>
            <w:r>
              <w:rPr>
                <w:rFonts w:ascii="Calibri" w:cs="Calibri" w:eastAsia="Calibri" w:hAnsi="Calibri"/>
                <w:sz w:val="14"/>
                <w:szCs w:val="14"/>
                <w:color w:val="auto"/>
              </w:rPr>
              <w:t>10,500</w:t>
            </w:r>
          </w:p>
        </w:tc>
        <w:tc>
          <w:tcPr>
            <w:tcW w:w="500" w:type="dxa"/>
            <w:vAlign w:val="bottom"/>
            <w:tcBorders>
              <w:bottom w:val="single" w:sz="8" w:color="1AB2D2"/>
            </w:tcBorders>
          </w:tcPr>
          <w:p>
            <w:pPr>
              <w:jc w:val="right"/>
              <w:ind w:right="251"/>
              <w:spacing w:after="0" w:line="169"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9" w:lineRule="exact"/>
              <w:rPr>
                <w:sz w:val="20"/>
                <w:szCs w:val="20"/>
                <w:color w:val="auto"/>
              </w:rPr>
            </w:pPr>
            <w:r>
              <w:rPr>
                <w:rFonts w:ascii="Calibri" w:cs="Calibri" w:eastAsia="Calibri" w:hAnsi="Calibri"/>
                <w:sz w:val="14"/>
                <w:szCs w:val="14"/>
                <w:color w:val="auto"/>
              </w:rPr>
              <w:t>46,613</w:t>
            </w:r>
          </w:p>
        </w:tc>
        <w:tc>
          <w:tcPr>
            <w:tcW w:w="500" w:type="dxa"/>
            <w:vAlign w:val="bottom"/>
            <w:tcBorders>
              <w:bottom w:val="single" w:sz="8" w:color="1AB2D2"/>
            </w:tcBorders>
          </w:tcPr>
          <w:p>
            <w:pPr>
              <w:ind w:left="100"/>
              <w:spacing w:after="0" w:line="169"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9" w:lineRule="exact"/>
              <w:rPr>
                <w:sz w:val="20"/>
                <w:szCs w:val="20"/>
                <w:color w:val="auto"/>
              </w:rPr>
            </w:pPr>
            <w:r>
              <w:rPr>
                <w:rFonts w:ascii="Calibri" w:cs="Calibri" w:eastAsia="Calibri" w:hAnsi="Calibri"/>
                <w:sz w:val="14"/>
                <w:szCs w:val="14"/>
                <w:color w:val="auto"/>
              </w:rPr>
              <w:t>82,992</w:t>
            </w:r>
          </w:p>
        </w:tc>
        <w:tc>
          <w:tcPr>
            <w:tcW w:w="0" w:type="dxa"/>
            <w:vAlign w:val="bottom"/>
          </w:tcPr>
          <w:p>
            <w:pPr>
              <w:spacing w:after="0"/>
              <w:rPr>
                <w:sz w:val="1"/>
                <w:szCs w:val="1"/>
                <w:color w:val="auto"/>
              </w:rPr>
            </w:pPr>
          </w:p>
        </w:tc>
      </w:tr>
      <w:tr>
        <w:trPr>
          <w:trHeight w:val="167"/>
        </w:trPr>
        <w:tc>
          <w:tcPr>
            <w:tcW w:w="290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Alan A. Villalon</w:t>
            </w:r>
          </w:p>
        </w:tc>
        <w:tc>
          <w:tcPr>
            <w:tcW w:w="182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5,780</w:t>
            </w:r>
          </w:p>
        </w:tc>
        <w:tc>
          <w:tcPr>
            <w:tcW w:w="30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51"/>
              <w:spacing w:after="0" w:line="167" w:lineRule="exact"/>
              <w:rPr>
                <w:sz w:val="20"/>
                <w:szCs w:val="20"/>
                <w:color w:val="auto"/>
              </w:rPr>
            </w:pPr>
            <w:r>
              <w:rPr>
                <w:rFonts w:ascii="Calibri" w:cs="Calibri" w:eastAsia="Calibri" w:hAnsi="Calibri"/>
                <w:sz w:val="14"/>
                <w:szCs w:val="14"/>
                <w:color w:val="auto"/>
              </w:rPr>
              <w:t>15,750</w:t>
            </w:r>
          </w:p>
        </w:tc>
        <w:tc>
          <w:tcPr>
            <w:tcW w:w="320" w:type="dxa"/>
            <w:vAlign w:val="bottom"/>
            <w:tcBorders>
              <w:bottom w:val="single" w:sz="8" w:color="1AB2D2"/>
            </w:tcBorders>
          </w:tcPr>
          <w:p>
            <w:pPr>
              <w:jc w:val="right"/>
              <w:ind w:right="69"/>
              <w:spacing w:after="0" w:line="167"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10,500</w:t>
            </w:r>
          </w:p>
        </w:tc>
        <w:tc>
          <w:tcPr>
            <w:tcW w:w="500" w:type="dxa"/>
            <w:vAlign w:val="bottom"/>
            <w:tcBorders>
              <w:bottom w:val="single" w:sz="8" w:color="1AB2D2"/>
            </w:tcBorders>
          </w:tcPr>
          <w:p>
            <w:pPr>
              <w:jc w:val="right"/>
              <w:ind w:right="251"/>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11,618</w:t>
            </w:r>
          </w:p>
        </w:tc>
        <w:tc>
          <w:tcPr>
            <w:tcW w:w="500" w:type="dxa"/>
            <w:vAlign w:val="bottom"/>
            <w:tcBorders>
              <w:bottom w:val="single" w:sz="8" w:color="1AB2D2"/>
            </w:tcBorders>
          </w:tcPr>
          <w:p>
            <w:pPr>
              <w:ind w:left="100"/>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43,648</w:t>
            </w:r>
          </w:p>
        </w:tc>
        <w:tc>
          <w:tcPr>
            <w:tcW w:w="0" w:type="dxa"/>
            <w:vAlign w:val="bottom"/>
          </w:tcPr>
          <w:p>
            <w:pPr>
              <w:spacing w:after="0"/>
              <w:rPr>
                <w:sz w:val="1"/>
                <w:szCs w:val="1"/>
                <w:color w:val="auto"/>
              </w:rPr>
            </w:pPr>
          </w:p>
        </w:tc>
      </w:tr>
      <w:tr>
        <w:trPr>
          <w:trHeight w:val="167"/>
        </w:trPr>
        <w:tc>
          <w:tcPr>
            <w:tcW w:w="290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Jim R. Collins</w:t>
            </w:r>
          </w:p>
        </w:tc>
        <w:tc>
          <w:tcPr>
            <w:tcW w:w="182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5,244</w:t>
            </w:r>
          </w:p>
        </w:tc>
        <w:tc>
          <w:tcPr>
            <w:tcW w:w="30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51"/>
              <w:spacing w:after="0" w:line="167" w:lineRule="exact"/>
              <w:rPr>
                <w:sz w:val="20"/>
                <w:szCs w:val="20"/>
                <w:color w:val="auto"/>
              </w:rPr>
            </w:pPr>
            <w:r>
              <w:rPr>
                <w:rFonts w:ascii="Calibri" w:cs="Calibri" w:eastAsia="Calibri" w:hAnsi="Calibri"/>
                <w:sz w:val="14"/>
                <w:szCs w:val="14"/>
                <w:color w:val="auto"/>
              </w:rPr>
              <w:t>15,750</w:t>
            </w:r>
          </w:p>
        </w:tc>
        <w:tc>
          <w:tcPr>
            <w:tcW w:w="320" w:type="dxa"/>
            <w:vAlign w:val="bottom"/>
            <w:tcBorders>
              <w:bottom w:val="single" w:sz="8" w:color="1AB2D2"/>
            </w:tcBorders>
          </w:tcPr>
          <w:p>
            <w:pPr>
              <w:jc w:val="right"/>
              <w:ind w:right="69"/>
              <w:spacing w:after="0" w:line="167"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10,500</w:t>
            </w:r>
          </w:p>
        </w:tc>
        <w:tc>
          <w:tcPr>
            <w:tcW w:w="500" w:type="dxa"/>
            <w:vAlign w:val="bottom"/>
            <w:tcBorders>
              <w:bottom w:val="single" w:sz="8" w:color="1AB2D2"/>
            </w:tcBorders>
          </w:tcPr>
          <w:p>
            <w:pPr>
              <w:jc w:val="right"/>
              <w:ind w:right="251"/>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22,643</w:t>
            </w:r>
          </w:p>
        </w:tc>
        <w:tc>
          <w:tcPr>
            <w:tcW w:w="500" w:type="dxa"/>
            <w:vAlign w:val="bottom"/>
            <w:tcBorders>
              <w:bottom w:val="single" w:sz="8" w:color="1AB2D2"/>
            </w:tcBorders>
          </w:tcPr>
          <w:p>
            <w:pPr>
              <w:ind w:left="100"/>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54,137</w:t>
            </w:r>
          </w:p>
        </w:tc>
        <w:tc>
          <w:tcPr>
            <w:tcW w:w="0" w:type="dxa"/>
            <w:vAlign w:val="bottom"/>
          </w:tcPr>
          <w:p>
            <w:pPr>
              <w:spacing w:after="0"/>
              <w:rPr>
                <w:sz w:val="1"/>
                <w:szCs w:val="1"/>
                <w:color w:val="auto"/>
              </w:rPr>
            </w:pPr>
          </w:p>
        </w:tc>
      </w:tr>
      <w:tr>
        <w:trPr>
          <w:trHeight w:val="167"/>
        </w:trPr>
        <w:tc>
          <w:tcPr>
            <w:tcW w:w="290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Karin M. Taylor</w:t>
            </w:r>
          </w:p>
        </w:tc>
        <w:tc>
          <w:tcPr>
            <w:tcW w:w="182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11,085</w:t>
            </w:r>
          </w:p>
        </w:tc>
        <w:tc>
          <w:tcPr>
            <w:tcW w:w="30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51"/>
              <w:spacing w:after="0" w:line="167" w:lineRule="exact"/>
              <w:rPr>
                <w:sz w:val="20"/>
                <w:szCs w:val="20"/>
                <w:color w:val="auto"/>
              </w:rPr>
            </w:pPr>
            <w:r>
              <w:rPr>
                <w:rFonts w:ascii="Calibri" w:cs="Calibri" w:eastAsia="Calibri" w:hAnsi="Calibri"/>
                <w:sz w:val="14"/>
                <w:szCs w:val="14"/>
                <w:color w:val="auto"/>
              </w:rPr>
              <w:t>15,750</w:t>
            </w:r>
          </w:p>
        </w:tc>
        <w:tc>
          <w:tcPr>
            <w:tcW w:w="320" w:type="dxa"/>
            <w:vAlign w:val="bottom"/>
            <w:tcBorders>
              <w:bottom w:val="single" w:sz="8" w:color="1AB2D2"/>
            </w:tcBorders>
          </w:tcPr>
          <w:p>
            <w:pPr>
              <w:jc w:val="right"/>
              <w:ind w:right="69"/>
              <w:spacing w:after="0" w:line="167"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10,500</w:t>
            </w:r>
          </w:p>
        </w:tc>
        <w:tc>
          <w:tcPr>
            <w:tcW w:w="500" w:type="dxa"/>
            <w:vAlign w:val="bottom"/>
            <w:tcBorders>
              <w:bottom w:val="single" w:sz="8" w:color="1AB2D2"/>
            </w:tcBorders>
          </w:tcPr>
          <w:p>
            <w:pPr>
              <w:jc w:val="right"/>
              <w:ind w:right="251"/>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16,032</w:t>
            </w:r>
          </w:p>
        </w:tc>
        <w:tc>
          <w:tcPr>
            <w:tcW w:w="500" w:type="dxa"/>
            <w:vAlign w:val="bottom"/>
            <w:tcBorders>
              <w:bottom w:val="single" w:sz="8" w:color="1AB2D2"/>
            </w:tcBorders>
          </w:tcPr>
          <w:p>
            <w:pPr>
              <w:ind w:left="100"/>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53,367</w:t>
            </w:r>
          </w:p>
        </w:tc>
        <w:tc>
          <w:tcPr>
            <w:tcW w:w="0" w:type="dxa"/>
            <w:vAlign w:val="bottom"/>
          </w:tcPr>
          <w:p>
            <w:pPr>
              <w:spacing w:after="0"/>
              <w:rPr>
                <w:sz w:val="1"/>
                <w:szCs w:val="1"/>
                <w:color w:val="auto"/>
              </w:rPr>
            </w:pPr>
          </w:p>
        </w:tc>
      </w:tr>
      <w:tr>
        <w:trPr>
          <w:trHeight w:val="167"/>
        </w:trPr>
        <w:tc>
          <w:tcPr>
            <w:tcW w:w="290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Forrest R. Wilson</w:t>
            </w:r>
          </w:p>
        </w:tc>
        <w:tc>
          <w:tcPr>
            <w:tcW w:w="182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16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11,143</w:t>
            </w:r>
          </w:p>
        </w:tc>
        <w:tc>
          <w:tcPr>
            <w:tcW w:w="300" w:type="dxa"/>
            <w:vAlign w:val="bottom"/>
            <w:tcBorders>
              <w:bottom w:val="single" w:sz="8" w:color="1AB2D2"/>
            </w:tcBorders>
          </w:tcPr>
          <w:p>
            <w:pPr>
              <w:jc w:val="right"/>
              <w:ind w:right="49"/>
              <w:spacing w:after="0" w:line="167" w:lineRule="exact"/>
              <w:rPr>
                <w:sz w:val="20"/>
                <w:szCs w:val="20"/>
                <w:color w:val="auto"/>
              </w:rPr>
            </w:pPr>
            <w:r>
              <w:rPr>
                <w:rFonts w:ascii="Calibri" w:cs="Calibri" w:eastAsia="Calibri" w:hAnsi="Calibri"/>
                <w:sz w:val="14"/>
                <w:szCs w:val="14"/>
                <w:color w:val="auto"/>
              </w:rPr>
              <w:t>$</w:t>
            </w:r>
          </w:p>
        </w:tc>
        <w:tc>
          <w:tcPr>
            <w:tcW w:w="1080" w:type="dxa"/>
            <w:vAlign w:val="bottom"/>
            <w:tcBorders>
              <w:bottom w:val="single" w:sz="8" w:color="1AB2D2"/>
            </w:tcBorders>
          </w:tcPr>
          <w:p>
            <w:pPr>
              <w:jc w:val="right"/>
              <w:ind w:right="51"/>
              <w:spacing w:after="0" w:line="167" w:lineRule="exact"/>
              <w:rPr>
                <w:sz w:val="20"/>
                <w:szCs w:val="20"/>
                <w:color w:val="auto"/>
              </w:rPr>
            </w:pPr>
            <w:r>
              <w:rPr>
                <w:rFonts w:ascii="Calibri" w:cs="Calibri" w:eastAsia="Calibri" w:hAnsi="Calibri"/>
                <w:sz w:val="14"/>
                <w:szCs w:val="14"/>
                <w:color w:val="auto"/>
              </w:rPr>
              <w:t>15,750</w:t>
            </w:r>
          </w:p>
        </w:tc>
        <w:tc>
          <w:tcPr>
            <w:tcW w:w="320" w:type="dxa"/>
            <w:vAlign w:val="bottom"/>
            <w:tcBorders>
              <w:bottom w:val="single" w:sz="8" w:color="1AB2D2"/>
            </w:tcBorders>
          </w:tcPr>
          <w:p>
            <w:pPr>
              <w:jc w:val="right"/>
              <w:ind w:right="69"/>
              <w:spacing w:after="0" w:line="167" w:lineRule="exact"/>
              <w:rPr>
                <w:sz w:val="20"/>
                <w:szCs w:val="20"/>
                <w:color w:val="auto"/>
              </w:rPr>
            </w:pPr>
            <w:r>
              <w:rPr>
                <w:rFonts w:ascii="Calibri" w:cs="Calibri" w:eastAsia="Calibri" w:hAnsi="Calibri"/>
                <w:sz w:val="14"/>
                <w:szCs w:val="14"/>
                <w:color w:val="auto"/>
              </w:rPr>
              <w:t>$</w:t>
            </w:r>
          </w:p>
        </w:tc>
        <w:tc>
          <w:tcPr>
            <w:tcW w:w="10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10,500</w:t>
            </w:r>
          </w:p>
        </w:tc>
        <w:tc>
          <w:tcPr>
            <w:tcW w:w="500" w:type="dxa"/>
            <w:vAlign w:val="bottom"/>
            <w:tcBorders>
              <w:bottom w:val="single" w:sz="8" w:color="1AB2D2"/>
            </w:tcBorders>
          </w:tcPr>
          <w:p>
            <w:pPr>
              <w:jc w:val="right"/>
              <w:ind w:right="251"/>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12,844</w:t>
            </w:r>
          </w:p>
        </w:tc>
        <w:tc>
          <w:tcPr>
            <w:tcW w:w="500" w:type="dxa"/>
            <w:vAlign w:val="bottom"/>
            <w:tcBorders>
              <w:bottom w:val="single" w:sz="8" w:color="1AB2D2"/>
            </w:tcBorders>
          </w:tcPr>
          <w:p>
            <w:pPr>
              <w:ind w:left="100"/>
              <w:spacing w:after="0" w:line="167" w:lineRule="exact"/>
              <w:rPr>
                <w:sz w:val="20"/>
                <w:szCs w:val="20"/>
                <w:color w:val="auto"/>
              </w:rPr>
            </w:pPr>
            <w:r>
              <w:rPr>
                <w:rFonts w:ascii="Calibri" w:cs="Calibri" w:eastAsia="Calibri" w:hAnsi="Calibri"/>
                <w:sz w:val="14"/>
                <w:szCs w:val="14"/>
                <w:color w:val="auto"/>
              </w:rPr>
              <w:t>$</w:t>
            </w:r>
          </w:p>
        </w:tc>
        <w:tc>
          <w:tcPr>
            <w:tcW w:w="8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50,237</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320" w:hanging="313"/>
        <w:spacing w:after="0"/>
        <w:tabs>
          <w:tab w:leader="none" w:pos="320" w:val="left"/>
        </w:tabs>
        <w:numPr>
          <w:ilvl w:val="0"/>
          <w:numId w:val="42"/>
        </w:numPr>
        <w:rPr>
          <w:rFonts w:ascii="Arial" w:cs="Arial" w:eastAsia="Arial" w:hAnsi="Arial"/>
          <w:sz w:val="27"/>
          <w:szCs w:val="27"/>
          <w:color w:val="auto"/>
          <w:vertAlign w:val="superscript"/>
        </w:rPr>
      </w:pPr>
      <w:r>
        <w:rPr>
          <w:rFonts w:ascii="Arial" w:cs="Arial" w:eastAsia="Arial" w:hAnsi="Arial"/>
          <w:sz w:val="16"/>
          <w:szCs w:val="16"/>
          <w:color w:val="auto"/>
        </w:rPr>
        <w:t>Amounts reflect automobile allowance, cell phone allowance, and the cost of executive physical exams.</w:t>
      </w:r>
    </w:p>
    <w:p>
      <w:pPr>
        <w:spacing w:after="0" w:line="58" w:lineRule="exact"/>
        <w:rPr>
          <w:rFonts w:ascii="Arial" w:cs="Arial" w:eastAsia="Arial" w:hAnsi="Arial"/>
          <w:sz w:val="27"/>
          <w:szCs w:val="27"/>
          <w:color w:val="auto"/>
          <w:vertAlign w:val="superscript"/>
        </w:rPr>
      </w:pPr>
    </w:p>
    <w:p>
      <w:pPr>
        <w:ind w:left="320" w:hanging="313"/>
        <w:spacing w:after="0" w:line="184" w:lineRule="auto"/>
        <w:tabs>
          <w:tab w:leader="none" w:pos="32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Amounts reflect Company contributions under the 401(k) Plan with respect to 2025.</w:t>
      </w:r>
    </w:p>
    <w:p>
      <w:pPr>
        <w:spacing w:after="0" w:line="59" w:lineRule="exact"/>
        <w:rPr>
          <w:rFonts w:ascii="Arial" w:cs="Arial" w:eastAsia="Arial" w:hAnsi="Arial"/>
          <w:sz w:val="22"/>
          <w:szCs w:val="22"/>
          <w:color w:val="auto"/>
          <w:vertAlign w:val="superscript"/>
        </w:rPr>
      </w:pPr>
    </w:p>
    <w:p>
      <w:pPr>
        <w:ind w:left="320" w:hanging="313"/>
        <w:spacing w:after="0" w:line="184" w:lineRule="auto"/>
        <w:tabs>
          <w:tab w:leader="none" w:pos="32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Amounts reflect Company contributions under the ESOP with respect to 2025.</w:t>
      </w:r>
    </w:p>
    <w:p>
      <w:pPr>
        <w:spacing w:after="0" w:line="59" w:lineRule="exact"/>
        <w:rPr>
          <w:rFonts w:ascii="Arial" w:cs="Arial" w:eastAsia="Arial" w:hAnsi="Arial"/>
          <w:sz w:val="22"/>
          <w:szCs w:val="22"/>
          <w:color w:val="auto"/>
          <w:vertAlign w:val="superscript"/>
        </w:rPr>
      </w:pPr>
    </w:p>
    <w:p>
      <w:pPr>
        <w:ind w:left="320" w:hanging="313"/>
        <w:spacing w:after="0"/>
        <w:tabs>
          <w:tab w:leader="none" w:pos="320" w:val="left"/>
        </w:tabs>
        <w:numPr>
          <w:ilvl w:val="0"/>
          <w:numId w:val="42"/>
        </w:numPr>
        <w:rPr>
          <w:rFonts w:ascii="Arial" w:cs="Arial" w:eastAsia="Arial" w:hAnsi="Arial"/>
          <w:sz w:val="13"/>
          <w:szCs w:val="13"/>
          <w:color w:val="auto"/>
        </w:rPr>
      </w:pPr>
      <w:r>
        <w:rPr>
          <w:rFonts w:ascii="Arial" w:cs="Arial" w:eastAsia="Arial" w:hAnsi="Arial"/>
          <w:sz w:val="16"/>
          <w:szCs w:val="16"/>
          <w:color w:val="auto"/>
        </w:rPr>
        <w:t>Amounts reflect Company restoration contribution to the Deferred Compensation Plan.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GRANTS OF PLAN-BASED AWARDS TABLE</w:t>
      </w:r>
    </w:p>
    <w:p>
      <w:pPr>
        <w:spacing w:after="0" w:line="70"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color w:val="auto"/>
        </w:rPr>
        <w:t>The following table shows the information concerning grants of plan-based awards to our NEOs during 2025. All equity awards were made under our 2019 Equity Incentive Plan.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0" w:type="dxa"/>
            <w:vAlign w:val="bottom"/>
            <w:shd w:val="clear" w:color="auto" w:fill="062B48"/>
          </w:tcPr>
          <w:p>
            <w:pPr>
              <w:spacing w:after="0"/>
              <w:rPr>
                <w:sz w:val="14"/>
                <w:szCs w:val="14"/>
                <w:color w:val="auto"/>
              </w:rPr>
            </w:pPr>
          </w:p>
        </w:tc>
        <w:tc>
          <w:tcPr>
            <w:tcW w:w="160" w:type="dxa"/>
            <w:vAlign w:val="bottom"/>
            <w:shd w:val="clear" w:color="auto" w:fill="062B48"/>
          </w:tcPr>
          <w:p>
            <w:pPr>
              <w:spacing w:after="0"/>
              <w:rPr>
                <w:sz w:val="14"/>
                <w:szCs w:val="14"/>
                <w:color w:val="auto"/>
              </w:rPr>
            </w:pPr>
          </w:p>
        </w:tc>
        <w:tc>
          <w:tcPr>
            <w:tcW w:w="1240" w:type="dxa"/>
            <w:vAlign w:val="bottom"/>
            <w:shd w:val="clear" w:color="auto" w:fill="062B48"/>
          </w:tcPr>
          <w:p>
            <w:pPr>
              <w:spacing w:after="0"/>
              <w:rPr>
                <w:sz w:val="14"/>
                <w:szCs w:val="14"/>
                <w:color w:val="auto"/>
              </w:rPr>
            </w:pPr>
          </w:p>
        </w:tc>
        <w:tc>
          <w:tcPr>
            <w:tcW w:w="900" w:type="dxa"/>
            <w:vAlign w:val="bottom"/>
            <w:shd w:val="clear" w:color="auto" w:fill="062B48"/>
          </w:tcPr>
          <w:p>
            <w:pPr>
              <w:spacing w:after="0"/>
              <w:rPr>
                <w:sz w:val="14"/>
                <w:szCs w:val="14"/>
                <w:color w:val="auto"/>
              </w:rPr>
            </w:pPr>
          </w:p>
        </w:tc>
        <w:tc>
          <w:tcPr>
            <w:tcW w:w="240" w:type="dxa"/>
            <w:vAlign w:val="bottom"/>
            <w:shd w:val="clear" w:color="auto" w:fill="062B48"/>
          </w:tcPr>
          <w:p>
            <w:pPr>
              <w:spacing w:after="0"/>
              <w:rPr>
                <w:sz w:val="14"/>
                <w:szCs w:val="14"/>
                <w:color w:val="auto"/>
              </w:rPr>
            </w:pPr>
          </w:p>
        </w:tc>
        <w:tc>
          <w:tcPr>
            <w:tcW w:w="2780" w:type="dxa"/>
            <w:vAlign w:val="bottom"/>
            <w:gridSpan w:val="5"/>
            <w:shd w:val="clear" w:color="auto" w:fill="062B48"/>
          </w:tcPr>
          <w:p>
            <w:pPr>
              <w:jc w:val="center"/>
              <w:ind w:right="49"/>
              <w:spacing w:after="0"/>
              <w:rPr>
                <w:sz w:val="20"/>
                <w:szCs w:val="20"/>
                <w:color w:val="auto"/>
              </w:rPr>
            </w:pPr>
            <w:r>
              <w:rPr>
                <w:rFonts w:ascii="Calibri" w:cs="Calibri" w:eastAsia="Calibri" w:hAnsi="Calibri"/>
                <w:sz w:val="14"/>
                <w:szCs w:val="14"/>
                <w:b w:val="1"/>
                <w:bCs w:val="1"/>
                <w:color w:val="FFFFFF"/>
                <w:w w:val="99"/>
              </w:rPr>
              <w:t>ESTIMATED FUTURE PAYOUTS UNDER NON-</w:t>
            </w:r>
          </w:p>
        </w:tc>
        <w:tc>
          <w:tcPr>
            <w:tcW w:w="12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2740" w:type="dxa"/>
            <w:vAlign w:val="bottom"/>
            <w:gridSpan w:val="3"/>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9"/>
              </w:rPr>
              <w:t>ESTIMATED FUTURE PAYOUTS UNDER EQUITY</w:t>
            </w:r>
          </w:p>
        </w:tc>
        <w:tc>
          <w:tcPr>
            <w:tcW w:w="100" w:type="dxa"/>
            <w:vAlign w:val="bottom"/>
            <w:shd w:val="clear" w:color="auto" w:fill="062B48"/>
          </w:tcPr>
          <w:p>
            <w:pPr>
              <w:spacing w:after="0"/>
              <w:rPr>
                <w:sz w:val="14"/>
                <w:szCs w:val="14"/>
                <w:color w:val="auto"/>
              </w:rPr>
            </w:pPr>
          </w:p>
        </w:tc>
        <w:tc>
          <w:tcPr>
            <w:tcW w:w="120" w:type="dxa"/>
            <w:vAlign w:val="bottom"/>
            <w:shd w:val="clear" w:color="auto" w:fill="062B48"/>
          </w:tcPr>
          <w:p>
            <w:pPr>
              <w:spacing w:after="0"/>
              <w:rPr>
                <w:sz w:val="14"/>
                <w:szCs w:val="14"/>
                <w:color w:val="auto"/>
              </w:rPr>
            </w:pPr>
          </w:p>
        </w:tc>
        <w:tc>
          <w:tcPr>
            <w:tcW w:w="1760" w:type="dxa"/>
            <w:vAlign w:val="bottom"/>
            <w:gridSpan w:val="3"/>
            <w:vMerge w:val="restart"/>
            <w:shd w:val="clear" w:color="auto" w:fill="062B48"/>
          </w:tcPr>
          <w:p>
            <w:pPr>
              <w:jc w:val="right"/>
              <w:spacing w:after="0"/>
              <w:rPr>
                <w:sz w:val="20"/>
                <w:szCs w:val="20"/>
                <w:color w:val="auto"/>
              </w:rPr>
            </w:pPr>
            <w:r>
              <w:rPr>
                <w:rFonts w:ascii="Calibri" w:cs="Calibri" w:eastAsia="Calibri" w:hAnsi="Calibri"/>
                <w:sz w:val="14"/>
                <w:szCs w:val="14"/>
                <w:b w:val="1"/>
                <w:bCs w:val="1"/>
                <w:color w:val="FFFFFF"/>
              </w:rPr>
              <w:t>ALL OTHER STOCK AWARDS:</w:t>
            </w:r>
          </w:p>
        </w:tc>
        <w:tc>
          <w:tcPr>
            <w:tcW w:w="10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860" w:type="dxa"/>
            <w:vAlign w:val="bottom"/>
            <w:shd w:val="clear" w:color="auto" w:fill="062B48"/>
          </w:tcPr>
          <w:p>
            <w:pPr>
              <w:spacing w:after="0"/>
              <w:rPr>
                <w:sz w:val="6"/>
                <w:szCs w:val="6"/>
                <w:color w:val="auto"/>
              </w:rPr>
            </w:pPr>
          </w:p>
        </w:tc>
        <w:tc>
          <w:tcPr>
            <w:tcW w:w="160" w:type="dxa"/>
            <w:vAlign w:val="bottom"/>
            <w:shd w:val="clear" w:color="auto" w:fill="062B48"/>
          </w:tcPr>
          <w:p>
            <w:pPr>
              <w:spacing w:after="0"/>
              <w:rPr>
                <w:sz w:val="6"/>
                <w:szCs w:val="6"/>
                <w:color w:val="auto"/>
              </w:rPr>
            </w:pPr>
          </w:p>
        </w:tc>
        <w:tc>
          <w:tcPr>
            <w:tcW w:w="1240" w:type="dxa"/>
            <w:vAlign w:val="bottom"/>
            <w:shd w:val="clear" w:color="auto" w:fill="062B48"/>
          </w:tcPr>
          <w:p>
            <w:pPr>
              <w:spacing w:after="0"/>
              <w:rPr>
                <w:sz w:val="6"/>
                <w:szCs w:val="6"/>
                <w:color w:val="auto"/>
              </w:rPr>
            </w:pPr>
          </w:p>
        </w:tc>
        <w:tc>
          <w:tcPr>
            <w:tcW w:w="900" w:type="dxa"/>
            <w:vAlign w:val="bottom"/>
            <w:shd w:val="clear" w:color="auto" w:fill="062B48"/>
          </w:tcPr>
          <w:p>
            <w:pPr>
              <w:spacing w:after="0"/>
              <w:rPr>
                <w:sz w:val="6"/>
                <w:szCs w:val="6"/>
                <w:color w:val="auto"/>
              </w:rPr>
            </w:pPr>
          </w:p>
        </w:tc>
        <w:tc>
          <w:tcPr>
            <w:tcW w:w="240" w:type="dxa"/>
            <w:vAlign w:val="bottom"/>
            <w:shd w:val="clear" w:color="auto" w:fill="062B48"/>
          </w:tcPr>
          <w:p>
            <w:pPr>
              <w:spacing w:after="0"/>
              <w:rPr>
                <w:sz w:val="6"/>
                <w:szCs w:val="6"/>
                <w:color w:val="auto"/>
              </w:rPr>
            </w:pPr>
          </w:p>
        </w:tc>
        <w:tc>
          <w:tcPr>
            <w:tcW w:w="2780" w:type="dxa"/>
            <w:vAlign w:val="bottom"/>
            <w:gridSpan w:val="5"/>
            <w:vMerge w:val="restart"/>
            <w:shd w:val="clear" w:color="auto" w:fill="062B48"/>
          </w:tcPr>
          <w:p>
            <w:pPr>
              <w:jc w:val="center"/>
              <w:ind w:right="49"/>
              <w:spacing w:after="0" w:line="218" w:lineRule="exact"/>
              <w:rPr>
                <w:sz w:val="20"/>
                <w:szCs w:val="20"/>
                <w:color w:val="auto"/>
              </w:rPr>
            </w:pPr>
            <w:r>
              <w:rPr>
                <w:rFonts w:ascii="Calibri" w:cs="Calibri" w:eastAsia="Calibri" w:hAnsi="Calibri"/>
                <w:sz w:val="14"/>
                <w:szCs w:val="14"/>
                <w:b w:val="1"/>
                <w:bCs w:val="1"/>
                <w:color w:val="FFFFFF"/>
                <w:w w:val="98"/>
              </w:rPr>
              <w:t>EQUITY INCENTIVE PLAN AWARDS</w:t>
            </w:r>
            <w:r>
              <w:rPr>
                <w:rFonts w:ascii="Calibri" w:cs="Calibri" w:eastAsia="Calibri" w:hAnsi="Calibri"/>
                <w:sz w:val="23"/>
                <w:szCs w:val="23"/>
                <w:b w:val="1"/>
                <w:bCs w:val="1"/>
                <w:color w:val="FFFFFF"/>
                <w:w w:val="98"/>
                <w:vertAlign w:val="superscript"/>
              </w:rPr>
              <w:t>(1)</w:t>
            </w:r>
          </w:p>
        </w:tc>
        <w:tc>
          <w:tcPr>
            <w:tcW w:w="120" w:type="dxa"/>
            <w:vAlign w:val="bottom"/>
            <w:shd w:val="clear" w:color="auto" w:fill="062B48"/>
          </w:tcPr>
          <w:p>
            <w:pPr>
              <w:spacing w:after="0"/>
              <w:rPr>
                <w:sz w:val="6"/>
                <w:szCs w:val="6"/>
                <w:color w:val="auto"/>
              </w:rPr>
            </w:pPr>
          </w:p>
        </w:tc>
        <w:tc>
          <w:tcPr>
            <w:tcW w:w="120" w:type="dxa"/>
            <w:vAlign w:val="bottom"/>
            <w:shd w:val="clear" w:color="auto" w:fill="062B48"/>
          </w:tcPr>
          <w:p>
            <w:pPr>
              <w:spacing w:after="0"/>
              <w:rPr>
                <w:sz w:val="6"/>
                <w:szCs w:val="6"/>
                <w:color w:val="auto"/>
              </w:rPr>
            </w:pPr>
          </w:p>
        </w:tc>
        <w:tc>
          <w:tcPr>
            <w:tcW w:w="2740" w:type="dxa"/>
            <w:vAlign w:val="bottom"/>
            <w:gridSpan w:val="3"/>
            <w:vMerge w:val="restart"/>
            <w:shd w:val="clear" w:color="auto" w:fill="062B48"/>
          </w:tcPr>
          <w:p>
            <w:pPr>
              <w:jc w:val="center"/>
              <w:spacing w:after="0" w:line="218" w:lineRule="exact"/>
              <w:rPr>
                <w:sz w:val="20"/>
                <w:szCs w:val="20"/>
                <w:color w:val="auto"/>
              </w:rPr>
            </w:pPr>
            <w:r>
              <w:rPr>
                <w:rFonts w:ascii="Calibri" w:cs="Calibri" w:eastAsia="Calibri" w:hAnsi="Calibri"/>
                <w:sz w:val="14"/>
                <w:szCs w:val="14"/>
                <w:b w:val="1"/>
                <w:bCs w:val="1"/>
                <w:color w:val="FFFFFF"/>
                <w:w w:val="97"/>
              </w:rPr>
              <w:t>INCENTIVE PLAN AWARDS</w:t>
            </w:r>
            <w:r>
              <w:rPr>
                <w:rFonts w:ascii="Calibri" w:cs="Calibri" w:eastAsia="Calibri" w:hAnsi="Calibri"/>
                <w:sz w:val="23"/>
                <w:szCs w:val="23"/>
                <w:b w:val="1"/>
                <w:bCs w:val="1"/>
                <w:color w:val="FFFFFF"/>
                <w:w w:val="97"/>
                <w:vertAlign w:val="superscript"/>
              </w:rPr>
              <w:t>(2)</w:t>
            </w:r>
          </w:p>
        </w:tc>
        <w:tc>
          <w:tcPr>
            <w:tcW w:w="100" w:type="dxa"/>
            <w:vAlign w:val="bottom"/>
            <w:shd w:val="clear" w:color="auto" w:fill="062B48"/>
          </w:tcPr>
          <w:p>
            <w:pPr>
              <w:spacing w:after="0"/>
              <w:rPr>
                <w:sz w:val="6"/>
                <w:szCs w:val="6"/>
                <w:color w:val="auto"/>
              </w:rPr>
            </w:pPr>
          </w:p>
        </w:tc>
        <w:tc>
          <w:tcPr>
            <w:tcW w:w="120" w:type="dxa"/>
            <w:vAlign w:val="bottom"/>
            <w:shd w:val="clear" w:color="auto" w:fill="062B48"/>
          </w:tcPr>
          <w:p>
            <w:pPr>
              <w:spacing w:after="0"/>
              <w:rPr>
                <w:sz w:val="6"/>
                <w:szCs w:val="6"/>
                <w:color w:val="auto"/>
              </w:rPr>
            </w:pPr>
          </w:p>
        </w:tc>
        <w:tc>
          <w:tcPr>
            <w:tcW w:w="1760" w:type="dxa"/>
            <w:vAlign w:val="bottom"/>
            <w:gridSpan w:val="3"/>
            <w:vMerge w:val="continue"/>
            <w:shd w:val="clear" w:color="auto" w:fill="062B48"/>
          </w:tcPr>
          <w:p>
            <w:pPr>
              <w:spacing w:after="0"/>
              <w:rPr>
                <w:sz w:val="6"/>
                <w:szCs w:val="6"/>
                <w:color w:val="auto"/>
              </w:rPr>
            </w:pPr>
          </w:p>
        </w:tc>
        <w:tc>
          <w:tcPr>
            <w:tcW w:w="100" w:type="dxa"/>
            <w:vAlign w:val="bottom"/>
            <w:shd w:val="clear" w:color="auto" w:fill="062B48"/>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860" w:type="dxa"/>
            <w:vAlign w:val="bottom"/>
            <w:shd w:val="clear" w:color="auto" w:fill="062B48"/>
          </w:tcPr>
          <w:p>
            <w:pPr>
              <w:spacing w:after="0"/>
              <w:rPr>
                <w:sz w:val="12"/>
                <w:szCs w:val="12"/>
                <w:color w:val="auto"/>
              </w:rPr>
            </w:pPr>
          </w:p>
        </w:tc>
        <w:tc>
          <w:tcPr>
            <w:tcW w:w="160" w:type="dxa"/>
            <w:vAlign w:val="bottom"/>
            <w:shd w:val="clear" w:color="auto" w:fill="062B48"/>
          </w:tcPr>
          <w:p>
            <w:pPr>
              <w:spacing w:after="0"/>
              <w:rPr>
                <w:sz w:val="12"/>
                <w:szCs w:val="12"/>
                <w:color w:val="auto"/>
              </w:rPr>
            </w:pPr>
          </w:p>
        </w:tc>
        <w:tc>
          <w:tcPr>
            <w:tcW w:w="1240" w:type="dxa"/>
            <w:vAlign w:val="bottom"/>
            <w:shd w:val="clear" w:color="auto" w:fill="062B48"/>
          </w:tcPr>
          <w:p>
            <w:pPr>
              <w:spacing w:after="0"/>
              <w:rPr>
                <w:sz w:val="12"/>
                <w:szCs w:val="12"/>
                <w:color w:val="auto"/>
              </w:rPr>
            </w:pPr>
          </w:p>
        </w:tc>
        <w:tc>
          <w:tcPr>
            <w:tcW w:w="900" w:type="dxa"/>
            <w:vAlign w:val="bottom"/>
            <w:shd w:val="clear" w:color="auto" w:fill="062B48"/>
          </w:tcPr>
          <w:p>
            <w:pPr>
              <w:spacing w:after="0"/>
              <w:rPr>
                <w:sz w:val="12"/>
                <w:szCs w:val="12"/>
                <w:color w:val="auto"/>
              </w:rPr>
            </w:pPr>
          </w:p>
        </w:tc>
        <w:tc>
          <w:tcPr>
            <w:tcW w:w="240" w:type="dxa"/>
            <w:vAlign w:val="bottom"/>
            <w:shd w:val="clear" w:color="auto" w:fill="062B48"/>
          </w:tcPr>
          <w:p>
            <w:pPr>
              <w:spacing w:after="0"/>
              <w:rPr>
                <w:sz w:val="12"/>
                <w:szCs w:val="12"/>
                <w:color w:val="auto"/>
              </w:rPr>
            </w:pPr>
          </w:p>
        </w:tc>
        <w:tc>
          <w:tcPr>
            <w:tcW w:w="2780" w:type="dxa"/>
            <w:vAlign w:val="bottom"/>
            <w:gridSpan w:val="5"/>
            <w:vMerge w:val="continue"/>
            <w:shd w:val="clear" w:color="auto" w:fill="062B48"/>
          </w:tcPr>
          <w:p>
            <w:pPr>
              <w:spacing w:after="0"/>
              <w:rPr>
                <w:sz w:val="12"/>
                <w:szCs w:val="12"/>
                <w:color w:val="auto"/>
              </w:rPr>
            </w:pPr>
          </w:p>
        </w:tc>
        <w:tc>
          <w:tcPr>
            <w:tcW w:w="120" w:type="dxa"/>
            <w:vAlign w:val="bottom"/>
            <w:shd w:val="clear" w:color="auto" w:fill="062B48"/>
          </w:tcPr>
          <w:p>
            <w:pPr>
              <w:spacing w:after="0"/>
              <w:rPr>
                <w:sz w:val="12"/>
                <w:szCs w:val="12"/>
                <w:color w:val="auto"/>
              </w:rPr>
            </w:pPr>
          </w:p>
        </w:tc>
        <w:tc>
          <w:tcPr>
            <w:tcW w:w="120" w:type="dxa"/>
            <w:vAlign w:val="bottom"/>
            <w:shd w:val="clear" w:color="auto" w:fill="062B48"/>
          </w:tcPr>
          <w:p>
            <w:pPr>
              <w:spacing w:after="0"/>
              <w:rPr>
                <w:sz w:val="12"/>
                <w:szCs w:val="12"/>
                <w:color w:val="auto"/>
              </w:rPr>
            </w:pPr>
          </w:p>
        </w:tc>
        <w:tc>
          <w:tcPr>
            <w:tcW w:w="2740" w:type="dxa"/>
            <w:vAlign w:val="bottom"/>
            <w:gridSpan w:val="3"/>
            <w:vMerge w:val="continue"/>
            <w:shd w:val="clear" w:color="auto" w:fill="062B48"/>
          </w:tcPr>
          <w:p>
            <w:pPr>
              <w:spacing w:after="0"/>
              <w:rPr>
                <w:sz w:val="12"/>
                <w:szCs w:val="12"/>
                <w:color w:val="auto"/>
              </w:rPr>
            </w:pPr>
          </w:p>
        </w:tc>
        <w:tc>
          <w:tcPr>
            <w:tcW w:w="100" w:type="dxa"/>
            <w:vAlign w:val="bottom"/>
            <w:shd w:val="clear" w:color="auto" w:fill="062B48"/>
          </w:tcPr>
          <w:p>
            <w:pPr>
              <w:spacing w:after="0"/>
              <w:rPr>
                <w:sz w:val="12"/>
                <w:szCs w:val="12"/>
                <w:color w:val="auto"/>
              </w:rPr>
            </w:pPr>
          </w:p>
        </w:tc>
        <w:tc>
          <w:tcPr>
            <w:tcW w:w="120" w:type="dxa"/>
            <w:vAlign w:val="bottom"/>
            <w:shd w:val="clear" w:color="auto" w:fill="062B48"/>
          </w:tcPr>
          <w:p>
            <w:pPr>
              <w:spacing w:after="0"/>
              <w:rPr>
                <w:sz w:val="12"/>
                <w:szCs w:val="12"/>
                <w:color w:val="auto"/>
              </w:rPr>
            </w:pPr>
          </w:p>
        </w:tc>
        <w:tc>
          <w:tcPr>
            <w:tcW w:w="880" w:type="dxa"/>
            <w:vAlign w:val="bottom"/>
            <w:shd w:val="clear" w:color="auto" w:fill="062B48"/>
          </w:tcPr>
          <w:p>
            <w:pPr>
              <w:spacing w:after="0"/>
              <w:rPr>
                <w:sz w:val="12"/>
                <w:szCs w:val="12"/>
                <w:color w:val="auto"/>
              </w:rPr>
            </w:pPr>
          </w:p>
        </w:tc>
        <w:tc>
          <w:tcPr>
            <w:tcW w:w="180" w:type="dxa"/>
            <w:vAlign w:val="bottom"/>
            <w:shd w:val="clear" w:color="auto" w:fill="062B48"/>
          </w:tcPr>
          <w:p>
            <w:pPr>
              <w:spacing w:after="0"/>
              <w:rPr>
                <w:sz w:val="12"/>
                <w:szCs w:val="12"/>
                <w:color w:val="auto"/>
              </w:rPr>
            </w:pPr>
          </w:p>
        </w:tc>
        <w:tc>
          <w:tcPr>
            <w:tcW w:w="700" w:type="dxa"/>
            <w:vAlign w:val="bottom"/>
            <w:shd w:val="clear" w:color="auto" w:fill="062B48"/>
          </w:tcPr>
          <w:p>
            <w:pPr>
              <w:spacing w:after="0"/>
              <w:rPr>
                <w:sz w:val="12"/>
                <w:szCs w:val="12"/>
                <w:color w:val="auto"/>
              </w:rPr>
            </w:pPr>
          </w:p>
        </w:tc>
        <w:tc>
          <w:tcPr>
            <w:tcW w:w="100" w:type="dxa"/>
            <w:vAlign w:val="bottom"/>
            <w:shd w:val="clear" w:color="auto" w:fill="062B48"/>
          </w:tcPr>
          <w:p>
            <w:pPr>
              <w:spacing w:after="0"/>
              <w:rPr>
                <w:sz w:val="12"/>
                <w:szCs w:val="12"/>
                <w:color w:val="auto"/>
              </w:rPr>
            </w:pPr>
          </w:p>
        </w:tc>
        <w:tc>
          <w:tcPr>
            <w:tcW w:w="0" w:type="dxa"/>
            <w:vAlign w:val="bottom"/>
          </w:tcPr>
          <w:p>
            <w:pPr>
              <w:spacing w:after="0"/>
              <w:rPr>
                <w:sz w:val="1"/>
                <w:szCs w:val="1"/>
                <w:color w:val="auto"/>
              </w:rPr>
            </w:pPr>
          </w:p>
        </w:tc>
      </w:tr>
      <w:tr>
        <w:trPr>
          <w:trHeight w:val="368"/>
        </w:trPr>
        <w:tc>
          <w:tcPr>
            <w:tcW w:w="860" w:type="dxa"/>
            <w:vAlign w:val="bottom"/>
            <w:shd w:val="clear" w:color="auto" w:fill="062B48"/>
          </w:tcPr>
          <w:p>
            <w:pPr>
              <w:spacing w:after="0"/>
              <w:rPr>
                <w:sz w:val="24"/>
                <w:szCs w:val="24"/>
                <w:color w:val="auto"/>
              </w:rPr>
            </w:pPr>
          </w:p>
        </w:tc>
        <w:tc>
          <w:tcPr>
            <w:tcW w:w="160" w:type="dxa"/>
            <w:vAlign w:val="bottom"/>
            <w:shd w:val="clear" w:color="auto" w:fill="062B48"/>
          </w:tcPr>
          <w:p>
            <w:pPr>
              <w:spacing w:after="0"/>
              <w:rPr>
                <w:sz w:val="24"/>
                <w:szCs w:val="24"/>
                <w:color w:val="auto"/>
              </w:rPr>
            </w:pPr>
          </w:p>
        </w:tc>
        <w:tc>
          <w:tcPr>
            <w:tcW w:w="1240" w:type="dxa"/>
            <w:vAlign w:val="bottom"/>
            <w:shd w:val="clear" w:color="auto" w:fill="062B48"/>
          </w:tcPr>
          <w:p>
            <w:pPr>
              <w:spacing w:after="0"/>
              <w:rPr>
                <w:sz w:val="24"/>
                <w:szCs w:val="24"/>
                <w:color w:val="auto"/>
              </w:rPr>
            </w:pPr>
          </w:p>
        </w:tc>
        <w:tc>
          <w:tcPr>
            <w:tcW w:w="900" w:type="dxa"/>
            <w:vAlign w:val="bottom"/>
            <w:shd w:val="clear" w:color="auto" w:fill="062B48"/>
          </w:tcPr>
          <w:p>
            <w:pPr>
              <w:spacing w:after="0"/>
              <w:rPr>
                <w:sz w:val="24"/>
                <w:szCs w:val="24"/>
                <w:color w:val="auto"/>
              </w:rPr>
            </w:pPr>
          </w:p>
        </w:tc>
        <w:tc>
          <w:tcPr>
            <w:tcW w:w="240" w:type="dxa"/>
            <w:vAlign w:val="bottom"/>
            <w:shd w:val="clear" w:color="auto" w:fill="062B48"/>
          </w:tcPr>
          <w:p>
            <w:pPr>
              <w:spacing w:after="0"/>
              <w:rPr>
                <w:sz w:val="24"/>
                <w:szCs w:val="24"/>
                <w:color w:val="auto"/>
              </w:rPr>
            </w:pPr>
          </w:p>
        </w:tc>
        <w:tc>
          <w:tcPr>
            <w:tcW w:w="800" w:type="dxa"/>
            <w:vAlign w:val="bottom"/>
            <w:shd w:val="clear" w:color="auto" w:fill="062B48"/>
          </w:tcPr>
          <w:p>
            <w:pPr>
              <w:spacing w:after="0"/>
              <w:rPr>
                <w:sz w:val="24"/>
                <w:szCs w:val="24"/>
                <w:color w:val="auto"/>
              </w:rPr>
            </w:pPr>
          </w:p>
        </w:tc>
        <w:tc>
          <w:tcPr>
            <w:tcW w:w="200" w:type="dxa"/>
            <w:vAlign w:val="bottom"/>
            <w:shd w:val="clear" w:color="auto" w:fill="062B48"/>
          </w:tcPr>
          <w:p>
            <w:pPr>
              <w:spacing w:after="0"/>
              <w:rPr>
                <w:sz w:val="24"/>
                <w:szCs w:val="24"/>
                <w:color w:val="auto"/>
              </w:rPr>
            </w:pPr>
          </w:p>
        </w:tc>
        <w:tc>
          <w:tcPr>
            <w:tcW w:w="860" w:type="dxa"/>
            <w:vAlign w:val="bottom"/>
            <w:shd w:val="clear" w:color="auto" w:fill="062B48"/>
          </w:tcPr>
          <w:p>
            <w:pPr>
              <w:spacing w:after="0"/>
              <w:rPr>
                <w:sz w:val="24"/>
                <w:szCs w:val="24"/>
                <w:color w:val="auto"/>
              </w:rPr>
            </w:pPr>
          </w:p>
        </w:tc>
        <w:tc>
          <w:tcPr>
            <w:tcW w:w="300" w:type="dxa"/>
            <w:vAlign w:val="bottom"/>
            <w:shd w:val="clear" w:color="auto" w:fill="062B48"/>
          </w:tcPr>
          <w:p>
            <w:pPr>
              <w:spacing w:after="0"/>
              <w:rPr>
                <w:sz w:val="24"/>
                <w:szCs w:val="24"/>
                <w:color w:val="auto"/>
              </w:rPr>
            </w:pPr>
          </w:p>
        </w:tc>
        <w:tc>
          <w:tcPr>
            <w:tcW w:w="620" w:type="dxa"/>
            <w:vAlign w:val="bottom"/>
            <w:shd w:val="clear" w:color="auto" w:fill="062B48"/>
          </w:tcPr>
          <w:p>
            <w:pPr>
              <w:spacing w:after="0"/>
              <w:rPr>
                <w:sz w:val="24"/>
                <w:szCs w:val="24"/>
                <w:color w:val="auto"/>
              </w:rPr>
            </w:pPr>
          </w:p>
        </w:tc>
        <w:tc>
          <w:tcPr>
            <w:tcW w:w="120" w:type="dxa"/>
            <w:vAlign w:val="bottom"/>
            <w:shd w:val="clear" w:color="auto" w:fill="062B48"/>
          </w:tcPr>
          <w:p>
            <w:pPr>
              <w:spacing w:after="0"/>
              <w:rPr>
                <w:sz w:val="24"/>
                <w:szCs w:val="24"/>
                <w:color w:val="auto"/>
              </w:rPr>
            </w:pPr>
          </w:p>
        </w:tc>
        <w:tc>
          <w:tcPr>
            <w:tcW w:w="120" w:type="dxa"/>
            <w:vAlign w:val="bottom"/>
            <w:shd w:val="clear" w:color="auto" w:fill="062B48"/>
          </w:tcPr>
          <w:p>
            <w:pPr>
              <w:spacing w:after="0"/>
              <w:rPr>
                <w:sz w:val="24"/>
                <w:szCs w:val="24"/>
                <w:color w:val="auto"/>
              </w:rPr>
            </w:pPr>
          </w:p>
        </w:tc>
        <w:tc>
          <w:tcPr>
            <w:tcW w:w="900" w:type="dxa"/>
            <w:vAlign w:val="bottom"/>
            <w:shd w:val="clear" w:color="auto" w:fill="062B48"/>
          </w:tcPr>
          <w:p>
            <w:pPr>
              <w:spacing w:after="0"/>
              <w:rPr>
                <w:sz w:val="24"/>
                <w:szCs w:val="24"/>
                <w:color w:val="auto"/>
              </w:rPr>
            </w:pPr>
          </w:p>
        </w:tc>
        <w:tc>
          <w:tcPr>
            <w:tcW w:w="980" w:type="dxa"/>
            <w:vAlign w:val="bottom"/>
            <w:shd w:val="clear" w:color="auto" w:fill="062B48"/>
          </w:tcPr>
          <w:p>
            <w:pPr>
              <w:spacing w:after="0"/>
              <w:rPr>
                <w:sz w:val="24"/>
                <w:szCs w:val="24"/>
                <w:color w:val="auto"/>
              </w:rPr>
            </w:pPr>
          </w:p>
        </w:tc>
        <w:tc>
          <w:tcPr>
            <w:tcW w:w="860" w:type="dxa"/>
            <w:vAlign w:val="bottom"/>
            <w:shd w:val="clear" w:color="auto" w:fill="062B48"/>
          </w:tcPr>
          <w:p>
            <w:pPr>
              <w:spacing w:after="0"/>
              <w:rPr>
                <w:sz w:val="24"/>
                <w:szCs w:val="24"/>
                <w:color w:val="auto"/>
              </w:rPr>
            </w:pPr>
          </w:p>
        </w:tc>
        <w:tc>
          <w:tcPr>
            <w:tcW w:w="100" w:type="dxa"/>
            <w:vAlign w:val="bottom"/>
            <w:shd w:val="clear" w:color="auto" w:fill="062B48"/>
          </w:tcPr>
          <w:p>
            <w:pPr>
              <w:spacing w:after="0"/>
              <w:rPr>
                <w:sz w:val="24"/>
                <w:szCs w:val="24"/>
                <w:color w:val="auto"/>
              </w:rPr>
            </w:pPr>
          </w:p>
        </w:tc>
        <w:tc>
          <w:tcPr>
            <w:tcW w:w="120" w:type="dxa"/>
            <w:vAlign w:val="bottom"/>
            <w:shd w:val="clear" w:color="auto" w:fill="062B48"/>
          </w:tcPr>
          <w:p>
            <w:pPr>
              <w:spacing w:after="0"/>
              <w:rPr>
                <w:sz w:val="24"/>
                <w:szCs w:val="24"/>
                <w:color w:val="auto"/>
              </w:rPr>
            </w:pPr>
          </w:p>
        </w:tc>
        <w:tc>
          <w:tcPr>
            <w:tcW w:w="880" w:type="dxa"/>
            <w:vAlign w:val="bottom"/>
            <w:vMerge w:val="restart"/>
            <w:shd w:val="clear" w:color="auto" w:fill="062B48"/>
          </w:tcPr>
          <w:p>
            <w:pPr>
              <w:jc w:val="center"/>
              <w:ind w:right="49"/>
              <w:spacing w:after="0"/>
              <w:rPr>
                <w:sz w:val="20"/>
                <w:szCs w:val="20"/>
                <w:color w:val="auto"/>
              </w:rPr>
            </w:pPr>
            <w:r>
              <w:rPr>
                <w:rFonts w:ascii="Calibri" w:cs="Calibri" w:eastAsia="Calibri" w:hAnsi="Calibri"/>
                <w:sz w:val="14"/>
                <w:szCs w:val="14"/>
                <w:b w:val="1"/>
                <w:bCs w:val="1"/>
                <w:color w:val="FFFFFF"/>
                <w:w w:val="99"/>
              </w:rPr>
              <w:t>NUMBER OF</w:t>
            </w:r>
          </w:p>
        </w:tc>
        <w:tc>
          <w:tcPr>
            <w:tcW w:w="880" w:type="dxa"/>
            <w:vAlign w:val="bottom"/>
            <w:gridSpan w:val="2"/>
            <w:shd w:val="clear" w:color="auto" w:fill="062B48"/>
          </w:tcPr>
          <w:p>
            <w:pPr>
              <w:ind w:left="120"/>
              <w:spacing w:after="0"/>
              <w:rPr>
                <w:sz w:val="20"/>
                <w:szCs w:val="20"/>
                <w:color w:val="auto"/>
              </w:rPr>
            </w:pPr>
            <w:r>
              <w:rPr>
                <w:rFonts w:ascii="Calibri" w:cs="Calibri" w:eastAsia="Calibri" w:hAnsi="Calibri"/>
                <w:sz w:val="14"/>
                <w:szCs w:val="14"/>
                <w:b w:val="1"/>
                <w:bCs w:val="1"/>
                <w:color w:val="FFFFFF"/>
                <w:w w:val="97"/>
              </w:rPr>
              <w:t>GRANT DATE</w:t>
            </w:r>
          </w:p>
        </w:tc>
        <w:tc>
          <w:tcPr>
            <w:tcW w:w="100" w:type="dxa"/>
            <w:vAlign w:val="bottom"/>
            <w:shd w:val="clear" w:color="auto" w:fill="062B48"/>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062B48"/>
          </w:tcPr>
          <w:p>
            <w:pPr>
              <w:spacing w:after="0"/>
              <w:rPr>
                <w:sz w:val="5"/>
                <w:szCs w:val="5"/>
                <w:color w:val="auto"/>
              </w:rPr>
            </w:pPr>
          </w:p>
        </w:tc>
        <w:tc>
          <w:tcPr>
            <w:tcW w:w="160" w:type="dxa"/>
            <w:vAlign w:val="bottom"/>
            <w:shd w:val="clear" w:color="auto" w:fill="062B48"/>
          </w:tcPr>
          <w:p>
            <w:pPr>
              <w:spacing w:after="0"/>
              <w:rPr>
                <w:sz w:val="5"/>
                <w:szCs w:val="5"/>
                <w:color w:val="auto"/>
              </w:rPr>
            </w:pPr>
          </w:p>
        </w:tc>
        <w:tc>
          <w:tcPr>
            <w:tcW w:w="1240" w:type="dxa"/>
            <w:vAlign w:val="bottom"/>
            <w:shd w:val="clear" w:color="auto" w:fill="062B48"/>
          </w:tcPr>
          <w:p>
            <w:pPr>
              <w:spacing w:after="0"/>
              <w:rPr>
                <w:sz w:val="5"/>
                <w:szCs w:val="5"/>
                <w:color w:val="auto"/>
              </w:rPr>
            </w:pPr>
          </w:p>
        </w:tc>
        <w:tc>
          <w:tcPr>
            <w:tcW w:w="900" w:type="dxa"/>
            <w:vAlign w:val="bottom"/>
            <w:shd w:val="clear" w:color="auto" w:fill="062B48"/>
          </w:tcPr>
          <w:p>
            <w:pPr>
              <w:spacing w:after="0"/>
              <w:rPr>
                <w:sz w:val="5"/>
                <w:szCs w:val="5"/>
                <w:color w:val="auto"/>
              </w:rPr>
            </w:pPr>
          </w:p>
        </w:tc>
        <w:tc>
          <w:tcPr>
            <w:tcW w:w="240" w:type="dxa"/>
            <w:vAlign w:val="bottom"/>
            <w:shd w:val="clear" w:color="auto" w:fill="062B48"/>
          </w:tcPr>
          <w:p>
            <w:pPr>
              <w:spacing w:after="0"/>
              <w:rPr>
                <w:sz w:val="5"/>
                <w:szCs w:val="5"/>
                <w:color w:val="auto"/>
              </w:rPr>
            </w:pPr>
          </w:p>
        </w:tc>
        <w:tc>
          <w:tcPr>
            <w:tcW w:w="800" w:type="dxa"/>
            <w:vAlign w:val="bottom"/>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860" w:type="dxa"/>
            <w:vAlign w:val="bottom"/>
            <w:shd w:val="clear" w:color="auto" w:fill="062B48"/>
          </w:tcPr>
          <w:p>
            <w:pPr>
              <w:spacing w:after="0"/>
              <w:rPr>
                <w:sz w:val="5"/>
                <w:szCs w:val="5"/>
                <w:color w:val="auto"/>
              </w:rPr>
            </w:pPr>
          </w:p>
        </w:tc>
        <w:tc>
          <w:tcPr>
            <w:tcW w:w="300" w:type="dxa"/>
            <w:vAlign w:val="bottom"/>
            <w:shd w:val="clear" w:color="auto" w:fill="062B48"/>
          </w:tcPr>
          <w:p>
            <w:pPr>
              <w:spacing w:after="0"/>
              <w:rPr>
                <w:sz w:val="5"/>
                <w:szCs w:val="5"/>
                <w:color w:val="auto"/>
              </w:rPr>
            </w:pPr>
          </w:p>
        </w:tc>
        <w:tc>
          <w:tcPr>
            <w:tcW w:w="62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900" w:type="dxa"/>
            <w:vAlign w:val="bottom"/>
            <w:shd w:val="clear" w:color="auto" w:fill="062B48"/>
          </w:tcPr>
          <w:p>
            <w:pPr>
              <w:spacing w:after="0"/>
              <w:rPr>
                <w:sz w:val="5"/>
                <w:szCs w:val="5"/>
                <w:color w:val="auto"/>
              </w:rPr>
            </w:pPr>
          </w:p>
        </w:tc>
        <w:tc>
          <w:tcPr>
            <w:tcW w:w="980" w:type="dxa"/>
            <w:vAlign w:val="bottom"/>
            <w:shd w:val="clear" w:color="auto" w:fill="062B48"/>
          </w:tcPr>
          <w:p>
            <w:pPr>
              <w:spacing w:after="0"/>
              <w:rPr>
                <w:sz w:val="5"/>
                <w:szCs w:val="5"/>
                <w:color w:val="auto"/>
              </w:rPr>
            </w:pPr>
          </w:p>
        </w:tc>
        <w:tc>
          <w:tcPr>
            <w:tcW w:w="860" w:type="dxa"/>
            <w:vAlign w:val="bottom"/>
            <w:shd w:val="clear" w:color="auto" w:fill="062B48"/>
          </w:tcPr>
          <w:p>
            <w:pPr>
              <w:spacing w:after="0"/>
              <w:rPr>
                <w:sz w:val="5"/>
                <w:szCs w:val="5"/>
                <w:color w:val="auto"/>
              </w:rPr>
            </w:pPr>
          </w:p>
        </w:tc>
        <w:tc>
          <w:tcPr>
            <w:tcW w:w="10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880" w:type="dxa"/>
            <w:vAlign w:val="bottom"/>
            <w:vMerge w:val="continue"/>
            <w:shd w:val="clear" w:color="auto" w:fill="062B48"/>
          </w:tcPr>
          <w:p>
            <w:pPr>
              <w:spacing w:after="0"/>
              <w:rPr>
                <w:sz w:val="5"/>
                <w:szCs w:val="5"/>
                <w:color w:val="auto"/>
              </w:rPr>
            </w:pPr>
          </w:p>
        </w:tc>
        <w:tc>
          <w:tcPr>
            <w:tcW w:w="880" w:type="dxa"/>
            <w:vAlign w:val="bottom"/>
            <w:gridSpan w:val="2"/>
            <w:vMerge w:val="restart"/>
            <w:shd w:val="clear" w:color="auto" w:fill="062B48"/>
          </w:tcPr>
          <w:p>
            <w:pPr>
              <w:jc w:val="center"/>
              <w:ind w:left="29"/>
              <w:spacing w:after="0"/>
              <w:rPr>
                <w:sz w:val="20"/>
                <w:szCs w:val="20"/>
                <w:color w:val="auto"/>
              </w:rPr>
            </w:pPr>
            <w:r>
              <w:rPr>
                <w:rFonts w:ascii="Calibri" w:cs="Calibri" w:eastAsia="Calibri" w:hAnsi="Calibri"/>
                <w:sz w:val="14"/>
                <w:szCs w:val="14"/>
                <w:b w:val="1"/>
                <w:bCs w:val="1"/>
                <w:color w:val="FFFFFF"/>
                <w:w w:val="96"/>
              </w:rPr>
              <w:t>FAIR VALUE</w:t>
            </w:r>
          </w:p>
        </w:tc>
        <w:tc>
          <w:tcPr>
            <w:tcW w:w="10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60" w:type="dxa"/>
            <w:vAlign w:val="bottom"/>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NAME</w:t>
            </w:r>
          </w:p>
        </w:tc>
        <w:tc>
          <w:tcPr>
            <w:tcW w:w="160" w:type="dxa"/>
            <w:vAlign w:val="bottom"/>
            <w:shd w:val="clear" w:color="auto" w:fill="062B48"/>
          </w:tcPr>
          <w:p>
            <w:pPr>
              <w:spacing w:after="0"/>
              <w:rPr>
                <w:sz w:val="9"/>
                <w:szCs w:val="9"/>
                <w:color w:val="auto"/>
              </w:rPr>
            </w:pPr>
          </w:p>
        </w:tc>
        <w:tc>
          <w:tcPr>
            <w:tcW w:w="1240" w:type="dxa"/>
            <w:vAlign w:val="bottom"/>
            <w:shd w:val="clear" w:color="auto" w:fill="062B48"/>
          </w:tcPr>
          <w:p>
            <w:pPr>
              <w:spacing w:after="0"/>
              <w:rPr>
                <w:sz w:val="9"/>
                <w:szCs w:val="9"/>
                <w:color w:val="auto"/>
              </w:rPr>
            </w:pPr>
          </w:p>
        </w:tc>
        <w:tc>
          <w:tcPr>
            <w:tcW w:w="900" w:type="dxa"/>
            <w:vAlign w:val="bottom"/>
            <w:vMerge w:val="restart"/>
            <w:shd w:val="clear" w:color="auto" w:fill="062B48"/>
          </w:tcPr>
          <w:p>
            <w:pPr>
              <w:ind w:left="140"/>
              <w:spacing w:after="0"/>
              <w:rPr>
                <w:sz w:val="20"/>
                <w:szCs w:val="20"/>
                <w:color w:val="auto"/>
              </w:rPr>
            </w:pPr>
            <w:r>
              <w:rPr>
                <w:rFonts w:ascii="Calibri" w:cs="Calibri" w:eastAsia="Calibri" w:hAnsi="Calibri"/>
                <w:sz w:val="14"/>
                <w:szCs w:val="14"/>
                <w:b w:val="1"/>
                <w:bCs w:val="1"/>
                <w:color w:val="FFFFFF"/>
              </w:rPr>
              <w:t>Grant Date</w:t>
            </w:r>
          </w:p>
        </w:tc>
        <w:tc>
          <w:tcPr>
            <w:tcW w:w="1040" w:type="dxa"/>
            <w:vAlign w:val="bottom"/>
            <w:gridSpan w:val="2"/>
            <w:vMerge w:val="restart"/>
            <w:shd w:val="clear" w:color="auto" w:fill="062B48"/>
          </w:tcPr>
          <w:p>
            <w:pPr>
              <w:jc w:val="right"/>
              <w:ind w:right="89"/>
              <w:spacing w:after="0"/>
              <w:rPr>
                <w:sz w:val="20"/>
                <w:szCs w:val="20"/>
                <w:color w:val="auto"/>
              </w:rPr>
            </w:pPr>
            <w:r>
              <w:rPr>
                <w:rFonts w:ascii="Calibri" w:cs="Calibri" w:eastAsia="Calibri" w:hAnsi="Calibri"/>
                <w:sz w:val="14"/>
                <w:szCs w:val="14"/>
                <w:b w:val="1"/>
                <w:bCs w:val="1"/>
                <w:color w:val="FFFFFF"/>
              </w:rPr>
              <w:t>THRESHOLD</w:t>
            </w:r>
          </w:p>
        </w:tc>
        <w:tc>
          <w:tcPr>
            <w:tcW w:w="200" w:type="dxa"/>
            <w:vAlign w:val="bottom"/>
            <w:shd w:val="clear" w:color="auto" w:fill="062B48"/>
          </w:tcPr>
          <w:p>
            <w:pPr>
              <w:spacing w:after="0"/>
              <w:rPr>
                <w:sz w:val="9"/>
                <w:szCs w:val="9"/>
                <w:color w:val="auto"/>
              </w:rPr>
            </w:pPr>
          </w:p>
        </w:tc>
        <w:tc>
          <w:tcPr>
            <w:tcW w:w="860" w:type="dxa"/>
            <w:vAlign w:val="bottom"/>
            <w:vMerge w:val="restart"/>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TARGET ($)</w:t>
            </w:r>
          </w:p>
        </w:tc>
        <w:tc>
          <w:tcPr>
            <w:tcW w:w="920" w:type="dxa"/>
            <w:vAlign w:val="bottom"/>
            <w:gridSpan w:val="2"/>
            <w:vMerge w:val="restart"/>
            <w:shd w:val="clear" w:color="auto" w:fill="062B48"/>
          </w:tcPr>
          <w:p>
            <w:pPr>
              <w:jc w:val="right"/>
              <w:ind w:right="9"/>
              <w:spacing w:after="0"/>
              <w:rPr>
                <w:sz w:val="20"/>
                <w:szCs w:val="20"/>
                <w:color w:val="auto"/>
              </w:rPr>
            </w:pPr>
            <w:r>
              <w:rPr>
                <w:rFonts w:ascii="Calibri" w:cs="Calibri" w:eastAsia="Calibri" w:hAnsi="Calibri"/>
                <w:sz w:val="14"/>
                <w:szCs w:val="14"/>
                <w:b w:val="1"/>
                <w:bCs w:val="1"/>
                <w:color w:val="FFFFFF"/>
              </w:rPr>
              <w:t>MAXIMUM</w:t>
            </w:r>
          </w:p>
        </w:tc>
        <w:tc>
          <w:tcPr>
            <w:tcW w:w="12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900" w:type="dxa"/>
            <w:vAlign w:val="bottom"/>
            <w:vMerge w:val="restart"/>
            <w:shd w:val="clear" w:color="auto" w:fill="062B48"/>
          </w:tcPr>
          <w:p>
            <w:pPr>
              <w:jc w:val="right"/>
              <w:ind w:right="89"/>
              <w:spacing w:after="0"/>
              <w:rPr>
                <w:sz w:val="20"/>
                <w:szCs w:val="20"/>
                <w:color w:val="auto"/>
              </w:rPr>
            </w:pPr>
            <w:r>
              <w:rPr>
                <w:rFonts w:ascii="Calibri" w:cs="Calibri" w:eastAsia="Calibri" w:hAnsi="Calibri"/>
                <w:sz w:val="14"/>
                <w:szCs w:val="14"/>
                <w:b w:val="1"/>
                <w:bCs w:val="1"/>
                <w:color w:val="FFFFFF"/>
              </w:rPr>
              <w:t>THRESHOLD</w:t>
            </w:r>
          </w:p>
        </w:tc>
        <w:tc>
          <w:tcPr>
            <w:tcW w:w="98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8"/>
              </w:rPr>
              <w:t>TARGET (#)</w:t>
            </w:r>
          </w:p>
        </w:tc>
        <w:tc>
          <w:tcPr>
            <w:tcW w:w="860" w:type="dxa"/>
            <w:vAlign w:val="bottom"/>
            <w:vMerge w:val="restart"/>
            <w:shd w:val="clear" w:color="auto" w:fill="062B48"/>
          </w:tcPr>
          <w:p>
            <w:pPr>
              <w:jc w:val="right"/>
              <w:spacing w:after="0"/>
              <w:rPr>
                <w:sz w:val="20"/>
                <w:szCs w:val="20"/>
                <w:color w:val="auto"/>
              </w:rPr>
            </w:pPr>
            <w:r>
              <w:rPr>
                <w:rFonts w:ascii="Calibri" w:cs="Calibri" w:eastAsia="Calibri" w:hAnsi="Calibri"/>
                <w:sz w:val="14"/>
                <w:szCs w:val="14"/>
                <w:b w:val="1"/>
                <w:bCs w:val="1"/>
                <w:color w:val="FFFFFF"/>
              </w:rPr>
              <w:t>MAXIMUM</w:t>
            </w:r>
          </w:p>
        </w:tc>
        <w:tc>
          <w:tcPr>
            <w:tcW w:w="10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880" w:type="dxa"/>
            <w:vAlign w:val="bottom"/>
            <w:vMerge w:val="restart"/>
            <w:shd w:val="clear" w:color="auto" w:fill="062B48"/>
          </w:tcPr>
          <w:p>
            <w:pPr>
              <w:jc w:val="center"/>
              <w:ind w:right="49"/>
              <w:spacing w:after="0"/>
              <w:rPr>
                <w:sz w:val="20"/>
                <w:szCs w:val="20"/>
                <w:color w:val="auto"/>
              </w:rPr>
            </w:pPr>
            <w:r>
              <w:rPr>
                <w:rFonts w:ascii="Calibri" w:cs="Calibri" w:eastAsia="Calibri" w:hAnsi="Calibri"/>
                <w:sz w:val="14"/>
                <w:szCs w:val="14"/>
                <w:b w:val="1"/>
                <w:bCs w:val="1"/>
                <w:color w:val="FFFFFF"/>
                <w:w w:val="99"/>
              </w:rPr>
              <w:t>SHARES OF</w:t>
            </w:r>
          </w:p>
        </w:tc>
        <w:tc>
          <w:tcPr>
            <w:tcW w:w="880" w:type="dxa"/>
            <w:vAlign w:val="bottom"/>
            <w:gridSpan w:val="2"/>
            <w:vMerge w:val="continue"/>
            <w:shd w:val="clear" w:color="auto" w:fill="062B48"/>
          </w:tcPr>
          <w:p>
            <w:pPr>
              <w:spacing w:after="0"/>
              <w:rPr>
                <w:sz w:val="9"/>
                <w:szCs w:val="9"/>
                <w:color w:val="auto"/>
              </w:rPr>
            </w:pPr>
          </w:p>
        </w:tc>
        <w:tc>
          <w:tcPr>
            <w:tcW w:w="100" w:type="dxa"/>
            <w:vAlign w:val="bottom"/>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60" w:type="dxa"/>
            <w:vAlign w:val="bottom"/>
            <w:vMerge w:val="continue"/>
            <w:shd w:val="clear" w:color="auto" w:fill="062B48"/>
          </w:tcPr>
          <w:p>
            <w:pPr>
              <w:spacing w:after="0"/>
              <w:rPr>
                <w:sz w:val="5"/>
                <w:szCs w:val="5"/>
                <w:color w:val="auto"/>
              </w:rPr>
            </w:pPr>
          </w:p>
        </w:tc>
        <w:tc>
          <w:tcPr>
            <w:tcW w:w="160" w:type="dxa"/>
            <w:vAlign w:val="bottom"/>
            <w:shd w:val="clear" w:color="auto" w:fill="062B48"/>
          </w:tcPr>
          <w:p>
            <w:pPr>
              <w:spacing w:after="0"/>
              <w:rPr>
                <w:sz w:val="5"/>
                <w:szCs w:val="5"/>
                <w:color w:val="auto"/>
              </w:rPr>
            </w:pPr>
          </w:p>
        </w:tc>
        <w:tc>
          <w:tcPr>
            <w:tcW w:w="1240" w:type="dxa"/>
            <w:vAlign w:val="bottom"/>
            <w:shd w:val="clear" w:color="auto" w:fill="062B48"/>
          </w:tcPr>
          <w:p>
            <w:pPr>
              <w:spacing w:after="0"/>
              <w:rPr>
                <w:sz w:val="5"/>
                <w:szCs w:val="5"/>
                <w:color w:val="auto"/>
              </w:rPr>
            </w:pPr>
          </w:p>
        </w:tc>
        <w:tc>
          <w:tcPr>
            <w:tcW w:w="900" w:type="dxa"/>
            <w:vAlign w:val="bottom"/>
            <w:vMerge w:val="continue"/>
            <w:shd w:val="clear" w:color="auto" w:fill="062B48"/>
          </w:tcPr>
          <w:p>
            <w:pPr>
              <w:spacing w:after="0"/>
              <w:rPr>
                <w:sz w:val="5"/>
                <w:szCs w:val="5"/>
                <w:color w:val="auto"/>
              </w:rPr>
            </w:pPr>
          </w:p>
        </w:tc>
        <w:tc>
          <w:tcPr>
            <w:tcW w:w="1040" w:type="dxa"/>
            <w:vAlign w:val="bottom"/>
            <w:gridSpan w:val="2"/>
            <w:vMerge w:val="continue"/>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860" w:type="dxa"/>
            <w:vAlign w:val="bottom"/>
            <w:vMerge w:val="continue"/>
            <w:shd w:val="clear" w:color="auto" w:fill="062B48"/>
          </w:tcPr>
          <w:p>
            <w:pPr>
              <w:spacing w:after="0"/>
              <w:rPr>
                <w:sz w:val="5"/>
                <w:szCs w:val="5"/>
                <w:color w:val="auto"/>
              </w:rPr>
            </w:pPr>
          </w:p>
        </w:tc>
        <w:tc>
          <w:tcPr>
            <w:tcW w:w="920" w:type="dxa"/>
            <w:vAlign w:val="bottom"/>
            <w:gridSpan w:val="2"/>
            <w:vMerge w:val="continue"/>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900" w:type="dxa"/>
            <w:vAlign w:val="bottom"/>
            <w:vMerge w:val="continue"/>
            <w:shd w:val="clear" w:color="auto" w:fill="062B48"/>
          </w:tcPr>
          <w:p>
            <w:pPr>
              <w:spacing w:after="0"/>
              <w:rPr>
                <w:sz w:val="5"/>
                <w:szCs w:val="5"/>
                <w:color w:val="auto"/>
              </w:rPr>
            </w:pPr>
          </w:p>
        </w:tc>
        <w:tc>
          <w:tcPr>
            <w:tcW w:w="980" w:type="dxa"/>
            <w:vAlign w:val="bottom"/>
            <w:vMerge w:val="continue"/>
            <w:shd w:val="clear" w:color="auto" w:fill="062B48"/>
          </w:tcPr>
          <w:p>
            <w:pPr>
              <w:spacing w:after="0"/>
              <w:rPr>
                <w:sz w:val="5"/>
                <w:szCs w:val="5"/>
                <w:color w:val="auto"/>
              </w:rPr>
            </w:pPr>
          </w:p>
        </w:tc>
        <w:tc>
          <w:tcPr>
            <w:tcW w:w="860" w:type="dxa"/>
            <w:vAlign w:val="bottom"/>
            <w:vMerge w:val="continue"/>
            <w:shd w:val="clear" w:color="auto" w:fill="062B48"/>
          </w:tcPr>
          <w:p>
            <w:pPr>
              <w:spacing w:after="0"/>
              <w:rPr>
                <w:sz w:val="5"/>
                <w:szCs w:val="5"/>
                <w:color w:val="auto"/>
              </w:rPr>
            </w:pPr>
          </w:p>
        </w:tc>
        <w:tc>
          <w:tcPr>
            <w:tcW w:w="10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880" w:type="dxa"/>
            <w:vAlign w:val="bottom"/>
            <w:vMerge w:val="continue"/>
            <w:shd w:val="clear" w:color="auto" w:fill="062B48"/>
          </w:tcPr>
          <w:p>
            <w:pPr>
              <w:spacing w:after="0"/>
              <w:rPr>
                <w:sz w:val="5"/>
                <w:szCs w:val="5"/>
                <w:color w:val="auto"/>
              </w:rPr>
            </w:pPr>
          </w:p>
        </w:tc>
        <w:tc>
          <w:tcPr>
            <w:tcW w:w="180" w:type="dxa"/>
            <w:vAlign w:val="bottom"/>
            <w:shd w:val="clear" w:color="auto" w:fill="062B48"/>
          </w:tcPr>
          <w:p>
            <w:pPr>
              <w:spacing w:after="0"/>
              <w:rPr>
                <w:sz w:val="5"/>
                <w:szCs w:val="5"/>
                <w:color w:val="auto"/>
              </w:rPr>
            </w:pPr>
          </w:p>
        </w:tc>
        <w:tc>
          <w:tcPr>
            <w:tcW w:w="700" w:type="dxa"/>
            <w:vAlign w:val="bottom"/>
            <w:vMerge w:val="restart"/>
            <w:shd w:val="clear" w:color="auto" w:fill="062B48"/>
          </w:tcPr>
          <w:p>
            <w:pPr>
              <w:jc w:val="center"/>
              <w:ind w:right="10"/>
              <w:spacing w:after="0"/>
              <w:rPr>
                <w:sz w:val="20"/>
                <w:szCs w:val="20"/>
                <w:color w:val="auto"/>
              </w:rPr>
            </w:pPr>
            <w:r>
              <w:rPr>
                <w:rFonts w:ascii="Calibri" w:cs="Calibri" w:eastAsia="Calibri" w:hAnsi="Calibri"/>
                <w:sz w:val="14"/>
                <w:szCs w:val="14"/>
                <w:b w:val="1"/>
                <w:bCs w:val="1"/>
                <w:color w:val="FFFFFF"/>
              </w:rPr>
              <w:t>OF STOCK</w:t>
            </w:r>
          </w:p>
        </w:tc>
        <w:tc>
          <w:tcPr>
            <w:tcW w:w="10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60" w:type="dxa"/>
            <w:vAlign w:val="bottom"/>
            <w:vMerge w:val="continue"/>
            <w:shd w:val="clear" w:color="auto" w:fill="062B48"/>
          </w:tcPr>
          <w:p>
            <w:pPr>
              <w:spacing w:after="0"/>
              <w:rPr>
                <w:sz w:val="9"/>
                <w:szCs w:val="9"/>
                <w:color w:val="auto"/>
              </w:rPr>
            </w:pPr>
          </w:p>
        </w:tc>
        <w:tc>
          <w:tcPr>
            <w:tcW w:w="160" w:type="dxa"/>
            <w:vAlign w:val="bottom"/>
            <w:shd w:val="clear" w:color="auto" w:fill="062B48"/>
          </w:tcPr>
          <w:p>
            <w:pPr>
              <w:spacing w:after="0"/>
              <w:rPr>
                <w:sz w:val="9"/>
                <w:szCs w:val="9"/>
                <w:color w:val="auto"/>
              </w:rPr>
            </w:pPr>
          </w:p>
        </w:tc>
        <w:tc>
          <w:tcPr>
            <w:tcW w:w="1240" w:type="dxa"/>
            <w:vAlign w:val="bottom"/>
            <w:shd w:val="clear" w:color="auto" w:fill="062B48"/>
          </w:tcPr>
          <w:p>
            <w:pPr>
              <w:spacing w:after="0"/>
              <w:rPr>
                <w:sz w:val="9"/>
                <w:szCs w:val="9"/>
                <w:color w:val="auto"/>
              </w:rPr>
            </w:pPr>
          </w:p>
        </w:tc>
        <w:tc>
          <w:tcPr>
            <w:tcW w:w="900" w:type="dxa"/>
            <w:vAlign w:val="bottom"/>
            <w:vMerge w:val="continue"/>
            <w:shd w:val="clear" w:color="auto" w:fill="062B48"/>
          </w:tcPr>
          <w:p>
            <w:pPr>
              <w:spacing w:after="0"/>
              <w:rPr>
                <w:sz w:val="9"/>
                <w:szCs w:val="9"/>
                <w:color w:val="auto"/>
              </w:rPr>
            </w:pPr>
          </w:p>
        </w:tc>
        <w:tc>
          <w:tcPr>
            <w:tcW w:w="240" w:type="dxa"/>
            <w:vAlign w:val="bottom"/>
            <w:shd w:val="clear" w:color="auto" w:fill="062B48"/>
          </w:tcPr>
          <w:p>
            <w:pPr>
              <w:spacing w:after="0"/>
              <w:rPr>
                <w:sz w:val="9"/>
                <w:szCs w:val="9"/>
                <w:color w:val="auto"/>
              </w:rPr>
            </w:pPr>
          </w:p>
        </w:tc>
        <w:tc>
          <w:tcPr>
            <w:tcW w:w="800" w:type="dxa"/>
            <w:vAlign w:val="bottom"/>
            <w:vMerge w:val="restart"/>
            <w:shd w:val="clear" w:color="auto" w:fill="062B48"/>
          </w:tcPr>
          <w:p>
            <w:pPr>
              <w:jc w:val="right"/>
              <w:ind w:right="369"/>
              <w:spacing w:after="0"/>
              <w:rPr>
                <w:sz w:val="20"/>
                <w:szCs w:val="20"/>
                <w:color w:val="auto"/>
              </w:rPr>
            </w:pPr>
            <w:r>
              <w:rPr>
                <w:rFonts w:ascii="Calibri" w:cs="Calibri" w:eastAsia="Calibri" w:hAnsi="Calibri"/>
                <w:sz w:val="14"/>
                <w:szCs w:val="14"/>
                <w:b w:val="1"/>
                <w:bCs w:val="1"/>
                <w:color w:val="FFFFFF"/>
              </w:rPr>
              <w:t>($)</w:t>
            </w:r>
          </w:p>
        </w:tc>
        <w:tc>
          <w:tcPr>
            <w:tcW w:w="200" w:type="dxa"/>
            <w:vAlign w:val="bottom"/>
            <w:shd w:val="clear" w:color="auto" w:fill="062B48"/>
          </w:tcPr>
          <w:p>
            <w:pPr>
              <w:spacing w:after="0"/>
              <w:rPr>
                <w:sz w:val="9"/>
                <w:szCs w:val="9"/>
                <w:color w:val="auto"/>
              </w:rPr>
            </w:pPr>
          </w:p>
        </w:tc>
        <w:tc>
          <w:tcPr>
            <w:tcW w:w="860" w:type="dxa"/>
            <w:vAlign w:val="bottom"/>
            <w:vMerge w:val="continue"/>
            <w:shd w:val="clear" w:color="auto" w:fill="062B48"/>
          </w:tcPr>
          <w:p>
            <w:pPr>
              <w:spacing w:after="0"/>
              <w:rPr>
                <w:sz w:val="9"/>
                <w:szCs w:val="9"/>
                <w:color w:val="auto"/>
              </w:rPr>
            </w:pPr>
          </w:p>
        </w:tc>
        <w:tc>
          <w:tcPr>
            <w:tcW w:w="300" w:type="dxa"/>
            <w:vAlign w:val="bottom"/>
            <w:shd w:val="clear" w:color="auto" w:fill="062B48"/>
          </w:tcPr>
          <w:p>
            <w:pPr>
              <w:spacing w:after="0"/>
              <w:rPr>
                <w:sz w:val="9"/>
                <w:szCs w:val="9"/>
                <w:color w:val="auto"/>
              </w:rPr>
            </w:pPr>
          </w:p>
        </w:tc>
        <w:tc>
          <w:tcPr>
            <w:tcW w:w="620" w:type="dxa"/>
            <w:vAlign w:val="bottom"/>
            <w:vMerge w:val="restart"/>
            <w:shd w:val="clear" w:color="auto" w:fill="062B48"/>
          </w:tcPr>
          <w:p>
            <w:pPr>
              <w:jc w:val="right"/>
              <w:ind w:right="249"/>
              <w:spacing w:after="0"/>
              <w:rPr>
                <w:sz w:val="20"/>
                <w:szCs w:val="20"/>
                <w:color w:val="auto"/>
              </w:rPr>
            </w:pPr>
            <w:r>
              <w:rPr>
                <w:rFonts w:ascii="Calibri" w:cs="Calibri" w:eastAsia="Calibri" w:hAnsi="Calibri"/>
                <w:sz w:val="14"/>
                <w:szCs w:val="14"/>
                <w:b w:val="1"/>
                <w:bCs w:val="1"/>
                <w:color w:val="FFFFFF"/>
              </w:rPr>
              <w:t>($)</w:t>
            </w:r>
          </w:p>
        </w:tc>
        <w:tc>
          <w:tcPr>
            <w:tcW w:w="12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900" w:type="dxa"/>
            <w:vAlign w:val="bottom"/>
            <w:vMerge w:val="restart"/>
            <w:shd w:val="clear" w:color="auto" w:fill="062B48"/>
          </w:tcPr>
          <w:p>
            <w:pPr>
              <w:jc w:val="right"/>
              <w:ind w:right="369"/>
              <w:spacing w:after="0"/>
              <w:rPr>
                <w:sz w:val="20"/>
                <w:szCs w:val="20"/>
                <w:color w:val="auto"/>
              </w:rPr>
            </w:pPr>
            <w:r>
              <w:rPr>
                <w:rFonts w:ascii="Calibri" w:cs="Calibri" w:eastAsia="Calibri" w:hAnsi="Calibri"/>
                <w:sz w:val="14"/>
                <w:szCs w:val="14"/>
                <w:b w:val="1"/>
                <w:bCs w:val="1"/>
                <w:color w:val="FFFFFF"/>
              </w:rPr>
              <w:t>(#)</w:t>
            </w:r>
          </w:p>
        </w:tc>
        <w:tc>
          <w:tcPr>
            <w:tcW w:w="980" w:type="dxa"/>
            <w:vAlign w:val="bottom"/>
            <w:vMerge w:val="continue"/>
            <w:shd w:val="clear" w:color="auto" w:fill="062B48"/>
          </w:tcPr>
          <w:p>
            <w:pPr>
              <w:spacing w:after="0"/>
              <w:rPr>
                <w:sz w:val="9"/>
                <w:szCs w:val="9"/>
                <w:color w:val="auto"/>
              </w:rPr>
            </w:pPr>
          </w:p>
        </w:tc>
        <w:tc>
          <w:tcPr>
            <w:tcW w:w="860" w:type="dxa"/>
            <w:vAlign w:val="bottom"/>
            <w:vMerge w:val="restart"/>
            <w:shd w:val="clear" w:color="auto" w:fill="062B48"/>
          </w:tcPr>
          <w:p>
            <w:pPr>
              <w:jc w:val="right"/>
              <w:ind w:right="229"/>
              <w:spacing w:after="0"/>
              <w:rPr>
                <w:sz w:val="20"/>
                <w:szCs w:val="20"/>
                <w:color w:val="auto"/>
              </w:rPr>
            </w:pPr>
            <w:r>
              <w:rPr>
                <w:rFonts w:ascii="Calibri" w:cs="Calibri" w:eastAsia="Calibri" w:hAnsi="Calibri"/>
                <w:sz w:val="14"/>
                <w:szCs w:val="14"/>
                <w:b w:val="1"/>
                <w:bCs w:val="1"/>
                <w:color w:val="FFFFFF"/>
              </w:rPr>
              <w:t>(#)</w:t>
            </w:r>
          </w:p>
        </w:tc>
        <w:tc>
          <w:tcPr>
            <w:tcW w:w="10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880" w:type="dxa"/>
            <w:vAlign w:val="bottom"/>
            <w:vMerge w:val="restart"/>
            <w:shd w:val="clear" w:color="auto" w:fill="062B48"/>
          </w:tcPr>
          <w:p>
            <w:pPr>
              <w:jc w:val="center"/>
              <w:ind w:right="49"/>
              <w:spacing w:after="0"/>
              <w:rPr>
                <w:sz w:val="20"/>
                <w:szCs w:val="20"/>
                <w:color w:val="auto"/>
              </w:rPr>
            </w:pPr>
            <w:r>
              <w:rPr>
                <w:rFonts w:ascii="Calibri" w:cs="Calibri" w:eastAsia="Calibri" w:hAnsi="Calibri"/>
                <w:sz w:val="14"/>
                <w:szCs w:val="14"/>
                <w:b w:val="1"/>
                <w:bCs w:val="1"/>
                <w:color w:val="FFFFFF"/>
              </w:rPr>
              <w:t>STOCK OR</w:t>
            </w:r>
          </w:p>
        </w:tc>
        <w:tc>
          <w:tcPr>
            <w:tcW w:w="180" w:type="dxa"/>
            <w:vAlign w:val="bottom"/>
            <w:shd w:val="clear" w:color="auto" w:fill="062B48"/>
          </w:tcPr>
          <w:p>
            <w:pPr>
              <w:spacing w:after="0"/>
              <w:rPr>
                <w:sz w:val="9"/>
                <w:szCs w:val="9"/>
                <w:color w:val="auto"/>
              </w:rPr>
            </w:pPr>
          </w:p>
        </w:tc>
        <w:tc>
          <w:tcPr>
            <w:tcW w:w="700" w:type="dxa"/>
            <w:vAlign w:val="bottom"/>
            <w:vMerge w:val="continue"/>
            <w:shd w:val="clear" w:color="auto" w:fill="062B48"/>
          </w:tcPr>
          <w:p>
            <w:pPr>
              <w:spacing w:after="0"/>
              <w:rPr>
                <w:sz w:val="9"/>
                <w:szCs w:val="9"/>
                <w:color w:val="auto"/>
              </w:rPr>
            </w:pPr>
          </w:p>
        </w:tc>
        <w:tc>
          <w:tcPr>
            <w:tcW w:w="100" w:type="dxa"/>
            <w:vAlign w:val="bottom"/>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60" w:type="dxa"/>
            <w:vAlign w:val="bottom"/>
            <w:shd w:val="clear" w:color="auto" w:fill="062B48"/>
          </w:tcPr>
          <w:p>
            <w:pPr>
              <w:spacing w:after="0"/>
              <w:rPr>
                <w:sz w:val="5"/>
                <w:szCs w:val="5"/>
                <w:color w:val="auto"/>
              </w:rPr>
            </w:pPr>
          </w:p>
        </w:tc>
        <w:tc>
          <w:tcPr>
            <w:tcW w:w="160" w:type="dxa"/>
            <w:vAlign w:val="bottom"/>
            <w:shd w:val="clear" w:color="auto" w:fill="062B48"/>
          </w:tcPr>
          <w:p>
            <w:pPr>
              <w:spacing w:after="0"/>
              <w:rPr>
                <w:sz w:val="5"/>
                <w:szCs w:val="5"/>
                <w:color w:val="auto"/>
              </w:rPr>
            </w:pPr>
          </w:p>
        </w:tc>
        <w:tc>
          <w:tcPr>
            <w:tcW w:w="1240" w:type="dxa"/>
            <w:vAlign w:val="bottom"/>
            <w:shd w:val="clear" w:color="auto" w:fill="062B48"/>
          </w:tcPr>
          <w:p>
            <w:pPr>
              <w:spacing w:after="0"/>
              <w:rPr>
                <w:sz w:val="5"/>
                <w:szCs w:val="5"/>
                <w:color w:val="auto"/>
              </w:rPr>
            </w:pPr>
          </w:p>
        </w:tc>
        <w:tc>
          <w:tcPr>
            <w:tcW w:w="900" w:type="dxa"/>
            <w:vAlign w:val="bottom"/>
            <w:shd w:val="clear" w:color="auto" w:fill="062B48"/>
          </w:tcPr>
          <w:p>
            <w:pPr>
              <w:spacing w:after="0"/>
              <w:rPr>
                <w:sz w:val="5"/>
                <w:szCs w:val="5"/>
                <w:color w:val="auto"/>
              </w:rPr>
            </w:pPr>
          </w:p>
        </w:tc>
        <w:tc>
          <w:tcPr>
            <w:tcW w:w="240" w:type="dxa"/>
            <w:vAlign w:val="bottom"/>
            <w:shd w:val="clear" w:color="auto" w:fill="062B48"/>
          </w:tcPr>
          <w:p>
            <w:pPr>
              <w:spacing w:after="0"/>
              <w:rPr>
                <w:sz w:val="5"/>
                <w:szCs w:val="5"/>
                <w:color w:val="auto"/>
              </w:rPr>
            </w:pPr>
          </w:p>
        </w:tc>
        <w:tc>
          <w:tcPr>
            <w:tcW w:w="800" w:type="dxa"/>
            <w:vAlign w:val="bottom"/>
            <w:vMerge w:val="continue"/>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860" w:type="dxa"/>
            <w:vAlign w:val="bottom"/>
            <w:shd w:val="clear" w:color="auto" w:fill="062B48"/>
          </w:tcPr>
          <w:p>
            <w:pPr>
              <w:spacing w:after="0"/>
              <w:rPr>
                <w:sz w:val="5"/>
                <w:szCs w:val="5"/>
                <w:color w:val="auto"/>
              </w:rPr>
            </w:pPr>
          </w:p>
        </w:tc>
        <w:tc>
          <w:tcPr>
            <w:tcW w:w="300" w:type="dxa"/>
            <w:vAlign w:val="bottom"/>
            <w:shd w:val="clear" w:color="auto" w:fill="062B48"/>
          </w:tcPr>
          <w:p>
            <w:pPr>
              <w:spacing w:after="0"/>
              <w:rPr>
                <w:sz w:val="5"/>
                <w:szCs w:val="5"/>
                <w:color w:val="auto"/>
              </w:rPr>
            </w:pPr>
          </w:p>
        </w:tc>
        <w:tc>
          <w:tcPr>
            <w:tcW w:w="620" w:type="dxa"/>
            <w:vAlign w:val="bottom"/>
            <w:vMerge w:val="continue"/>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900" w:type="dxa"/>
            <w:vAlign w:val="bottom"/>
            <w:vMerge w:val="continue"/>
            <w:shd w:val="clear" w:color="auto" w:fill="062B48"/>
          </w:tcPr>
          <w:p>
            <w:pPr>
              <w:spacing w:after="0"/>
              <w:rPr>
                <w:sz w:val="5"/>
                <w:szCs w:val="5"/>
                <w:color w:val="auto"/>
              </w:rPr>
            </w:pPr>
          </w:p>
        </w:tc>
        <w:tc>
          <w:tcPr>
            <w:tcW w:w="980" w:type="dxa"/>
            <w:vAlign w:val="bottom"/>
            <w:shd w:val="clear" w:color="auto" w:fill="062B48"/>
          </w:tcPr>
          <w:p>
            <w:pPr>
              <w:spacing w:after="0"/>
              <w:rPr>
                <w:sz w:val="5"/>
                <w:szCs w:val="5"/>
                <w:color w:val="auto"/>
              </w:rPr>
            </w:pPr>
          </w:p>
        </w:tc>
        <w:tc>
          <w:tcPr>
            <w:tcW w:w="860" w:type="dxa"/>
            <w:vAlign w:val="bottom"/>
            <w:vMerge w:val="continue"/>
            <w:shd w:val="clear" w:color="auto" w:fill="062B48"/>
          </w:tcPr>
          <w:p>
            <w:pPr>
              <w:spacing w:after="0"/>
              <w:rPr>
                <w:sz w:val="5"/>
                <w:szCs w:val="5"/>
                <w:color w:val="auto"/>
              </w:rPr>
            </w:pPr>
          </w:p>
        </w:tc>
        <w:tc>
          <w:tcPr>
            <w:tcW w:w="10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880" w:type="dxa"/>
            <w:vAlign w:val="bottom"/>
            <w:vMerge w:val="continue"/>
            <w:shd w:val="clear" w:color="auto" w:fill="062B48"/>
          </w:tcPr>
          <w:p>
            <w:pPr>
              <w:spacing w:after="0"/>
              <w:rPr>
                <w:sz w:val="5"/>
                <w:szCs w:val="5"/>
                <w:color w:val="auto"/>
              </w:rPr>
            </w:pPr>
          </w:p>
        </w:tc>
        <w:tc>
          <w:tcPr>
            <w:tcW w:w="880" w:type="dxa"/>
            <w:vAlign w:val="bottom"/>
            <w:gridSpan w:val="2"/>
            <w:vMerge w:val="restart"/>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AWARDS ($)</w:t>
            </w:r>
          </w:p>
        </w:tc>
        <w:tc>
          <w:tcPr>
            <w:tcW w:w="10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860" w:type="dxa"/>
            <w:vAlign w:val="bottom"/>
            <w:shd w:val="clear" w:color="auto" w:fill="062B48"/>
          </w:tcPr>
          <w:p>
            <w:pPr>
              <w:spacing w:after="0"/>
              <w:rPr>
                <w:sz w:val="9"/>
                <w:szCs w:val="9"/>
                <w:color w:val="auto"/>
              </w:rPr>
            </w:pPr>
          </w:p>
        </w:tc>
        <w:tc>
          <w:tcPr>
            <w:tcW w:w="160" w:type="dxa"/>
            <w:vAlign w:val="bottom"/>
            <w:shd w:val="clear" w:color="auto" w:fill="062B48"/>
          </w:tcPr>
          <w:p>
            <w:pPr>
              <w:spacing w:after="0"/>
              <w:rPr>
                <w:sz w:val="9"/>
                <w:szCs w:val="9"/>
                <w:color w:val="auto"/>
              </w:rPr>
            </w:pPr>
          </w:p>
        </w:tc>
        <w:tc>
          <w:tcPr>
            <w:tcW w:w="1240" w:type="dxa"/>
            <w:vAlign w:val="bottom"/>
            <w:shd w:val="clear" w:color="auto" w:fill="062B48"/>
          </w:tcPr>
          <w:p>
            <w:pPr>
              <w:spacing w:after="0"/>
              <w:rPr>
                <w:sz w:val="9"/>
                <w:szCs w:val="9"/>
                <w:color w:val="auto"/>
              </w:rPr>
            </w:pPr>
          </w:p>
        </w:tc>
        <w:tc>
          <w:tcPr>
            <w:tcW w:w="900" w:type="dxa"/>
            <w:vAlign w:val="bottom"/>
            <w:shd w:val="clear" w:color="auto" w:fill="062B48"/>
          </w:tcPr>
          <w:p>
            <w:pPr>
              <w:spacing w:after="0"/>
              <w:rPr>
                <w:sz w:val="9"/>
                <w:szCs w:val="9"/>
                <w:color w:val="auto"/>
              </w:rPr>
            </w:pPr>
          </w:p>
        </w:tc>
        <w:tc>
          <w:tcPr>
            <w:tcW w:w="240" w:type="dxa"/>
            <w:vAlign w:val="bottom"/>
            <w:shd w:val="clear" w:color="auto" w:fill="062B48"/>
          </w:tcPr>
          <w:p>
            <w:pPr>
              <w:spacing w:after="0"/>
              <w:rPr>
                <w:sz w:val="9"/>
                <w:szCs w:val="9"/>
                <w:color w:val="auto"/>
              </w:rPr>
            </w:pPr>
          </w:p>
        </w:tc>
        <w:tc>
          <w:tcPr>
            <w:tcW w:w="800" w:type="dxa"/>
            <w:vAlign w:val="bottom"/>
            <w:shd w:val="clear" w:color="auto" w:fill="062B48"/>
          </w:tcPr>
          <w:p>
            <w:pPr>
              <w:spacing w:after="0"/>
              <w:rPr>
                <w:sz w:val="9"/>
                <w:szCs w:val="9"/>
                <w:color w:val="auto"/>
              </w:rPr>
            </w:pPr>
          </w:p>
        </w:tc>
        <w:tc>
          <w:tcPr>
            <w:tcW w:w="200" w:type="dxa"/>
            <w:vAlign w:val="bottom"/>
            <w:shd w:val="clear" w:color="auto" w:fill="062B48"/>
          </w:tcPr>
          <w:p>
            <w:pPr>
              <w:spacing w:after="0"/>
              <w:rPr>
                <w:sz w:val="9"/>
                <w:szCs w:val="9"/>
                <w:color w:val="auto"/>
              </w:rPr>
            </w:pPr>
          </w:p>
        </w:tc>
        <w:tc>
          <w:tcPr>
            <w:tcW w:w="860" w:type="dxa"/>
            <w:vAlign w:val="bottom"/>
            <w:shd w:val="clear" w:color="auto" w:fill="062B48"/>
          </w:tcPr>
          <w:p>
            <w:pPr>
              <w:spacing w:after="0"/>
              <w:rPr>
                <w:sz w:val="9"/>
                <w:szCs w:val="9"/>
                <w:color w:val="auto"/>
              </w:rPr>
            </w:pPr>
          </w:p>
        </w:tc>
        <w:tc>
          <w:tcPr>
            <w:tcW w:w="300" w:type="dxa"/>
            <w:vAlign w:val="bottom"/>
            <w:shd w:val="clear" w:color="auto" w:fill="062B48"/>
          </w:tcPr>
          <w:p>
            <w:pPr>
              <w:spacing w:after="0"/>
              <w:rPr>
                <w:sz w:val="9"/>
                <w:szCs w:val="9"/>
                <w:color w:val="auto"/>
              </w:rPr>
            </w:pPr>
          </w:p>
        </w:tc>
        <w:tc>
          <w:tcPr>
            <w:tcW w:w="62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900" w:type="dxa"/>
            <w:vAlign w:val="bottom"/>
            <w:shd w:val="clear" w:color="auto" w:fill="062B48"/>
          </w:tcPr>
          <w:p>
            <w:pPr>
              <w:spacing w:after="0"/>
              <w:rPr>
                <w:sz w:val="9"/>
                <w:szCs w:val="9"/>
                <w:color w:val="auto"/>
              </w:rPr>
            </w:pPr>
          </w:p>
        </w:tc>
        <w:tc>
          <w:tcPr>
            <w:tcW w:w="980" w:type="dxa"/>
            <w:vAlign w:val="bottom"/>
            <w:shd w:val="clear" w:color="auto" w:fill="062B48"/>
          </w:tcPr>
          <w:p>
            <w:pPr>
              <w:spacing w:after="0"/>
              <w:rPr>
                <w:sz w:val="9"/>
                <w:szCs w:val="9"/>
                <w:color w:val="auto"/>
              </w:rPr>
            </w:pPr>
          </w:p>
        </w:tc>
        <w:tc>
          <w:tcPr>
            <w:tcW w:w="860" w:type="dxa"/>
            <w:vAlign w:val="bottom"/>
            <w:shd w:val="clear" w:color="auto" w:fill="062B48"/>
          </w:tcPr>
          <w:p>
            <w:pPr>
              <w:spacing w:after="0"/>
              <w:rPr>
                <w:sz w:val="9"/>
                <w:szCs w:val="9"/>
                <w:color w:val="auto"/>
              </w:rPr>
            </w:pPr>
          </w:p>
        </w:tc>
        <w:tc>
          <w:tcPr>
            <w:tcW w:w="10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880" w:type="dxa"/>
            <w:vAlign w:val="bottom"/>
            <w:vMerge w:val="restart"/>
            <w:shd w:val="clear" w:color="auto" w:fill="062B48"/>
          </w:tcPr>
          <w:p>
            <w:pPr>
              <w:jc w:val="center"/>
              <w:ind w:right="49"/>
              <w:spacing w:after="0" w:line="219" w:lineRule="exact"/>
              <w:rPr>
                <w:sz w:val="20"/>
                <w:szCs w:val="20"/>
                <w:color w:val="auto"/>
              </w:rPr>
            </w:pPr>
            <w:r>
              <w:rPr>
                <w:rFonts w:ascii="Calibri" w:cs="Calibri" w:eastAsia="Calibri" w:hAnsi="Calibri"/>
                <w:sz w:val="14"/>
                <w:szCs w:val="14"/>
                <w:b w:val="1"/>
                <w:bCs w:val="1"/>
                <w:color w:val="FFFFFF"/>
                <w:w w:val="94"/>
              </w:rPr>
              <w:t>UNITS (#)</w:t>
            </w:r>
            <w:r>
              <w:rPr>
                <w:rFonts w:ascii="Calibri" w:cs="Calibri" w:eastAsia="Calibri" w:hAnsi="Calibri"/>
                <w:sz w:val="23"/>
                <w:szCs w:val="23"/>
                <w:b w:val="1"/>
                <w:bCs w:val="1"/>
                <w:color w:val="FFFFFF"/>
                <w:w w:val="94"/>
                <w:vertAlign w:val="superscript"/>
              </w:rPr>
              <w:t>(3)</w:t>
            </w:r>
          </w:p>
        </w:tc>
        <w:tc>
          <w:tcPr>
            <w:tcW w:w="880" w:type="dxa"/>
            <w:vAlign w:val="bottom"/>
            <w:gridSpan w:val="2"/>
            <w:vMerge w:val="continue"/>
            <w:shd w:val="clear" w:color="auto" w:fill="062B48"/>
          </w:tcPr>
          <w:p>
            <w:pPr>
              <w:spacing w:after="0"/>
              <w:rPr>
                <w:sz w:val="9"/>
                <w:szCs w:val="9"/>
                <w:color w:val="auto"/>
              </w:rPr>
            </w:pPr>
          </w:p>
        </w:tc>
        <w:tc>
          <w:tcPr>
            <w:tcW w:w="100" w:type="dxa"/>
            <w:vAlign w:val="bottom"/>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860" w:type="dxa"/>
            <w:vAlign w:val="bottom"/>
            <w:shd w:val="clear" w:color="auto" w:fill="062B48"/>
          </w:tcPr>
          <w:p>
            <w:pPr>
              <w:spacing w:after="0"/>
              <w:rPr>
                <w:sz w:val="9"/>
                <w:szCs w:val="9"/>
                <w:color w:val="auto"/>
              </w:rPr>
            </w:pPr>
          </w:p>
        </w:tc>
        <w:tc>
          <w:tcPr>
            <w:tcW w:w="160" w:type="dxa"/>
            <w:vAlign w:val="bottom"/>
            <w:shd w:val="clear" w:color="auto" w:fill="062B48"/>
          </w:tcPr>
          <w:p>
            <w:pPr>
              <w:spacing w:after="0"/>
              <w:rPr>
                <w:sz w:val="9"/>
                <w:szCs w:val="9"/>
                <w:color w:val="auto"/>
              </w:rPr>
            </w:pPr>
          </w:p>
        </w:tc>
        <w:tc>
          <w:tcPr>
            <w:tcW w:w="1240" w:type="dxa"/>
            <w:vAlign w:val="bottom"/>
            <w:shd w:val="clear" w:color="auto" w:fill="062B48"/>
          </w:tcPr>
          <w:p>
            <w:pPr>
              <w:spacing w:after="0"/>
              <w:rPr>
                <w:sz w:val="9"/>
                <w:szCs w:val="9"/>
                <w:color w:val="auto"/>
              </w:rPr>
            </w:pPr>
          </w:p>
        </w:tc>
        <w:tc>
          <w:tcPr>
            <w:tcW w:w="900" w:type="dxa"/>
            <w:vAlign w:val="bottom"/>
            <w:shd w:val="clear" w:color="auto" w:fill="062B48"/>
          </w:tcPr>
          <w:p>
            <w:pPr>
              <w:spacing w:after="0"/>
              <w:rPr>
                <w:sz w:val="9"/>
                <w:szCs w:val="9"/>
                <w:color w:val="auto"/>
              </w:rPr>
            </w:pPr>
          </w:p>
        </w:tc>
        <w:tc>
          <w:tcPr>
            <w:tcW w:w="240" w:type="dxa"/>
            <w:vAlign w:val="bottom"/>
            <w:shd w:val="clear" w:color="auto" w:fill="062B48"/>
          </w:tcPr>
          <w:p>
            <w:pPr>
              <w:spacing w:after="0"/>
              <w:rPr>
                <w:sz w:val="9"/>
                <w:szCs w:val="9"/>
                <w:color w:val="auto"/>
              </w:rPr>
            </w:pPr>
          </w:p>
        </w:tc>
        <w:tc>
          <w:tcPr>
            <w:tcW w:w="800" w:type="dxa"/>
            <w:vAlign w:val="bottom"/>
            <w:shd w:val="clear" w:color="auto" w:fill="062B48"/>
          </w:tcPr>
          <w:p>
            <w:pPr>
              <w:spacing w:after="0"/>
              <w:rPr>
                <w:sz w:val="9"/>
                <w:szCs w:val="9"/>
                <w:color w:val="auto"/>
              </w:rPr>
            </w:pPr>
          </w:p>
        </w:tc>
        <w:tc>
          <w:tcPr>
            <w:tcW w:w="200" w:type="dxa"/>
            <w:vAlign w:val="bottom"/>
            <w:shd w:val="clear" w:color="auto" w:fill="062B48"/>
          </w:tcPr>
          <w:p>
            <w:pPr>
              <w:spacing w:after="0"/>
              <w:rPr>
                <w:sz w:val="9"/>
                <w:szCs w:val="9"/>
                <w:color w:val="auto"/>
              </w:rPr>
            </w:pPr>
          </w:p>
        </w:tc>
        <w:tc>
          <w:tcPr>
            <w:tcW w:w="860" w:type="dxa"/>
            <w:vAlign w:val="bottom"/>
            <w:shd w:val="clear" w:color="auto" w:fill="062B48"/>
          </w:tcPr>
          <w:p>
            <w:pPr>
              <w:spacing w:after="0"/>
              <w:rPr>
                <w:sz w:val="9"/>
                <w:szCs w:val="9"/>
                <w:color w:val="auto"/>
              </w:rPr>
            </w:pPr>
          </w:p>
        </w:tc>
        <w:tc>
          <w:tcPr>
            <w:tcW w:w="300" w:type="dxa"/>
            <w:vAlign w:val="bottom"/>
            <w:shd w:val="clear" w:color="auto" w:fill="062B48"/>
          </w:tcPr>
          <w:p>
            <w:pPr>
              <w:spacing w:after="0"/>
              <w:rPr>
                <w:sz w:val="9"/>
                <w:szCs w:val="9"/>
                <w:color w:val="auto"/>
              </w:rPr>
            </w:pPr>
          </w:p>
        </w:tc>
        <w:tc>
          <w:tcPr>
            <w:tcW w:w="62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900" w:type="dxa"/>
            <w:vAlign w:val="bottom"/>
            <w:shd w:val="clear" w:color="auto" w:fill="062B48"/>
          </w:tcPr>
          <w:p>
            <w:pPr>
              <w:spacing w:after="0"/>
              <w:rPr>
                <w:sz w:val="9"/>
                <w:szCs w:val="9"/>
                <w:color w:val="auto"/>
              </w:rPr>
            </w:pPr>
          </w:p>
        </w:tc>
        <w:tc>
          <w:tcPr>
            <w:tcW w:w="980" w:type="dxa"/>
            <w:vAlign w:val="bottom"/>
            <w:shd w:val="clear" w:color="auto" w:fill="062B48"/>
          </w:tcPr>
          <w:p>
            <w:pPr>
              <w:spacing w:after="0"/>
              <w:rPr>
                <w:sz w:val="9"/>
                <w:szCs w:val="9"/>
                <w:color w:val="auto"/>
              </w:rPr>
            </w:pPr>
          </w:p>
        </w:tc>
        <w:tc>
          <w:tcPr>
            <w:tcW w:w="860" w:type="dxa"/>
            <w:vAlign w:val="bottom"/>
            <w:shd w:val="clear" w:color="auto" w:fill="062B48"/>
          </w:tcPr>
          <w:p>
            <w:pPr>
              <w:spacing w:after="0"/>
              <w:rPr>
                <w:sz w:val="9"/>
                <w:szCs w:val="9"/>
                <w:color w:val="auto"/>
              </w:rPr>
            </w:pPr>
          </w:p>
        </w:tc>
        <w:tc>
          <w:tcPr>
            <w:tcW w:w="100" w:type="dxa"/>
            <w:vAlign w:val="bottom"/>
            <w:shd w:val="clear" w:color="auto" w:fill="062B48"/>
          </w:tcPr>
          <w:p>
            <w:pPr>
              <w:spacing w:after="0"/>
              <w:rPr>
                <w:sz w:val="9"/>
                <w:szCs w:val="9"/>
                <w:color w:val="auto"/>
              </w:rPr>
            </w:pPr>
          </w:p>
        </w:tc>
        <w:tc>
          <w:tcPr>
            <w:tcW w:w="120" w:type="dxa"/>
            <w:vAlign w:val="bottom"/>
            <w:shd w:val="clear" w:color="auto" w:fill="062B48"/>
          </w:tcPr>
          <w:p>
            <w:pPr>
              <w:spacing w:after="0"/>
              <w:rPr>
                <w:sz w:val="9"/>
                <w:szCs w:val="9"/>
                <w:color w:val="auto"/>
              </w:rPr>
            </w:pPr>
          </w:p>
        </w:tc>
        <w:tc>
          <w:tcPr>
            <w:tcW w:w="880" w:type="dxa"/>
            <w:vAlign w:val="bottom"/>
            <w:vMerge w:val="continue"/>
            <w:shd w:val="clear" w:color="auto" w:fill="062B48"/>
          </w:tcPr>
          <w:p>
            <w:pPr>
              <w:spacing w:after="0"/>
              <w:rPr>
                <w:sz w:val="9"/>
                <w:szCs w:val="9"/>
                <w:color w:val="auto"/>
              </w:rPr>
            </w:pPr>
          </w:p>
        </w:tc>
        <w:tc>
          <w:tcPr>
            <w:tcW w:w="180" w:type="dxa"/>
            <w:vAlign w:val="bottom"/>
            <w:shd w:val="clear" w:color="auto" w:fill="062B48"/>
          </w:tcPr>
          <w:p>
            <w:pPr>
              <w:spacing w:after="0"/>
              <w:rPr>
                <w:sz w:val="9"/>
                <w:szCs w:val="9"/>
                <w:color w:val="auto"/>
              </w:rPr>
            </w:pPr>
          </w:p>
        </w:tc>
        <w:tc>
          <w:tcPr>
            <w:tcW w:w="700" w:type="dxa"/>
            <w:vAlign w:val="bottom"/>
            <w:vMerge w:val="restart"/>
            <w:shd w:val="clear" w:color="auto" w:fill="062B48"/>
          </w:tcPr>
          <w:p>
            <w:pPr>
              <w:jc w:val="center"/>
              <w:ind w:right="10"/>
              <w:spacing w:after="0" w:line="141" w:lineRule="exact"/>
              <w:rPr>
                <w:sz w:val="20"/>
                <w:szCs w:val="20"/>
                <w:color w:val="auto"/>
              </w:rPr>
            </w:pPr>
            <w:r>
              <w:rPr>
                <w:rFonts w:ascii="Calibri" w:cs="Calibri" w:eastAsia="Calibri" w:hAnsi="Calibri"/>
                <w:sz w:val="12"/>
                <w:szCs w:val="12"/>
                <w:b w:val="1"/>
                <w:bCs w:val="1"/>
                <w:color w:val="FFFFFF"/>
              </w:rPr>
              <w:t>(4)</w:t>
            </w:r>
          </w:p>
        </w:tc>
        <w:tc>
          <w:tcPr>
            <w:tcW w:w="100" w:type="dxa"/>
            <w:vAlign w:val="bottom"/>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860" w:type="dxa"/>
            <w:vAlign w:val="bottom"/>
            <w:tcBorders>
              <w:bottom w:val="single" w:sz="8" w:color="062B48"/>
            </w:tcBorders>
            <w:shd w:val="clear" w:color="auto" w:fill="062B48"/>
          </w:tcPr>
          <w:p>
            <w:pPr>
              <w:spacing w:after="0"/>
              <w:rPr>
                <w:sz w:val="4"/>
                <w:szCs w:val="4"/>
                <w:color w:val="auto"/>
              </w:rPr>
            </w:pPr>
          </w:p>
        </w:tc>
        <w:tc>
          <w:tcPr>
            <w:tcW w:w="160" w:type="dxa"/>
            <w:vAlign w:val="bottom"/>
            <w:tcBorders>
              <w:bottom w:val="single" w:sz="8" w:color="062B48"/>
            </w:tcBorders>
            <w:shd w:val="clear" w:color="auto" w:fill="062B48"/>
          </w:tcPr>
          <w:p>
            <w:pPr>
              <w:spacing w:after="0"/>
              <w:rPr>
                <w:sz w:val="4"/>
                <w:szCs w:val="4"/>
                <w:color w:val="auto"/>
              </w:rPr>
            </w:pPr>
          </w:p>
        </w:tc>
        <w:tc>
          <w:tcPr>
            <w:tcW w:w="1240" w:type="dxa"/>
            <w:vAlign w:val="bottom"/>
            <w:tcBorders>
              <w:bottom w:val="single" w:sz="8" w:color="062B48"/>
            </w:tcBorders>
            <w:shd w:val="clear" w:color="auto" w:fill="062B48"/>
          </w:tcPr>
          <w:p>
            <w:pPr>
              <w:spacing w:after="0"/>
              <w:rPr>
                <w:sz w:val="4"/>
                <w:szCs w:val="4"/>
                <w:color w:val="auto"/>
              </w:rPr>
            </w:pPr>
          </w:p>
        </w:tc>
        <w:tc>
          <w:tcPr>
            <w:tcW w:w="900" w:type="dxa"/>
            <w:vAlign w:val="bottom"/>
            <w:tcBorders>
              <w:bottom w:val="single" w:sz="8" w:color="062B48"/>
            </w:tcBorders>
            <w:shd w:val="clear" w:color="auto" w:fill="062B48"/>
          </w:tcPr>
          <w:p>
            <w:pPr>
              <w:spacing w:after="0"/>
              <w:rPr>
                <w:sz w:val="4"/>
                <w:szCs w:val="4"/>
                <w:color w:val="auto"/>
              </w:rPr>
            </w:pPr>
          </w:p>
        </w:tc>
        <w:tc>
          <w:tcPr>
            <w:tcW w:w="240" w:type="dxa"/>
            <w:vAlign w:val="bottom"/>
            <w:tcBorders>
              <w:bottom w:val="single" w:sz="8" w:color="062B48"/>
            </w:tcBorders>
            <w:shd w:val="clear" w:color="auto" w:fill="062B48"/>
          </w:tcPr>
          <w:p>
            <w:pPr>
              <w:spacing w:after="0"/>
              <w:rPr>
                <w:sz w:val="4"/>
                <w:szCs w:val="4"/>
                <w:color w:val="auto"/>
              </w:rPr>
            </w:pPr>
          </w:p>
        </w:tc>
        <w:tc>
          <w:tcPr>
            <w:tcW w:w="800" w:type="dxa"/>
            <w:vAlign w:val="bottom"/>
            <w:tcBorders>
              <w:bottom w:val="single" w:sz="8" w:color="062B48"/>
            </w:tcBorders>
            <w:shd w:val="clear" w:color="auto" w:fill="062B48"/>
          </w:tcPr>
          <w:p>
            <w:pPr>
              <w:spacing w:after="0"/>
              <w:rPr>
                <w:sz w:val="4"/>
                <w:szCs w:val="4"/>
                <w:color w:val="auto"/>
              </w:rPr>
            </w:pPr>
          </w:p>
        </w:tc>
        <w:tc>
          <w:tcPr>
            <w:tcW w:w="200" w:type="dxa"/>
            <w:vAlign w:val="bottom"/>
            <w:tcBorders>
              <w:bottom w:val="single" w:sz="8" w:color="062B48"/>
            </w:tcBorders>
            <w:shd w:val="clear" w:color="auto" w:fill="062B48"/>
          </w:tcPr>
          <w:p>
            <w:pPr>
              <w:spacing w:after="0"/>
              <w:rPr>
                <w:sz w:val="4"/>
                <w:szCs w:val="4"/>
                <w:color w:val="auto"/>
              </w:rPr>
            </w:pPr>
          </w:p>
        </w:tc>
        <w:tc>
          <w:tcPr>
            <w:tcW w:w="860" w:type="dxa"/>
            <w:vAlign w:val="bottom"/>
            <w:tcBorders>
              <w:bottom w:val="single" w:sz="8" w:color="062B48"/>
            </w:tcBorders>
            <w:shd w:val="clear" w:color="auto" w:fill="062B48"/>
          </w:tcPr>
          <w:p>
            <w:pPr>
              <w:spacing w:after="0"/>
              <w:rPr>
                <w:sz w:val="4"/>
                <w:szCs w:val="4"/>
                <w:color w:val="auto"/>
              </w:rPr>
            </w:pPr>
          </w:p>
        </w:tc>
        <w:tc>
          <w:tcPr>
            <w:tcW w:w="300" w:type="dxa"/>
            <w:vAlign w:val="bottom"/>
            <w:tcBorders>
              <w:bottom w:val="single" w:sz="8" w:color="062B48"/>
            </w:tcBorders>
            <w:shd w:val="clear" w:color="auto" w:fill="062B48"/>
          </w:tcPr>
          <w:p>
            <w:pPr>
              <w:spacing w:after="0"/>
              <w:rPr>
                <w:sz w:val="4"/>
                <w:szCs w:val="4"/>
                <w:color w:val="auto"/>
              </w:rPr>
            </w:pPr>
          </w:p>
        </w:tc>
        <w:tc>
          <w:tcPr>
            <w:tcW w:w="620" w:type="dxa"/>
            <w:vAlign w:val="bottom"/>
            <w:tcBorders>
              <w:bottom w:val="single" w:sz="8" w:color="062B48"/>
            </w:tcBorders>
            <w:shd w:val="clear" w:color="auto" w:fill="062B48"/>
          </w:tcPr>
          <w:p>
            <w:pPr>
              <w:spacing w:after="0"/>
              <w:rPr>
                <w:sz w:val="4"/>
                <w:szCs w:val="4"/>
                <w:color w:val="auto"/>
              </w:rPr>
            </w:pPr>
          </w:p>
        </w:tc>
        <w:tc>
          <w:tcPr>
            <w:tcW w:w="120" w:type="dxa"/>
            <w:vAlign w:val="bottom"/>
            <w:tcBorders>
              <w:bottom w:val="single" w:sz="8" w:color="062B48"/>
            </w:tcBorders>
            <w:shd w:val="clear" w:color="auto" w:fill="062B48"/>
          </w:tcPr>
          <w:p>
            <w:pPr>
              <w:spacing w:after="0"/>
              <w:rPr>
                <w:sz w:val="4"/>
                <w:szCs w:val="4"/>
                <w:color w:val="auto"/>
              </w:rPr>
            </w:pPr>
          </w:p>
        </w:tc>
        <w:tc>
          <w:tcPr>
            <w:tcW w:w="120" w:type="dxa"/>
            <w:vAlign w:val="bottom"/>
            <w:tcBorders>
              <w:bottom w:val="single" w:sz="8" w:color="062B48"/>
            </w:tcBorders>
            <w:shd w:val="clear" w:color="auto" w:fill="062B48"/>
          </w:tcPr>
          <w:p>
            <w:pPr>
              <w:spacing w:after="0"/>
              <w:rPr>
                <w:sz w:val="4"/>
                <w:szCs w:val="4"/>
                <w:color w:val="auto"/>
              </w:rPr>
            </w:pPr>
          </w:p>
        </w:tc>
        <w:tc>
          <w:tcPr>
            <w:tcW w:w="900" w:type="dxa"/>
            <w:vAlign w:val="bottom"/>
            <w:tcBorders>
              <w:bottom w:val="single" w:sz="8" w:color="062B48"/>
            </w:tcBorders>
            <w:shd w:val="clear" w:color="auto" w:fill="062B48"/>
          </w:tcPr>
          <w:p>
            <w:pPr>
              <w:spacing w:after="0"/>
              <w:rPr>
                <w:sz w:val="4"/>
                <w:szCs w:val="4"/>
                <w:color w:val="auto"/>
              </w:rPr>
            </w:pPr>
          </w:p>
        </w:tc>
        <w:tc>
          <w:tcPr>
            <w:tcW w:w="980" w:type="dxa"/>
            <w:vAlign w:val="bottom"/>
            <w:tcBorders>
              <w:bottom w:val="single" w:sz="8" w:color="062B48"/>
            </w:tcBorders>
            <w:shd w:val="clear" w:color="auto" w:fill="062B48"/>
          </w:tcPr>
          <w:p>
            <w:pPr>
              <w:spacing w:after="0"/>
              <w:rPr>
                <w:sz w:val="4"/>
                <w:szCs w:val="4"/>
                <w:color w:val="auto"/>
              </w:rPr>
            </w:pPr>
          </w:p>
        </w:tc>
        <w:tc>
          <w:tcPr>
            <w:tcW w:w="860" w:type="dxa"/>
            <w:vAlign w:val="bottom"/>
            <w:tcBorders>
              <w:bottom w:val="single" w:sz="8" w:color="062B48"/>
            </w:tcBorders>
            <w:shd w:val="clear" w:color="auto" w:fill="062B48"/>
          </w:tcPr>
          <w:p>
            <w:pPr>
              <w:spacing w:after="0"/>
              <w:rPr>
                <w:sz w:val="4"/>
                <w:szCs w:val="4"/>
                <w:color w:val="auto"/>
              </w:rPr>
            </w:pPr>
          </w:p>
        </w:tc>
        <w:tc>
          <w:tcPr>
            <w:tcW w:w="100" w:type="dxa"/>
            <w:vAlign w:val="bottom"/>
            <w:tcBorders>
              <w:bottom w:val="single" w:sz="8" w:color="062B48"/>
            </w:tcBorders>
            <w:shd w:val="clear" w:color="auto" w:fill="062B48"/>
          </w:tcPr>
          <w:p>
            <w:pPr>
              <w:spacing w:after="0"/>
              <w:rPr>
                <w:sz w:val="4"/>
                <w:szCs w:val="4"/>
                <w:color w:val="auto"/>
              </w:rPr>
            </w:pPr>
          </w:p>
        </w:tc>
        <w:tc>
          <w:tcPr>
            <w:tcW w:w="120" w:type="dxa"/>
            <w:vAlign w:val="bottom"/>
            <w:tcBorders>
              <w:bottom w:val="single" w:sz="8" w:color="062B48"/>
            </w:tcBorders>
            <w:shd w:val="clear" w:color="auto" w:fill="062B48"/>
          </w:tcPr>
          <w:p>
            <w:pPr>
              <w:spacing w:after="0"/>
              <w:rPr>
                <w:sz w:val="4"/>
                <w:szCs w:val="4"/>
                <w:color w:val="auto"/>
              </w:rPr>
            </w:pPr>
          </w:p>
        </w:tc>
        <w:tc>
          <w:tcPr>
            <w:tcW w:w="880" w:type="dxa"/>
            <w:vAlign w:val="bottom"/>
            <w:tcBorders>
              <w:bottom w:val="single" w:sz="8" w:color="062B48"/>
            </w:tcBorders>
            <w:shd w:val="clear" w:color="auto" w:fill="062B48"/>
          </w:tcPr>
          <w:p>
            <w:pPr>
              <w:spacing w:after="0"/>
              <w:rPr>
                <w:sz w:val="4"/>
                <w:szCs w:val="4"/>
                <w:color w:val="auto"/>
              </w:rPr>
            </w:pPr>
          </w:p>
        </w:tc>
        <w:tc>
          <w:tcPr>
            <w:tcW w:w="180" w:type="dxa"/>
            <w:vAlign w:val="bottom"/>
            <w:tcBorders>
              <w:bottom w:val="single" w:sz="8" w:color="062B48"/>
            </w:tcBorders>
            <w:shd w:val="clear" w:color="auto" w:fill="062B48"/>
          </w:tcPr>
          <w:p>
            <w:pPr>
              <w:spacing w:after="0"/>
              <w:rPr>
                <w:sz w:val="4"/>
                <w:szCs w:val="4"/>
                <w:color w:val="auto"/>
              </w:rPr>
            </w:pPr>
          </w:p>
        </w:tc>
        <w:tc>
          <w:tcPr>
            <w:tcW w:w="700" w:type="dxa"/>
            <w:vAlign w:val="bottom"/>
            <w:tcBorders>
              <w:bottom w:val="single" w:sz="8" w:color="062B48"/>
            </w:tcBorders>
            <w:vMerge w:val="continue"/>
            <w:shd w:val="clear" w:color="auto" w:fill="062B48"/>
          </w:tcPr>
          <w:p>
            <w:pPr>
              <w:spacing w:after="0"/>
              <w:rPr>
                <w:sz w:val="4"/>
                <w:szCs w:val="4"/>
                <w:color w:val="auto"/>
              </w:rPr>
            </w:pPr>
          </w:p>
        </w:tc>
        <w:tc>
          <w:tcPr>
            <w:tcW w:w="100" w:type="dxa"/>
            <w:vAlign w:val="bottom"/>
            <w:tcBorders>
              <w:bottom w:val="single" w:sz="8" w:color="062B48"/>
            </w:tcBorders>
            <w:shd w:val="clear" w:color="auto" w:fill="062B48"/>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860" w:type="dxa"/>
            <w:vAlign w:val="bottom"/>
          </w:tcPr>
          <w:p>
            <w:pPr>
              <w:ind w:left="160"/>
              <w:spacing w:after="0" w:line="169" w:lineRule="exact"/>
              <w:rPr>
                <w:sz w:val="20"/>
                <w:szCs w:val="20"/>
                <w:color w:val="auto"/>
              </w:rPr>
            </w:pPr>
            <w:r>
              <w:rPr>
                <w:rFonts w:ascii="Calibri" w:cs="Calibri" w:eastAsia="Calibri" w:hAnsi="Calibri"/>
                <w:sz w:val="14"/>
                <w:szCs w:val="14"/>
                <w:color w:val="auto"/>
              </w:rPr>
              <w:t>Kate A.</w:t>
            </w:r>
          </w:p>
        </w:tc>
        <w:tc>
          <w:tcPr>
            <w:tcW w:w="16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Calibri" w:cs="Calibri" w:eastAsia="Calibri" w:hAnsi="Calibri"/>
                <w:sz w:val="14"/>
                <w:szCs w:val="14"/>
                <w:color w:val="auto"/>
              </w:rPr>
              <w:t>Annual Cash Incentve</w:t>
            </w:r>
          </w:p>
        </w:tc>
        <w:tc>
          <w:tcPr>
            <w:tcW w:w="2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171,875</w:t>
            </w:r>
          </w:p>
        </w:tc>
        <w:tc>
          <w:tcPr>
            <w:tcW w:w="2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343,750</w:t>
            </w:r>
          </w:p>
        </w:tc>
        <w:tc>
          <w:tcPr>
            <w:tcW w:w="3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515,625</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79"/>
        </w:trPr>
        <w:tc>
          <w:tcPr>
            <w:tcW w:w="860" w:type="dxa"/>
            <w:vAlign w:val="bottom"/>
            <w:vMerge w:val="restart"/>
          </w:tcPr>
          <w:p>
            <w:pPr>
              <w:ind w:left="160"/>
              <w:spacing w:after="0"/>
              <w:rPr>
                <w:sz w:val="20"/>
                <w:szCs w:val="20"/>
                <w:color w:val="auto"/>
              </w:rPr>
            </w:pPr>
            <w:r>
              <w:rPr>
                <w:rFonts w:ascii="Calibri" w:cs="Calibri" w:eastAsia="Calibri" w:hAnsi="Calibri"/>
                <w:sz w:val="14"/>
                <w:szCs w:val="14"/>
                <w:color w:val="auto"/>
              </w:rPr>
              <w:t>Lorenson</w:t>
            </w:r>
          </w:p>
        </w:tc>
        <w:tc>
          <w:tcPr>
            <w:tcW w:w="16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Time-Based RSUs</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000" w:type="dxa"/>
            <w:vAlign w:val="bottom"/>
            <w:gridSpan w:val="2"/>
            <w:vMerge w:val="restart"/>
          </w:tcPr>
          <w:p>
            <w:pPr>
              <w:jc w:val="right"/>
              <w:ind w:right="49"/>
              <w:spacing w:after="0"/>
              <w:rPr>
                <w:sz w:val="20"/>
                <w:szCs w:val="20"/>
                <w:color w:val="auto"/>
              </w:rPr>
            </w:pPr>
            <w:r>
              <w:rPr>
                <w:rFonts w:ascii="Calibri" w:cs="Calibri" w:eastAsia="Calibri" w:hAnsi="Calibri"/>
                <w:sz w:val="14"/>
                <w:szCs w:val="14"/>
                <w:color w:val="auto"/>
              </w:rPr>
              <w:t>8,479</w:t>
            </w: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175,000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Calibri" w:cs="Calibri" w:eastAsia="Calibri" w:hAnsi="Calibri"/>
                <w:sz w:val="14"/>
                <w:szCs w:val="14"/>
                <w:color w:val="auto"/>
              </w:rPr>
              <w:t>Performance-Based</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020" w:type="dxa"/>
            <w:vAlign w:val="bottom"/>
            <w:gridSpan w:val="2"/>
            <w:vMerge w:val="restart"/>
          </w:tcPr>
          <w:p>
            <w:pPr>
              <w:jc w:val="right"/>
              <w:ind w:right="69"/>
              <w:spacing w:after="0"/>
              <w:rPr>
                <w:sz w:val="20"/>
                <w:szCs w:val="20"/>
                <w:color w:val="auto"/>
              </w:rPr>
            </w:pPr>
            <w:r>
              <w:rPr>
                <w:rFonts w:ascii="Calibri" w:cs="Calibri" w:eastAsia="Calibri" w:hAnsi="Calibri"/>
                <w:sz w:val="14"/>
                <w:szCs w:val="14"/>
                <w:color w:val="auto"/>
              </w:rPr>
              <w:t>6,359</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12,718</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19,077</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262,500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RSUs</w:t>
            </w: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1AB2D2"/>
            </w:tcBorders>
          </w:tcPr>
          <w:p>
            <w:pPr>
              <w:spacing w:after="0"/>
              <w:rPr>
                <w:sz w:val="2"/>
                <w:szCs w:val="2"/>
                <w:color w:val="auto"/>
              </w:rPr>
            </w:pPr>
          </w:p>
        </w:tc>
        <w:tc>
          <w:tcPr>
            <w:tcW w:w="160" w:type="dxa"/>
            <w:vAlign w:val="bottom"/>
            <w:tcBorders>
              <w:bottom w:val="single" w:sz="8" w:color="1AB2D2"/>
            </w:tcBorders>
          </w:tcPr>
          <w:p>
            <w:pPr>
              <w:spacing w:after="0"/>
              <w:rPr>
                <w:sz w:val="2"/>
                <w:szCs w:val="2"/>
                <w:color w:val="auto"/>
              </w:rPr>
            </w:pPr>
          </w:p>
        </w:tc>
        <w:tc>
          <w:tcPr>
            <w:tcW w:w="124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86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62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860" w:type="dxa"/>
            <w:vAlign w:val="bottom"/>
            <w:tcBorders>
              <w:bottom w:val="single" w:sz="8" w:color="1AB2D2"/>
            </w:tcBorders>
          </w:tcPr>
          <w:p>
            <w:pPr>
              <w:spacing w:after="0"/>
              <w:rPr>
                <w:sz w:val="2"/>
                <w:szCs w:val="2"/>
                <w:color w:val="auto"/>
              </w:rPr>
            </w:pPr>
          </w:p>
        </w:tc>
        <w:tc>
          <w:tcPr>
            <w:tcW w:w="1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700" w:type="dxa"/>
            <w:vAlign w:val="bottom"/>
            <w:tcBorders>
              <w:bottom w:val="single" w:sz="8" w:color="1AB2D2"/>
            </w:tcBorders>
          </w:tcPr>
          <w:p>
            <w:pPr>
              <w:spacing w:after="0"/>
              <w:rPr>
                <w:sz w:val="2"/>
                <w:szCs w:val="2"/>
                <w:color w:val="auto"/>
              </w:rPr>
            </w:pPr>
          </w:p>
        </w:tc>
        <w:tc>
          <w:tcPr>
            <w:tcW w:w="1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60" w:type="dxa"/>
            <w:vAlign w:val="bottom"/>
          </w:tcPr>
          <w:p>
            <w:pPr>
              <w:ind w:left="160"/>
              <w:spacing w:after="0" w:line="162" w:lineRule="exact"/>
              <w:rPr>
                <w:sz w:val="20"/>
                <w:szCs w:val="20"/>
                <w:color w:val="auto"/>
              </w:rPr>
            </w:pPr>
            <w:r>
              <w:rPr>
                <w:rFonts w:ascii="Calibri" w:cs="Calibri" w:eastAsia="Calibri" w:hAnsi="Calibri"/>
                <w:sz w:val="14"/>
                <w:szCs w:val="14"/>
                <w:color w:val="auto"/>
              </w:rPr>
              <w:t>Alan A.</w:t>
            </w:r>
          </w:p>
        </w:tc>
        <w:tc>
          <w:tcPr>
            <w:tcW w:w="16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Calibri" w:cs="Calibri" w:eastAsia="Calibri" w:hAnsi="Calibri"/>
                <w:sz w:val="14"/>
                <w:szCs w:val="14"/>
                <w:color w:val="auto"/>
              </w:rPr>
              <w:t>Annual Cash Incentve</w:t>
            </w:r>
          </w:p>
        </w:tc>
        <w:tc>
          <w:tcPr>
            <w:tcW w:w="2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72,000</w:t>
            </w:r>
          </w:p>
        </w:tc>
        <w:tc>
          <w:tcPr>
            <w:tcW w:w="2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144,000</w:t>
            </w:r>
          </w:p>
        </w:tc>
        <w:tc>
          <w:tcPr>
            <w:tcW w:w="3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216,000</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79"/>
        </w:trPr>
        <w:tc>
          <w:tcPr>
            <w:tcW w:w="860" w:type="dxa"/>
            <w:vAlign w:val="bottom"/>
            <w:vMerge w:val="restart"/>
          </w:tcPr>
          <w:p>
            <w:pPr>
              <w:ind w:left="160"/>
              <w:spacing w:after="0"/>
              <w:rPr>
                <w:sz w:val="20"/>
                <w:szCs w:val="20"/>
                <w:color w:val="auto"/>
              </w:rPr>
            </w:pPr>
            <w:r>
              <w:rPr>
                <w:rFonts w:ascii="Calibri" w:cs="Calibri" w:eastAsia="Calibri" w:hAnsi="Calibri"/>
                <w:sz w:val="14"/>
                <w:szCs w:val="14"/>
                <w:color w:val="auto"/>
              </w:rPr>
              <w:t>Villalon</w:t>
            </w:r>
          </w:p>
        </w:tc>
        <w:tc>
          <w:tcPr>
            <w:tcW w:w="16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Time-Based RSUs</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000" w:type="dxa"/>
            <w:vAlign w:val="bottom"/>
            <w:gridSpan w:val="2"/>
            <w:vMerge w:val="restart"/>
          </w:tcPr>
          <w:p>
            <w:pPr>
              <w:jc w:val="right"/>
              <w:ind w:right="49"/>
              <w:spacing w:after="0"/>
              <w:rPr>
                <w:sz w:val="20"/>
                <w:szCs w:val="20"/>
                <w:color w:val="auto"/>
              </w:rPr>
            </w:pPr>
            <w:r>
              <w:rPr>
                <w:rFonts w:ascii="Calibri" w:cs="Calibri" w:eastAsia="Calibri" w:hAnsi="Calibri"/>
                <w:sz w:val="14"/>
                <w:szCs w:val="14"/>
                <w:color w:val="auto"/>
              </w:rPr>
              <w:t>3,140</w:t>
            </w: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64,800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Calibri" w:cs="Calibri" w:eastAsia="Calibri" w:hAnsi="Calibri"/>
                <w:sz w:val="14"/>
                <w:szCs w:val="14"/>
                <w:color w:val="auto"/>
              </w:rPr>
              <w:t>Performance-Based</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020" w:type="dxa"/>
            <w:vAlign w:val="bottom"/>
            <w:gridSpan w:val="2"/>
            <w:vMerge w:val="restart"/>
          </w:tcPr>
          <w:p>
            <w:pPr>
              <w:jc w:val="right"/>
              <w:ind w:right="69"/>
              <w:spacing w:after="0"/>
              <w:rPr>
                <w:sz w:val="20"/>
                <w:szCs w:val="20"/>
                <w:color w:val="auto"/>
              </w:rPr>
            </w:pPr>
            <w:r>
              <w:rPr>
                <w:rFonts w:ascii="Calibri" w:cs="Calibri" w:eastAsia="Calibri" w:hAnsi="Calibri"/>
                <w:sz w:val="14"/>
                <w:szCs w:val="14"/>
                <w:color w:val="auto"/>
              </w:rPr>
              <w:t>2,355</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4,709</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7,064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97,200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RSUs</w:t>
            </w: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3160" w:type="dxa"/>
            <w:vAlign w:val="bottom"/>
            <w:tcBorders>
              <w:bottom w:val="single" w:sz="8" w:color="1AB2D2"/>
            </w:tcBorders>
            <w:gridSpan w:val="4"/>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86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740" w:type="dxa"/>
            <w:vAlign w:val="bottom"/>
            <w:tcBorders>
              <w:bottom w:val="single" w:sz="8" w:color="1AB2D2"/>
            </w:tcBorders>
            <w:gridSpan w:val="2"/>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960" w:type="dxa"/>
            <w:vAlign w:val="bottom"/>
            <w:tcBorders>
              <w:bottom w:val="single" w:sz="8" w:color="1AB2D2"/>
            </w:tcBorders>
            <w:gridSpan w:val="2"/>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3160" w:type="dxa"/>
            <w:vAlign w:val="bottom"/>
            <w:gridSpan w:val="4"/>
          </w:tcPr>
          <w:p>
            <w:pPr>
              <w:ind w:left="160"/>
              <w:spacing w:after="0" w:line="162" w:lineRule="exact"/>
              <w:rPr>
                <w:sz w:val="20"/>
                <w:szCs w:val="20"/>
                <w:color w:val="auto"/>
              </w:rPr>
            </w:pPr>
            <w:r>
              <w:rPr>
                <w:rFonts w:ascii="Calibri" w:cs="Calibri" w:eastAsia="Calibri" w:hAnsi="Calibri"/>
                <w:sz w:val="14"/>
                <w:szCs w:val="14"/>
                <w:color w:val="auto"/>
              </w:rPr>
              <w:t>Jim R. Collins  Annual Cash Incentve</w:t>
            </w:r>
          </w:p>
        </w:tc>
        <w:tc>
          <w:tcPr>
            <w:tcW w:w="24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80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93,000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8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186,000</w:t>
            </w:r>
          </w:p>
        </w:tc>
        <w:tc>
          <w:tcPr>
            <w:tcW w:w="30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740" w:type="dxa"/>
            <w:vAlign w:val="bottom"/>
            <w:gridSpan w:val="2"/>
          </w:tcPr>
          <w:p>
            <w:pPr>
              <w:jc w:val="right"/>
              <w:ind w:right="120"/>
              <w:spacing w:after="0" w:line="162" w:lineRule="exact"/>
              <w:rPr>
                <w:sz w:val="20"/>
                <w:szCs w:val="20"/>
                <w:color w:val="auto"/>
              </w:rPr>
            </w:pPr>
            <w:r>
              <w:rPr>
                <w:rFonts w:ascii="Calibri" w:cs="Calibri" w:eastAsia="Calibri" w:hAnsi="Calibri"/>
                <w:sz w:val="14"/>
                <w:szCs w:val="14"/>
                <w:color w:val="auto"/>
              </w:rPr>
              <w:t>279,000</w:t>
            </w:r>
          </w:p>
        </w:tc>
        <w:tc>
          <w:tcPr>
            <w:tcW w:w="120" w:type="dxa"/>
            <w:vAlign w:val="bottom"/>
          </w:tcPr>
          <w:p>
            <w:pPr>
              <w:spacing w:after="0"/>
              <w:rPr>
                <w:sz w:val="14"/>
                <w:szCs w:val="14"/>
                <w:color w:val="auto"/>
              </w:rPr>
            </w:pPr>
          </w:p>
        </w:tc>
        <w:tc>
          <w:tcPr>
            <w:tcW w:w="900" w:type="dxa"/>
            <w:vAlign w:val="bottom"/>
          </w:tcPr>
          <w:p>
            <w:pPr>
              <w:jc w:val="right"/>
              <w:ind w:right="69"/>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960" w:type="dxa"/>
            <w:vAlign w:val="bottom"/>
            <w:gridSpan w:val="2"/>
          </w:tcPr>
          <w:p>
            <w:pPr>
              <w:jc w:val="right"/>
              <w:ind w:right="100"/>
              <w:spacing w:after="0" w:line="162" w:lineRule="exact"/>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88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line="162"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99"/>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Time-Based RSUs</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000" w:type="dxa"/>
            <w:vAlign w:val="bottom"/>
            <w:gridSpan w:val="2"/>
            <w:vMerge w:val="restart"/>
          </w:tcPr>
          <w:p>
            <w:pPr>
              <w:jc w:val="right"/>
              <w:ind w:right="49"/>
              <w:spacing w:after="0"/>
              <w:rPr>
                <w:sz w:val="20"/>
                <w:szCs w:val="20"/>
                <w:color w:val="auto"/>
              </w:rPr>
            </w:pPr>
            <w:r>
              <w:rPr>
                <w:rFonts w:ascii="Calibri" w:cs="Calibri" w:eastAsia="Calibri" w:hAnsi="Calibri"/>
                <w:sz w:val="14"/>
                <w:szCs w:val="14"/>
                <w:color w:val="auto"/>
              </w:rPr>
              <w:t>3,605</w:t>
            </w: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74,400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Calibri" w:cs="Calibri" w:eastAsia="Calibri" w:hAnsi="Calibri"/>
                <w:sz w:val="14"/>
                <w:szCs w:val="14"/>
                <w:color w:val="auto"/>
              </w:rPr>
              <w:t>Performance-Based</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020" w:type="dxa"/>
            <w:vAlign w:val="bottom"/>
            <w:gridSpan w:val="2"/>
            <w:vMerge w:val="restart"/>
          </w:tcPr>
          <w:p>
            <w:pPr>
              <w:jc w:val="right"/>
              <w:ind w:right="69"/>
              <w:spacing w:after="0"/>
              <w:rPr>
                <w:sz w:val="20"/>
                <w:szCs w:val="20"/>
                <w:color w:val="auto"/>
              </w:rPr>
            </w:pPr>
            <w:r>
              <w:rPr>
                <w:rFonts w:ascii="Calibri" w:cs="Calibri" w:eastAsia="Calibri" w:hAnsi="Calibri"/>
                <w:sz w:val="14"/>
                <w:szCs w:val="14"/>
                <w:color w:val="auto"/>
              </w:rPr>
              <w:t>2,704</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5,407</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8,111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111,600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RSUs</w:t>
            </w: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1AB2D2"/>
            </w:tcBorders>
          </w:tcPr>
          <w:p>
            <w:pPr>
              <w:spacing w:after="0"/>
              <w:rPr>
                <w:sz w:val="2"/>
                <w:szCs w:val="2"/>
                <w:color w:val="auto"/>
              </w:rPr>
            </w:pPr>
          </w:p>
        </w:tc>
        <w:tc>
          <w:tcPr>
            <w:tcW w:w="160" w:type="dxa"/>
            <w:vAlign w:val="bottom"/>
            <w:tcBorders>
              <w:bottom w:val="single" w:sz="8" w:color="1AB2D2"/>
            </w:tcBorders>
          </w:tcPr>
          <w:p>
            <w:pPr>
              <w:spacing w:after="0"/>
              <w:rPr>
                <w:sz w:val="2"/>
                <w:szCs w:val="2"/>
                <w:color w:val="auto"/>
              </w:rPr>
            </w:pPr>
          </w:p>
        </w:tc>
        <w:tc>
          <w:tcPr>
            <w:tcW w:w="124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86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62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860" w:type="dxa"/>
            <w:vAlign w:val="bottom"/>
            <w:tcBorders>
              <w:bottom w:val="single" w:sz="8" w:color="1AB2D2"/>
            </w:tcBorders>
          </w:tcPr>
          <w:p>
            <w:pPr>
              <w:spacing w:after="0"/>
              <w:rPr>
                <w:sz w:val="2"/>
                <w:szCs w:val="2"/>
                <w:color w:val="auto"/>
              </w:rPr>
            </w:pPr>
          </w:p>
        </w:tc>
        <w:tc>
          <w:tcPr>
            <w:tcW w:w="1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700" w:type="dxa"/>
            <w:vAlign w:val="bottom"/>
            <w:tcBorders>
              <w:bottom w:val="single" w:sz="8" w:color="1AB2D2"/>
            </w:tcBorders>
          </w:tcPr>
          <w:p>
            <w:pPr>
              <w:spacing w:after="0"/>
              <w:rPr>
                <w:sz w:val="2"/>
                <w:szCs w:val="2"/>
                <w:color w:val="auto"/>
              </w:rPr>
            </w:pPr>
          </w:p>
        </w:tc>
        <w:tc>
          <w:tcPr>
            <w:tcW w:w="1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60" w:type="dxa"/>
            <w:vAlign w:val="bottom"/>
          </w:tcPr>
          <w:p>
            <w:pPr>
              <w:ind w:left="160"/>
              <w:spacing w:after="0" w:line="162" w:lineRule="exact"/>
              <w:rPr>
                <w:sz w:val="20"/>
                <w:szCs w:val="20"/>
                <w:color w:val="auto"/>
              </w:rPr>
            </w:pPr>
            <w:r>
              <w:rPr>
                <w:rFonts w:ascii="Calibri" w:cs="Calibri" w:eastAsia="Calibri" w:hAnsi="Calibri"/>
                <w:sz w:val="14"/>
                <w:szCs w:val="14"/>
                <w:color w:val="auto"/>
              </w:rPr>
              <w:t>Karin M.</w:t>
            </w:r>
          </w:p>
        </w:tc>
        <w:tc>
          <w:tcPr>
            <w:tcW w:w="16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Calibri" w:cs="Calibri" w:eastAsia="Calibri" w:hAnsi="Calibri"/>
                <w:sz w:val="14"/>
                <w:szCs w:val="14"/>
                <w:color w:val="auto"/>
              </w:rPr>
              <w:t>Annual Cash Incentve</w:t>
            </w:r>
          </w:p>
        </w:tc>
        <w:tc>
          <w:tcPr>
            <w:tcW w:w="2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81,000</w:t>
            </w:r>
          </w:p>
        </w:tc>
        <w:tc>
          <w:tcPr>
            <w:tcW w:w="2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162,000</w:t>
            </w:r>
          </w:p>
        </w:tc>
        <w:tc>
          <w:tcPr>
            <w:tcW w:w="3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243,000</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79"/>
        </w:trPr>
        <w:tc>
          <w:tcPr>
            <w:tcW w:w="860" w:type="dxa"/>
            <w:vAlign w:val="bottom"/>
            <w:vMerge w:val="restart"/>
          </w:tcPr>
          <w:p>
            <w:pPr>
              <w:ind w:left="160"/>
              <w:spacing w:after="0"/>
              <w:rPr>
                <w:sz w:val="20"/>
                <w:szCs w:val="20"/>
                <w:color w:val="auto"/>
              </w:rPr>
            </w:pPr>
            <w:r>
              <w:rPr>
                <w:rFonts w:ascii="Calibri" w:cs="Calibri" w:eastAsia="Calibri" w:hAnsi="Calibri"/>
                <w:sz w:val="14"/>
                <w:szCs w:val="14"/>
                <w:color w:val="auto"/>
              </w:rPr>
              <w:t>Taylor</w:t>
            </w:r>
          </w:p>
        </w:tc>
        <w:tc>
          <w:tcPr>
            <w:tcW w:w="16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Time-Based RSUs</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000" w:type="dxa"/>
            <w:vAlign w:val="bottom"/>
            <w:gridSpan w:val="2"/>
            <w:vMerge w:val="restart"/>
          </w:tcPr>
          <w:p>
            <w:pPr>
              <w:jc w:val="right"/>
              <w:ind w:right="49"/>
              <w:spacing w:after="0"/>
              <w:rPr>
                <w:sz w:val="20"/>
                <w:szCs w:val="20"/>
                <w:color w:val="auto"/>
              </w:rPr>
            </w:pPr>
            <w:r>
              <w:rPr>
                <w:rFonts w:ascii="Calibri" w:cs="Calibri" w:eastAsia="Calibri" w:hAnsi="Calibri"/>
                <w:sz w:val="14"/>
                <w:szCs w:val="14"/>
                <w:color w:val="auto"/>
              </w:rPr>
              <w:t>3,140</w:t>
            </w: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64,800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Calibri" w:cs="Calibri" w:eastAsia="Calibri" w:hAnsi="Calibri"/>
                <w:sz w:val="14"/>
                <w:szCs w:val="14"/>
                <w:color w:val="auto"/>
              </w:rPr>
              <w:t>Performance-Based</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020" w:type="dxa"/>
            <w:vAlign w:val="bottom"/>
            <w:gridSpan w:val="2"/>
            <w:vMerge w:val="restart"/>
          </w:tcPr>
          <w:p>
            <w:pPr>
              <w:jc w:val="right"/>
              <w:ind w:right="69"/>
              <w:spacing w:after="0"/>
              <w:rPr>
                <w:sz w:val="20"/>
                <w:szCs w:val="20"/>
                <w:color w:val="auto"/>
              </w:rPr>
            </w:pPr>
            <w:r>
              <w:rPr>
                <w:rFonts w:ascii="Calibri" w:cs="Calibri" w:eastAsia="Calibri" w:hAnsi="Calibri"/>
                <w:sz w:val="14"/>
                <w:szCs w:val="14"/>
                <w:color w:val="auto"/>
              </w:rPr>
              <w:t>2,355</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4,709</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7,064</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97,200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RSUs</w:t>
            </w: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860" w:type="dxa"/>
            <w:vAlign w:val="bottom"/>
            <w:tcBorders>
              <w:bottom w:val="single" w:sz="8" w:color="1AB2D2"/>
            </w:tcBorders>
          </w:tcPr>
          <w:p>
            <w:pPr>
              <w:spacing w:after="0"/>
              <w:rPr>
                <w:sz w:val="2"/>
                <w:szCs w:val="2"/>
                <w:color w:val="auto"/>
              </w:rPr>
            </w:pPr>
          </w:p>
        </w:tc>
        <w:tc>
          <w:tcPr>
            <w:tcW w:w="160" w:type="dxa"/>
            <w:vAlign w:val="bottom"/>
            <w:tcBorders>
              <w:bottom w:val="single" w:sz="8" w:color="1AB2D2"/>
            </w:tcBorders>
          </w:tcPr>
          <w:p>
            <w:pPr>
              <w:spacing w:after="0"/>
              <w:rPr>
                <w:sz w:val="2"/>
                <w:szCs w:val="2"/>
                <w:color w:val="auto"/>
              </w:rPr>
            </w:pPr>
          </w:p>
        </w:tc>
        <w:tc>
          <w:tcPr>
            <w:tcW w:w="124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8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860" w:type="dxa"/>
            <w:vAlign w:val="bottom"/>
            <w:tcBorders>
              <w:bottom w:val="single" w:sz="8" w:color="1AB2D2"/>
            </w:tcBorders>
          </w:tcPr>
          <w:p>
            <w:pPr>
              <w:spacing w:after="0"/>
              <w:rPr>
                <w:sz w:val="2"/>
                <w:szCs w:val="2"/>
                <w:color w:val="auto"/>
              </w:rPr>
            </w:pPr>
          </w:p>
        </w:tc>
        <w:tc>
          <w:tcPr>
            <w:tcW w:w="300" w:type="dxa"/>
            <w:vAlign w:val="bottom"/>
            <w:tcBorders>
              <w:bottom w:val="single" w:sz="8" w:color="1AB2D2"/>
            </w:tcBorders>
          </w:tcPr>
          <w:p>
            <w:pPr>
              <w:spacing w:after="0"/>
              <w:rPr>
                <w:sz w:val="2"/>
                <w:szCs w:val="2"/>
                <w:color w:val="auto"/>
              </w:rPr>
            </w:pPr>
          </w:p>
        </w:tc>
        <w:tc>
          <w:tcPr>
            <w:tcW w:w="62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90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860" w:type="dxa"/>
            <w:vAlign w:val="bottom"/>
            <w:tcBorders>
              <w:bottom w:val="single" w:sz="8" w:color="1AB2D2"/>
            </w:tcBorders>
          </w:tcPr>
          <w:p>
            <w:pPr>
              <w:spacing w:after="0"/>
              <w:rPr>
                <w:sz w:val="2"/>
                <w:szCs w:val="2"/>
                <w:color w:val="auto"/>
              </w:rPr>
            </w:pPr>
          </w:p>
        </w:tc>
        <w:tc>
          <w:tcPr>
            <w:tcW w:w="100" w:type="dxa"/>
            <w:vAlign w:val="bottom"/>
            <w:tcBorders>
              <w:bottom w:val="single" w:sz="8" w:color="1AB2D2"/>
            </w:tcBorders>
          </w:tcPr>
          <w:p>
            <w:pPr>
              <w:spacing w:after="0"/>
              <w:rPr>
                <w:sz w:val="2"/>
                <w:szCs w:val="2"/>
                <w:color w:val="auto"/>
              </w:rPr>
            </w:pPr>
          </w:p>
        </w:tc>
        <w:tc>
          <w:tcPr>
            <w:tcW w:w="120" w:type="dxa"/>
            <w:vAlign w:val="bottom"/>
            <w:tcBorders>
              <w:bottom w:val="single" w:sz="8" w:color="1AB2D2"/>
            </w:tcBorders>
          </w:tcPr>
          <w:p>
            <w:pPr>
              <w:spacing w:after="0"/>
              <w:rPr>
                <w:sz w:val="2"/>
                <w:szCs w:val="2"/>
                <w:color w:val="auto"/>
              </w:rPr>
            </w:pPr>
          </w:p>
        </w:tc>
        <w:tc>
          <w:tcPr>
            <w:tcW w:w="880" w:type="dxa"/>
            <w:vAlign w:val="bottom"/>
            <w:tcBorders>
              <w:bottom w:val="single" w:sz="8" w:color="1AB2D2"/>
            </w:tcBorders>
          </w:tcPr>
          <w:p>
            <w:pPr>
              <w:spacing w:after="0"/>
              <w:rPr>
                <w:sz w:val="2"/>
                <w:szCs w:val="2"/>
                <w:color w:val="auto"/>
              </w:rPr>
            </w:pPr>
          </w:p>
        </w:tc>
        <w:tc>
          <w:tcPr>
            <w:tcW w:w="180" w:type="dxa"/>
            <w:vAlign w:val="bottom"/>
            <w:tcBorders>
              <w:bottom w:val="single" w:sz="8" w:color="1AB2D2"/>
            </w:tcBorders>
          </w:tcPr>
          <w:p>
            <w:pPr>
              <w:spacing w:after="0"/>
              <w:rPr>
                <w:sz w:val="2"/>
                <w:szCs w:val="2"/>
                <w:color w:val="auto"/>
              </w:rPr>
            </w:pPr>
          </w:p>
        </w:tc>
        <w:tc>
          <w:tcPr>
            <w:tcW w:w="700" w:type="dxa"/>
            <w:vAlign w:val="bottom"/>
            <w:tcBorders>
              <w:bottom w:val="single" w:sz="8" w:color="1AB2D2"/>
            </w:tcBorders>
          </w:tcPr>
          <w:p>
            <w:pPr>
              <w:spacing w:after="0"/>
              <w:rPr>
                <w:sz w:val="2"/>
                <w:szCs w:val="2"/>
                <w:color w:val="auto"/>
              </w:rPr>
            </w:pPr>
          </w:p>
        </w:tc>
        <w:tc>
          <w:tcPr>
            <w:tcW w:w="10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860" w:type="dxa"/>
            <w:vAlign w:val="bottom"/>
          </w:tcPr>
          <w:p>
            <w:pPr>
              <w:ind w:left="160"/>
              <w:spacing w:after="0" w:line="162" w:lineRule="exact"/>
              <w:rPr>
                <w:sz w:val="20"/>
                <w:szCs w:val="20"/>
                <w:color w:val="auto"/>
              </w:rPr>
            </w:pPr>
            <w:r>
              <w:rPr>
                <w:rFonts w:ascii="Calibri" w:cs="Calibri" w:eastAsia="Calibri" w:hAnsi="Calibri"/>
                <w:sz w:val="14"/>
                <w:szCs w:val="14"/>
                <w:color w:val="auto"/>
              </w:rPr>
              <w:t>Forrest R.</w:t>
            </w:r>
          </w:p>
        </w:tc>
        <w:tc>
          <w:tcPr>
            <w:tcW w:w="160" w:type="dxa"/>
            <w:vAlign w:val="bottom"/>
          </w:tcPr>
          <w:p>
            <w:pPr>
              <w:spacing w:after="0"/>
              <w:rPr>
                <w:sz w:val="14"/>
                <w:szCs w:val="14"/>
                <w:color w:val="auto"/>
              </w:rPr>
            </w:pPr>
          </w:p>
        </w:tc>
        <w:tc>
          <w:tcPr>
            <w:tcW w:w="2140" w:type="dxa"/>
            <w:vAlign w:val="bottom"/>
            <w:gridSpan w:val="2"/>
            <w:vMerge w:val="restart"/>
          </w:tcPr>
          <w:p>
            <w:pPr>
              <w:spacing w:after="0"/>
              <w:rPr>
                <w:sz w:val="20"/>
                <w:szCs w:val="20"/>
                <w:color w:val="auto"/>
              </w:rPr>
            </w:pPr>
            <w:r>
              <w:rPr>
                <w:rFonts w:ascii="Calibri" w:cs="Calibri" w:eastAsia="Calibri" w:hAnsi="Calibri"/>
                <w:sz w:val="14"/>
                <w:szCs w:val="14"/>
                <w:color w:val="auto"/>
              </w:rPr>
              <w:t>Annual Cash Incentve</w:t>
            </w:r>
          </w:p>
        </w:tc>
        <w:tc>
          <w:tcPr>
            <w:tcW w:w="24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78,000</w:t>
            </w:r>
          </w:p>
        </w:tc>
        <w:tc>
          <w:tcPr>
            <w:tcW w:w="200" w:type="dxa"/>
            <w:vAlign w:val="bottom"/>
            <w:vMerge w:val="restart"/>
          </w:tcPr>
          <w:p>
            <w:pPr>
              <w:jc w:val="right"/>
              <w:spacing w:after="0"/>
              <w:rPr>
                <w:sz w:val="20"/>
                <w:szCs w:val="20"/>
                <w:color w:val="auto"/>
              </w:rPr>
            </w:pPr>
            <w:r>
              <w:rPr>
                <w:rFonts w:ascii="Calibri" w:cs="Calibri" w:eastAsia="Calibri" w:hAnsi="Calibri"/>
                <w:sz w:val="14"/>
                <w:szCs w:val="14"/>
                <w:color w:val="auto"/>
              </w:rPr>
              <w:t>$</w:t>
            </w: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156,000</w:t>
            </w:r>
          </w:p>
        </w:tc>
        <w:tc>
          <w:tcPr>
            <w:tcW w:w="3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234,000</w:t>
            </w:r>
          </w:p>
        </w:tc>
        <w:tc>
          <w:tcPr>
            <w:tcW w:w="120" w:type="dxa"/>
            <w:vAlign w:val="bottom"/>
          </w:tcPr>
          <w:p>
            <w:pPr>
              <w:spacing w:after="0"/>
              <w:rPr>
                <w:sz w:val="14"/>
                <w:szCs w:val="14"/>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4"/>
                <w:szCs w:val="14"/>
                <w:color w:val="auto"/>
              </w:rPr>
            </w:pPr>
          </w:p>
        </w:tc>
        <w:tc>
          <w:tcPr>
            <w:tcW w:w="8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180" w:type="dxa"/>
            <w:vAlign w:val="bottom"/>
          </w:tcPr>
          <w:p>
            <w:pPr>
              <w:spacing w:after="0"/>
              <w:rPr>
                <w:sz w:val="14"/>
                <w:szCs w:val="14"/>
                <w:color w:val="auto"/>
              </w:rPr>
            </w:pP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79"/>
        </w:trPr>
        <w:tc>
          <w:tcPr>
            <w:tcW w:w="860" w:type="dxa"/>
            <w:vAlign w:val="bottom"/>
            <w:vMerge w:val="restart"/>
          </w:tcPr>
          <w:p>
            <w:pPr>
              <w:ind w:left="160"/>
              <w:spacing w:after="0"/>
              <w:rPr>
                <w:sz w:val="20"/>
                <w:szCs w:val="20"/>
                <w:color w:val="auto"/>
              </w:rPr>
            </w:pPr>
            <w:r>
              <w:rPr>
                <w:rFonts w:ascii="Calibri" w:cs="Calibri" w:eastAsia="Calibri" w:hAnsi="Calibri"/>
                <w:sz w:val="14"/>
                <w:szCs w:val="14"/>
                <w:color w:val="auto"/>
              </w:rPr>
              <w:t>Wilson</w:t>
            </w:r>
          </w:p>
        </w:tc>
        <w:tc>
          <w:tcPr>
            <w:tcW w:w="160" w:type="dxa"/>
            <w:vAlign w:val="bottom"/>
          </w:tcPr>
          <w:p>
            <w:pPr>
              <w:spacing w:after="0"/>
              <w:rPr>
                <w:sz w:val="6"/>
                <w:szCs w:val="6"/>
                <w:color w:val="auto"/>
              </w:rPr>
            </w:pPr>
          </w:p>
        </w:tc>
        <w:tc>
          <w:tcPr>
            <w:tcW w:w="2140" w:type="dxa"/>
            <w:vAlign w:val="bottom"/>
            <w:gridSpan w:val="2"/>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Time-Based RSUs</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20" w:type="dxa"/>
            <w:vAlign w:val="bottom"/>
          </w:tcPr>
          <w:p>
            <w:pPr>
              <w:spacing w:after="0"/>
              <w:rPr>
                <w:sz w:val="17"/>
                <w:szCs w:val="17"/>
                <w:color w:val="auto"/>
              </w:rPr>
            </w:pPr>
          </w:p>
        </w:tc>
        <w:tc>
          <w:tcPr>
            <w:tcW w:w="900" w:type="dxa"/>
            <w:vAlign w:val="bottom"/>
            <w:vMerge w:val="restart"/>
          </w:tcPr>
          <w:p>
            <w:pPr>
              <w:jc w:val="right"/>
              <w:ind w:right="69"/>
              <w:spacing w:after="0"/>
              <w:rPr>
                <w:sz w:val="20"/>
                <w:szCs w:val="20"/>
                <w:color w:val="auto"/>
              </w:rPr>
            </w:pPr>
            <w:r>
              <w:rPr>
                <w:rFonts w:ascii="Calibri" w:cs="Calibri" w:eastAsia="Calibri" w:hAnsi="Calibri"/>
                <w:sz w:val="14"/>
                <w:szCs w:val="14"/>
                <w:color w:val="auto"/>
              </w:rPr>
              <w:t>—</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w:t>
            </w:r>
          </w:p>
        </w:tc>
        <w:tc>
          <w:tcPr>
            <w:tcW w:w="1000" w:type="dxa"/>
            <w:vAlign w:val="bottom"/>
            <w:gridSpan w:val="2"/>
            <w:vMerge w:val="restart"/>
          </w:tcPr>
          <w:p>
            <w:pPr>
              <w:jc w:val="right"/>
              <w:ind w:right="49"/>
              <w:spacing w:after="0"/>
              <w:rPr>
                <w:sz w:val="20"/>
                <w:szCs w:val="20"/>
                <w:color w:val="auto"/>
              </w:rPr>
            </w:pPr>
            <w:r>
              <w:rPr>
                <w:rFonts w:ascii="Calibri" w:cs="Calibri" w:eastAsia="Calibri" w:hAnsi="Calibri"/>
                <w:sz w:val="14"/>
                <w:szCs w:val="14"/>
                <w:color w:val="auto"/>
              </w:rPr>
              <w:t>3,023</w:t>
            </w: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62,400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20"/>
                <w:szCs w:val="20"/>
                <w:color w:val="auto"/>
              </w:rPr>
            </w:pPr>
            <w:r>
              <w:rPr>
                <w:rFonts w:ascii="Calibri" w:cs="Calibri" w:eastAsia="Calibri" w:hAnsi="Calibri"/>
                <w:sz w:val="14"/>
                <w:szCs w:val="14"/>
                <w:color w:val="auto"/>
              </w:rPr>
              <w:t>Performance-Based</w:t>
            </w:r>
          </w:p>
        </w:tc>
        <w:tc>
          <w:tcPr>
            <w:tcW w:w="900" w:type="dxa"/>
            <w:vAlign w:val="bottom"/>
          </w:tcPr>
          <w:p>
            <w:pPr>
              <w:spacing w:after="0"/>
              <w:rPr>
                <w:sz w:val="20"/>
                <w:szCs w:val="20"/>
                <w:color w:val="auto"/>
              </w:rPr>
            </w:pPr>
            <w:r>
              <w:rPr>
                <w:rFonts w:ascii="Calibri" w:cs="Calibri" w:eastAsia="Calibri" w:hAnsi="Calibri"/>
                <w:sz w:val="14"/>
                <w:szCs w:val="14"/>
                <w:color w:val="auto"/>
              </w:rPr>
              <w:t>February 25,</w:t>
            </w:r>
          </w:p>
        </w:tc>
        <w:tc>
          <w:tcPr>
            <w:tcW w:w="240" w:type="dxa"/>
            <w:vAlign w:val="bottom"/>
          </w:tcPr>
          <w:p>
            <w:pPr>
              <w:spacing w:after="0"/>
              <w:rPr>
                <w:sz w:val="17"/>
                <w:szCs w:val="17"/>
                <w:color w:val="auto"/>
              </w:rPr>
            </w:pPr>
          </w:p>
        </w:tc>
        <w:tc>
          <w:tcPr>
            <w:tcW w:w="80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200" w:type="dxa"/>
            <w:vAlign w:val="bottom"/>
          </w:tcPr>
          <w:p>
            <w:pPr>
              <w:spacing w:after="0"/>
              <w:rPr>
                <w:sz w:val="17"/>
                <w:szCs w:val="17"/>
                <w:color w:val="auto"/>
              </w:rPr>
            </w:pPr>
          </w:p>
        </w:tc>
        <w:tc>
          <w:tcPr>
            <w:tcW w:w="86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w:t>
            </w:r>
          </w:p>
        </w:tc>
        <w:tc>
          <w:tcPr>
            <w:tcW w:w="300" w:type="dxa"/>
            <w:vAlign w:val="bottom"/>
          </w:tcPr>
          <w:p>
            <w:pPr>
              <w:spacing w:after="0"/>
              <w:rPr>
                <w:sz w:val="17"/>
                <w:szCs w:val="17"/>
                <w:color w:val="auto"/>
              </w:rPr>
            </w:pPr>
          </w:p>
        </w:tc>
        <w:tc>
          <w:tcPr>
            <w:tcW w:w="740" w:type="dxa"/>
            <w:vAlign w:val="bottom"/>
            <w:gridSpan w:val="2"/>
            <w:vMerge w:val="restart"/>
          </w:tcPr>
          <w:p>
            <w:pPr>
              <w:jc w:val="right"/>
              <w:ind w:right="120"/>
              <w:spacing w:after="0"/>
              <w:rPr>
                <w:sz w:val="20"/>
                <w:szCs w:val="20"/>
                <w:color w:val="auto"/>
              </w:rPr>
            </w:pPr>
            <w:r>
              <w:rPr>
                <w:rFonts w:ascii="Calibri" w:cs="Calibri" w:eastAsia="Calibri" w:hAnsi="Calibri"/>
                <w:sz w:val="14"/>
                <w:szCs w:val="14"/>
                <w:color w:val="auto"/>
              </w:rPr>
              <w:t>—</w:t>
            </w:r>
          </w:p>
        </w:tc>
        <w:tc>
          <w:tcPr>
            <w:tcW w:w="1020" w:type="dxa"/>
            <w:vAlign w:val="bottom"/>
            <w:gridSpan w:val="2"/>
            <w:vMerge w:val="restart"/>
          </w:tcPr>
          <w:p>
            <w:pPr>
              <w:jc w:val="right"/>
              <w:ind w:right="69"/>
              <w:spacing w:after="0"/>
              <w:rPr>
                <w:sz w:val="20"/>
                <w:szCs w:val="20"/>
                <w:color w:val="auto"/>
              </w:rPr>
            </w:pPr>
            <w:r>
              <w:rPr>
                <w:rFonts w:ascii="Calibri" w:cs="Calibri" w:eastAsia="Calibri" w:hAnsi="Calibri"/>
                <w:sz w:val="14"/>
                <w:szCs w:val="14"/>
                <w:color w:val="auto"/>
              </w:rPr>
              <w:t>2,268</w:t>
            </w:r>
          </w:p>
        </w:tc>
        <w:tc>
          <w:tcPr>
            <w:tcW w:w="980" w:type="dxa"/>
            <w:vAlign w:val="bottom"/>
            <w:vMerge w:val="restart"/>
          </w:tcPr>
          <w:p>
            <w:pPr>
              <w:jc w:val="right"/>
              <w:ind w:right="49"/>
              <w:spacing w:after="0"/>
              <w:rPr>
                <w:sz w:val="20"/>
                <w:szCs w:val="20"/>
                <w:color w:val="auto"/>
              </w:rPr>
            </w:pPr>
            <w:r>
              <w:rPr>
                <w:rFonts w:ascii="Calibri" w:cs="Calibri" w:eastAsia="Calibri" w:hAnsi="Calibri"/>
                <w:sz w:val="14"/>
                <w:szCs w:val="14"/>
                <w:color w:val="auto"/>
              </w:rPr>
              <w:t>4,535</w:t>
            </w:r>
          </w:p>
        </w:tc>
        <w:tc>
          <w:tcPr>
            <w:tcW w:w="96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6,803</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vMerge w:val="restart"/>
          </w:tcPr>
          <w:p>
            <w:pPr>
              <w:ind w:left="100"/>
              <w:spacing w:after="0"/>
              <w:rPr>
                <w:sz w:val="20"/>
                <w:szCs w:val="20"/>
                <w:color w:val="auto"/>
              </w:rPr>
            </w:pPr>
            <w:r>
              <w:rPr>
                <w:rFonts w:ascii="Calibri" w:cs="Calibri" w:eastAsia="Calibri" w:hAnsi="Calibri"/>
                <w:sz w:val="14"/>
                <w:szCs w:val="14"/>
                <w:color w:val="auto"/>
                <w:w w:val="83"/>
              </w:rPr>
              <w:t>$</w:t>
            </w:r>
          </w:p>
        </w:tc>
        <w:tc>
          <w:tcPr>
            <w:tcW w:w="800" w:type="dxa"/>
            <w:vAlign w:val="bottom"/>
            <w:gridSpan w:val="2"/>
            <w:vMerge w:val="restart"/>
          </w:tcPr>
          <w:p>
            <w:pPr>
              <w:jc w:val="right"/>
              <w:ind w:right="100"/>
              <w:spacing w:after="0"/>
              <w:rPr>
                <w:sz w:val="20"/>
                <w:szCs w:val="20"/>
                <w:color w:val="auto"/>
              </w:rPr>
            </w:pPr>
            <w:r>
              <w:rPr>
                <w:rFonts w:ascii="Calibri" w:cs="Calibri" w:eastAsia="Calibri" w:hAnsi="Calibri"/>
                <w:sz w:val="14"/>
                <w:szCs w:val="14"/>
                <w:color w:val="auto"/>
              </w:rPr>
              <w:t>93,600</w:t>
            </w:r>
          </w:p>
        </w:tc>
        <w:tc>
          <w:tcPr>
            <w:tcW w:w="0" w:type="dxa"/>
            <w:vAlign w:val="bottom"/>
          </w:tcPr>
          <w:p>
            <w:pPr>
              <w:spacing w:after="0"/>
              <w:rPr>
                <w:sz w:val="1"/>
                <w:szCs w:val="1"/>
                <w:color w:val="auto"/>
              </w:rPr>
            </w:pPr>
          </w:p>
        </w:tc>
      </w:tr>
      <w:tr>
        <w:trPr>
          <w:trHeight w:val="80"/>
        </w:trPr>
        <w:tc>
          <w:tcPr>
            <w:tcW w:w="8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40" w:type="dxa"/>
            <w:vAlign w:val="bottom"/>
            <w:vMerge w:val="restart"/>
          </w:tcPr>
          <w:p>
            <w:pPr>
              <w:spacing w:after="0"/>
              <w:rPr>
                <w:sz w:val="20"/>
                <w:szCs w:val="20"/>
                <w:color w:val="auto"/>
              </w:rPr>
            </w:pPr>
            <w:r>
              <w:rPr>
                <w:rFonts w:ascii="Calibri" w:cs="Calibri" w:eastAsia="Calibri" w:hAnsi="Calibri"/>
                <w:sz w:val="14"/>
                <w:szCs w:val="14"/>
                <w:color w:val="auto"/>
              </w:rPr>
              <w:t>RSUs</w:t>
            </w:r>
          </w:p>
        </w:tc>
        <w:tc>
          <w:tcPr>
            <w:tcW w:w="900" w:type="dxa"/>
            <w:vAlign w:val="bottom"/>
            <w:vMerge w:val="restart"/>
          </w:tcPr>
          <w:p>
            <w:pPr>
              <w:spacing w:after="0"/>
              <w:rPr>
                <w:sz w:val="20"/>
                <w:szCs w:val="20"/>
                <w:color w:val="auto"/>
              </w:rPr>
            </w:pPr>
            <w:r>
              <w:rPr>
                <w:rFonts w:ascii="Calibri" w:cs="Calibri" w:eastAsia="Calibri" w:hAnsi="Calibri"/>
                <w:sz w:val="14"/>
                <w:szCs w:val="14"/>
                <w:color w:val="auto"/>
              </w:rPr>
              <w:t>2025</w:t>
            </w: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6"/>
        </w:trPr>
        <w:tc>
          <w:tcPr>
            <w:tcW w:w="860" w:type="dxa"/>
            <w:vAlign w:val="bottom"/>
          </w:tcPr>
          <w:p>
            <w:pPr>
              <w:spacing w:after="0"/>
              <w:rPr>
                <w:sz w:val="24"/>
                <w:szCs w:val="24"/>
                <w:color w:val="auto"/>
              </w:rPr>
            </w:pPr>
          </w:p>
        </w:tc>
        <w:tc>
          <w:tcPr>
            <w:tcW w:w="1400" w:type="dxa"/>
            <w:vAlign w:val="bottom"/>
            <w:gridSpan w:val="2"/>
          </w:tcPr>
          <w:p>
            <w:pPr>
              <w:ind w:left="140"/>
              <w:spacing w:after="0"/>
              <w:rPr>
                <w:sz w:val="20"/>
                <w:szCs w:val="20"/>
                <w:color w:val="auto"/>
              </w:rPr>
            </w:pPr>
            <w:r>
              <w:rPr>
                <w:rFonts w:ascii="Arial" w:cs="Arial" w:eastAsia="Arial" w:hAnsi="Arial"/>
                <w:sz w:val="12"/>
                <w:szCs w:val="12"/>
                <w:color w:val="auto"/>
              </w:rPr>
              <w:t>2026 Proxy Statement</w:t>
            </w: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2"/>
                <w:szCs w:val="12"/>
                <w:color w:val="auto"/>
              </w:rPr>
              <w:t>31</w:t>
            </w:r>
          </w:p>
        </w:tc>
        <w:tc>
          <w:tcPr>
            <w:tcW w:w="0" w:type="dxa"/>
            <w:vAlign w:val="bottom"/>
          </w:tcPr>
          <w:p>
            <w:pPr>
              <w:spacing w:after="0"/>
              <w:rPr>
                <w:sz w:val="1"/>
                <w:szCs w:val="1"/>
                <w:color w:val="auto"/>
              </w:rPr>
            </w:pPr>
          </w:p>
        </w:tc>
      </w:tr>
      <w:tr>
        <w:trPr>
          <w:trHeight w:val="340"/>
        </w:trPr>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2088515</wp:posOffset>
            </wp:positionH>
            <wp:positionV relativeFrom="paragraph">
              <wp:posOffset>-4658995</wp:posOffset>
            </wp:positionV>
            <wp:extent cx="49815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8157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-372110</wp:posOffset>
            </wp:positionV>
            <wp:extent cx="593090" cy="1187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ectPr>
          <w:pgSz w:w="11900" w:h="16838" w:orient="portrait"/>
          <w:cols w:equalWidth="0" w:num="1">
            <w:col w:w="11240"/>
          </w:cols>
          <w:pgMar w:left="320" w:top="501" w:right="339" w:bottom="1440" w:gutter="0" w:footer="0" w:header="0"/>
        </w:sectPr>
      </w:pPr>
    </w:p>
    <w:bookmarkStart w:id="34" w:name="page35"/>
    <w:bookmarkEnd w:id="34"/>
    <w:p>
      <w:pPr>
        <w:ind w:left="320" w:right="140" w:hanging="313"/>
        <w:spacing w:after="0" w:line="206" w:lineRule="auto"/>
        <w:tabs>
          <w:tab w:leader="none" w:pos="320"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The amounts set forth in these columns reflect the threshold, target and maximum opportunities under the STI Plan as described in the Compensation Discussion &amp; Analysis above. The amount actually earned by each NEO for 2025 performance is included in the Summary Compensation in the Column titled “Non-Equity Incentive Plan Compensation.”</w:t>
      </w:r>
    </w:p>
    <w:p>
      <w:pPr>
        <w:spacing w:after="0" w:line="44" w:lineRule="exact"/>
        <w:rPr>
          <w:rFonts w:ascii="Arial" w:cs="Arial" w:eastAsia="Arial" w:hAnsi="Arial"/>
          <w:sz w:val="27"/>
          <w:szCs w:val="27"/>
          <w:color w:val="auto"/>
          <w:vertAlign w:val="superscript"/>
        </w:rPr>
      </w:pPr>
    </w:p>
    <w:p>
      <w:pPr>
        <w:ind w:left="320" w:right="60" w:hanging="313"/>
        <w:spacing w:after="0" w:line="214" w:lineRule="auto"/>
        <w:tabs>
          <w:tab w:leader="none" w:pos="320"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The performance stock unit awards vest based on two equally weighted performance goals of 3-year Cumulative EPS CAGR Growth and 3-year Average Return on Equity, both compared to relative performance against the companies in the KBW Regional Bank Index at the start of the performance period. Threshold, target, and maximum goals will be established for each performance goal. For the performance of stock unit awards, this grant date fair value is based on the probable outcome of the associated performance conditions at the time of grant.</w:t>
      </w:r>
    </w:p>
    <w:p>
      <w:pPr>
        <w:spacing w:after="0" w:line="44" w:lineRule="exact"/>
        <w:rPr>
          <w:rFonts w:ascii="Arial" w:cs="Arial" w:eastAsia="Arial" w:hAnsi="Arial"/>
          <w:sz w:val="27"/>
          <w:szCs w:val="27"/>
          <w:color w:val="auto"/>
          <w:vertAlign w:val="superscript"/>
        </w:rPr>
      </w:pPr>
    </w:p>
    <w:p>
      <w:pPr>
        <w:ind w:left="320" w:right="200" w:hanging="313"/>
        <w:spacing w:after="0" w:line="193" w:lineRule="auto"/>
        <w:tabs>
          <w:tab w:leader="none" w:pos="320"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The awards vest February 25, 2028, subject to the NEO's continued service with Alerus or immediately upon death, disability, or retirement after age 60 with five years of service, or retirement after age 62.</w:t>
      </w:r>
    </w:p>
    <w:p>
      <w:pPr>
        <w:spacing w:after="0" w:line="42" w:lineRule="exact"/>
        <w:rPr>
          <w:rFonts w:ascii="Arial" w:cs="Arial" w:eastAsia="Arial" w:hAnsi="Arial"/>
          <w:sz w:val="27"/>
          <w:szCs w:val="27"/>
          <w:color w:val="auto"/>
          <w:vertAlign w:val="superscript"/>
        </w:rPr>
      </w:pPr>
    </w:p>
    <w:p>
      <w:pPr>
        <w:ind w:left="320" w:right="180" w:hanging="313"/>
        <w:spacing w:after="0" w:line="193" w:lineRule="auto"/>
        <w:tabs>
          <w:tab w:leader="none" w:pos="320" w:val="left"/>
        </w:tabs>
        <w:numPr>
          <w:ilvl w:val="0"/>
          <w:numId w:val="43"/>
        </w:numPr>
        <w:rPr>
          <w:rFonts w:ascii="Arial" w:cs="Arial" w:eastAsia="Arial" w:hAnsi="Arial"/>
          <w:sz w:val="27"/>
          <w:szCs w:val="27"/>
          <w:color w:val="auto"/>
          <w:vertAlign w:val="superscript"/>
        </w:rPr>
      </w:pPr>
      <w:r>
        <w:rPr>
          <w:rFonts w:ascii="Arial" w:cs="Arial" w:eastAsia="Arial" w:hAnsi="Arial"/>
          <w:sz w:val="16"/>
          <w:szCs w:val="16"/>
          <w:color w:val="auto"/>
        </w:rPr>
        <w:t>The value of the restricted stock units is based on the grant date fair value of awards granted computed in accordance with FASB ASC Topic 718 based on a share price of $20.64 as of the date of the grant which was February 25, 2025.</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1AB2D2"/>
        </w:rPr>
        <w:t>OUTSTANDING EQUITY AWARDS AT FISCAL YEAR END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about outstanding equity awards held by our NEOs as of December 31,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20" w:type="dxa"/>
            <w:vAlign w:val="bottom"/>
            <w:shd w:val="clear" w:color="auto" w:fill="062B48"/>
          </w:tcPr>
          <w:p>
            <w:pPr>
              <w:spacing w:after="0"/>
              <w:rPr>
                <w:sz w:val="14"/>
                <w:szCs w:val="14"/>
                <w:color w:val="auto"/>
              </w:rPr>
            </w:pPr>
          </w:p>
        </w:tc>
        <w:tc>
          <w:tcPr>
            <w:tcW w:w="2900" w:type="dxa"/>
            <w:vAlign w:val="bottom"/>
            <w:vMerge w:val="restart"/>
            <w:shd w:val="clear" w:color="auto" w:fill="062B48"/>
          </w:tcPr>
          <w:p>
            <w:pPr>
              <w:jc w:val="center"/>
              <w:ind w:left="769"/>
              <w:spacing w:after="0"/>
              <w:rPr>
                <w:sz w:val="20"/>
                <w:szCs w:val="20"/>
                <w:color w:val="auto"/>
              </w:rPr>
            </w:pPr>
            <w:r>
              <w:rPr>
                <w:rFonts w:ascii="Calibri" w:cs="Calibri" w:eastAsia="Calibri" w:hAnsi="Calibri"/>
                <w:sz w:val="14"/>
                <w:szCs w:val="14"/>
                <w:b w:val="1"/>
                <w:bCs w:val="1"/>
                <w:color w:val="FFFFFF"/>
              </w:rPr>
              <w:t>NUMBER OF SHARES OF</w:t>
            </w:r>
          </w:p>
        </w:tc>
        <w:tc>
          <w:tcPr>
            <w:tcW w:w="2020" w:type="dxa"/>
            <w:vAlign w:val="bottom"/>
            <w:gridSpan w:val="2"/>
            <w:vMerge w:val="restart"/>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MARKET VALUE OF SHARES OF</w:t>
            </w:r>
          </w:p>
        </w:tc>
        <w:tc>
          <w:tcPr>
            <w:tcW w:w="2000" w:type="dxa"/>
            <w:vAlign w:val="bottom"/>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EQUITY INCENTIVE PLAN</w:t>
            </w:r>
          </w:p>
        </w:tc>
        <w:tc>
          <w:tcPr>
            <w:tcW w:w="220" w:type="dxa"/>
            <w:vAlign w:val="bottom"/>
            <w:shd w:val="clear" w:color="auto" w:fill="062B48"/>
          </w:tcPr>
          <w:p>
            <w:pPr>
              <w:spacing w:after="0"/>
              <w:rPr>
                <w:sz w:val="14"/>
                <w:szCs w:val="14"/>
                <w:color w:val="auto"/>
              </w:rPr>
            </w:pPr>
          </w:p>
        </w:tc>
        <w:tc>
          <w:tcPr>
            <w:tcW w:w="1780" w:type="dxa"/>
            <w:vAlign w:val="bottom"/>
            <w:shd w:val="clear" w:color="auto" w:fill="062B48"/>
          </w:tcPr>
          <w:p>
            <w:pPr>
              <w:jc w:val="center"/>
              <w:ind w:right="149"/>
              <w:spacing w:after="0"/>
              <w:rPr>
                <w:sz w:val="20"/>
                <w:szCs w:val="20"/>
                <w:color w:val="auto"/>
              </w:rPr>
            </w:pPr>
            <w:r>
              <w:rPr>
                <w:rFonts w:ascii="Calibri" w:cs="Calibri" w:eastAsia="Calibri" w:hAnsi="Calibri"/>
                <w:sz w:val="14"/>
                <w:szCs w:val="14"/>
                <w:b w:val="1"/>
                <w:bCs w:val="1"/>
                <w:color w:val="FFFFFF"/>
              </w:rPr>
              <w:t>EQUITY INCENTIVE PLAN</w:t>
            </w:r>
          </w:p>
        </w:tc>
        <w:tc>
          <w:tcPr>
            <w:tcW w:w="0" w:type="dxa"/>
            <w:vAlign w:val="bottom"/>
          </w:tcPr>
          <w:p>
            <w:pPr>
              <w:spacing w:after="0"/>
              <w:rPr>
                <w:sz w:val="1"/>
                <w:szCs w:val="1"/>
                <w:color w:val="auto"/>
              </w:rPr>
            </w:pPr>
          </w:p>
        </w:tc>
      </w:tr>
      <w:tr>
        <w:trPr>
          <w:trHeight w:val="75"/>
        </w:trPr>
        <w:tc>
          <w:tcPr>
            <w:tcW w:w="2320" w:type="dxa"/>
            <w:vAlign w:val="bottom"/>
            <w:shd w:val="clear" w:color="auto" w:fill="062B48"/>
          </w:tcPr>
          <w:p>
            <w:pPr>
              <w:spacing w:after="0"/>
              <w:rPr>
                <w:sz w:val="6"/>
                <w:szCs w:val="6"/>
                <w:color w:val="auto"/>
              </w:rPr>
            </w:pPr>
          </w:p>
        </w:tc>
        <w:tc>
          <w:tcPr>
            <w:tcW w:w="2900" w:type="dxa"/>
            <w:vAlign w:val="bottom"/>
            <w:vMerge w:val="continue"/>
            <w:shd w:val="clear" w:color="auto" w:fill="062B48"/>
          </w:tcPr>
          <w:p>
            <w:pPr>
              <w:spacing w:after="0"/>
              <w:rPr>
                <w:sz w:val="6"/>
                <w:szCs w:val="6"/>
                <w:color w:val="auto"/>
              </w:rPr>
            </w:pPr>
          </w:p>
        </w:tc>
        <w:tc>
          <w:tcPr>
            <w:tcW w:w="2020" w:type="dxa"/>
            <w:vAlign w:val="bottom"/>
            <w:gridSpan w:val="2"/>
            <w:vMerge w:val="continue"/>
            <w:shd w:val="clear" w:color="auto" w:fill="062B48"/>
          </w:tcPr>
          <w:p>
            <w:pPr>
              <w:spacing w:after="0"/>
              <w:rPr>
                <w:sz w:val="6"/>
                <w:szCs w:val="6"/>
                <w:color w:val="auto"/>
              </w:rPr>
            </w:pPr>
          </w:p>
        </w:tc>
        <w:tc>
          <w:tcPr>
            <w:tcW w:w="2000" w:type="dxa"/>
            <w:vAlign w:val="bottom"/>
            <w:vMerge w:val="restart"/>
            <w:shd w:val="clear" w:color="auto" w:fill="062B48"/>
          </w:tcPr>
          <w:p>
            <w:pPr>
              <w:jc w:val="center"/>
              <w:spacing w:after="0" w:line="169" w:lineRule="exact"/>
              <w:rPr>
                <w:sz w:val="20"/>
                <w:szCs w:val="20"/>
                <w:color w:val="auto"/>
              </w:rPr>
            </w:pPr>
            <w:r>
              <w:rPr>
                <w:rFonts w:ascii="Calibri" w:cs="Calibri" w:eastAsia="Calibri" w:hAnsi="Calibri"/>
                <w:sz w:val="14"/>
                <w:szCs w:val="14"/>
                <w:b w:val="1"/>
                <w:bCs w:val="1"/>
                <w:color w:val="FFFFFF"/>
                <w:w w:val="99"/>
              </w:rPr>
              <w:t>AWARDS: NUMBER OF</w:t>
            </w:r>
          </w:p>
        </w:tc>
        <w:tc>
          <w:tcPr>
            <w:tcW w:w="2000" w:type="dxa"/>
            <w:vAlign w:val="bottom"/>
            <w:gridSpan w:val="2"/>
            <w:vMerge w:val="restart"/>
            <w:shd w:val="clear" w:color="auto" w:fill="062B48"/>
          </w:tcPr>
          <w:p>
            <w:pPr>
              <w:jc w:val="center"/>
              <w:spacing w:after="0" w:line="169" w:lineRule="exact"/>
              <w:rPr>
                <w:sz w:val="20"/>
                <w:szCs w:val="20"/>
                <w:color w:val="auto"/>
              </w:rPr>
            </w:pPr>
            <w:r>
              <w:rPr>
                <w:rFonts w:ascii="Calibri" w:cs="Calibri" w:eastAsia="Calibri" w:hAnsi="Calibri"/>
                <w:sz w:val="14"/>
                <w:szCs w:val="14"/>
                <w:b w:val="1"/>
                <w:bCs w:val="1"/>
                <w:color w:val="FFFFFF"/>
              </w:rPr>
              <w:t>AWARDS: MARKET VALUE OF</w:t>
            </w:r>
          </w:p>
        </w:tc>
        <w:tc>
          <w:tcPr>
            <w:tcW w:w="0" w:type="dxa"/>
            <w:vAlign w:val="bottom"/>
          </w:tcPr>
          <w:p>
            <w:pPr>
              <w:spacing w:after="0"/>
              <w:rPr>
                <w:sz w:val="1"/>
                <w:szCs w:val="1"/>
                <w:color w:val="auto"/>
              </w:rPr>
            </w:pPr>
          </w:p>
        </w:tc>
      </w:tr>
      <w:tr>
        <w:trPr>
          <w:trHeight w:val="93"/>
        </w:trPr>
        <w:tc>
          <w:tcPr>
            <w:tcW w:w="2320" w:type="dxa"/>
            <w:vAlign w:val="bottom"/>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NAME</w:t>
            </w:r>
          </w:p>
        </w:tc>
        <w:tc>
          <w:tcPr>
            <w:tcW w:w="2900" w:type="dxa"/>
            <w:vAlign w:val="bottom"/>
            <w:vMerge w:val="restart"/>
            <w:shd w:val="clear" w:color="auto" w:fill="062B48"/>
          </w:tcPr>
          <w:p>
            <w:pPr>
              <w:jc w:val="center"/>
              <w:ind w:left="749"/>
              <w:spacing w:after="0"/>
              <w:rPr>
                <w:sz w:val="20"/>
                <w:szCs w:val="20"/>
                <w:color w:val="auto"/>
              </w:rPr>
            </w:pPr>
            <w:r>
              <w:rPr>
                <w:rFonts w:ascii="Calibri" w:cs="Calibri" w:eastAsia="Calibri" w:hAnsi="Calibri"/>
                <w:sz w:val="14"/>
                <w:szCs w:val="14"/>
                <w:b w:val="1"/>
                <w:bCs w:val="1"/>
                <w:color w:val="FFFFFF"/>
                <w:w w:val="99"/>
              </w:rPr>
              <w:t>STOCK THAT HAVE NOT</w:t>
            </w:r>
          </w:p>
        </w:tc>
        <w:tc>
          <w:tcPr>
            <w:tcW w:w="200" w:type="dxa"/>
            <w:vAlign w:val="bottom"/>
            <w:shd w:val="clear" w:color="auto" w:fill="062B48"/>
          </w:tcPr>
          <w:p>
            <w:pPr>
              <w:spacing w:after="0"/>
              <w:rPr>
                <w:sz w:val="8"/>
                <w:szCs w:val="8"/>
                <w:color w:val="auto"/>
              </w:rPr>
            </w:pPr>
          </w:p>
        </w:tc>
        <w:tc>
          <w:tcPr>
            <w:tcW w:w="1820" w:type="dxa"/>
            <w:vAlign w:val="bottom"/>
            <w:vMerge w:val="restart"/>
            <w:shd w:val="clear" w:color="auto" w:fill="062B48"/>
          </w:tcPr>
          <w:p>
            <w:pPr>
              <w:jc w:val="right"/>
              <w:ind w:right="129"/>
              <w:spacing w:after="0"/>
              <w:rPr>
                <w:sz w:val="20"/>
                <w:szCs w:val="20"/>
                <w:color w:val="auto"/>
              </w:rPr>
            </w:pPr>
            <w:r>
              <w:rPr>
                <w:rFonts w:ascii="Calibri" w:cs="Calibri" w:eastAsia="Calibri" w:hAnsi="Calibri"/>
                <w:sz w:val="14"/>
                <w:szCs w:val="14"/>
                <w:b w:val="1"/>
                <w:bCs w:val="1"/>
                <w:color w:val="FFFFFF"/>
                <w:w w:val="99"/>
              </w:rPr>
              <w:t>STOCK THAT HAVE NOT YET</w:t>
            </w:r>
          </w:p>
        </w:tc>
        <w:tc>
          <w:tcPr>
            <w:tcW w:w="2000" w:type="dxa"/>
            <w:vAlign w:val="bottom"/>
            <w:vMerge w:val="continue"/>
            <w:shd w:val="clear" w:color="auto" w:fill="062B48"/>
          </w:tcPr>
          <w:p>
            <w:pPr>
              <w:spacing w:after="0"/>
              <w:rPr>
                <w:sz w:val="8"/>
                <w:szCs w:val="8"/>
                <w:color w:val="auto"/>
              </w:rPr>
            </w:pPr>
          </w:p>
        </w:tc>
        <w:tc>
          <w:tcPr>
            <w:tcW w:w="2000" w:type="dxa"/>
            <w:vAlign w:val="bottom"/>
            <w:gridSpan w:val="2"/>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320" w:type="dxa"/>
            <w:vAlign w:val="bottom"/>
            <w:vMerge w:val="continue"/>
            <w:shd w:val="clear" w:color="auto" w:fill="062B48"/>
          </w:tcPr>
          <w:p>
            <w:pPr>
              <w:spacing w:after="0"/>
              <w:rPr>
                <w:sz w:val="6"/>
                <w:szCs w:val="6"/>
                <w:color w:val="auto"/>
              </w:rPr>
            </w:pPr>
          </w:p>
        </w:tc>
        <w:tc>
          <w:tcPr>
            <w:tcW w:w="2900" w:type="dxa"/>
            <w:vAlign w:val="bottom"/>
            <w:vMerge w:val="continue"/>
            <w:shd w:val="clear" w:color="auto" w:fill="062B48"/>
          </w:tcPr>
          <w:p>
            <w:pPr>
              <w:spacing w:after="0"/>
              <w:rPr>
                <w:sz w:val="6"/>
                <w:szCs w:val="6"/>
                <w:color w:val="auto"/>
              </w:rPr>
            </w:pPr>
          </w:p>
        </w:tc>
        <w:tc>
          <w:tcPr>
            <w:tcW w:w="200" w:type="dxa"/>
            <w:vAlign w:val="bottom"/>
            <w:shd w:val="clear" w:color="auto" w:fill="062B48"/>
          </w:tcPr>
          <w:p>
            <w:pPr>
              <w:spacing w:after="0"/>
              <w:rPr>
                <w:sz w:val="6"/>
                <w:szCs w:val="6"/>
                <w:color w:val="auto"/>
              </w:rPr>
            </w:pPr>
          </w:p>
        </w:tc>
        <w:tc>
          <w:tcPr>
            <w:tcW w:w="1820" w:type="dxa"/>
            <w:vAlign w:val="bottom"/>
            <w:vMerge w:val="continue"/>
            <w:shd w:val="clear" w:color="auto" w:fill="062B48"/>
          </w:tcPr>
          <w:p>
            <w:pPr>
              <w:spacing w:after="0"/>
              <w:rPr>
                <w:sz w:val="6"/>
                <w:szCs w:val="6"/>
                <w:color w:val="auto"/>
              </w:rPr>
            </w:pPr>
          </w:p>
        </w:tc>
        <w:tc>
          <w:tcPr>
            <w:tcW w:w="200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UNEARNED UNITS THAT HAVE</w:t>
            </w:r>
          </w:p>
        </w:tc>
        <w:tc>
          <w:tcPr>
            <w:tcW w:w="2000" w:type="dxa"/>
            <w:vAlign w:val="bottom"/>
            <w:gridSpan w:val="2"/>
            <w:vMerge w:val="restart"/>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UNEARNED UNITS THAT HAVE</w:t>
            </w:r>
          </w:p>
        </w:tc>
        <w:tc>
          <w:tcPr>
            <w:tcW w:w="0" w:type="dxa"/>
            <w:vAlign w:val="bottom"/>
          </w:tcPr>
          <w:p>
            <w:pPr>
              <w:spacing w:after="0"/>
              <w:rPr>
                <w:sz w:val="1"/>
                <w:szCs w:val="1"/>
                <w:color w:val="auto"/>
              </w:rPr>
            </w:pPr>
          </w:p>
        </w:tc>
      </w:tr>
      <w:tr>
        <w:trPr>
          <w:trHeight w:val="93"/>
        </w:trPr>
        <w:tc>
          <w:tcPr>
            <w:tcW w:w="2320" w:type="dxa"/>
            <w:vAlign w:val="bottom"/>
            <w:shd w:val="clear" w:color="auto" w:fill="062B48"/>
          </w:tcPr>
          <w:p>
            <w:pPr>
              <w:spacing w:after="0"/>
              <w:rPr>
                <w:sz w:val="8"/>
                <w:szCs w:val="8"/>
                <w:color w:val="auto"/>
              </w:rPr>
            </w:pPr>
          </w:p>
        </w:tc>
        <w:tc>
          <w:tcPr>
            <w:tcW w:w="2900" w:type="dxa"/>
            <w:vAlign w:val="bottom"/>
            <w:vMerge w:val="restart"/>
            <w:shd w:val="clear" w:color="auto" w:fill="062B48"/>
          </w:tcPr>
          <w:p>
            <w:pPr>
              <w:jc w:val="center"/>
              <w:ind w:left="749"/>
              <w:spacing w:after="0" w:line="233" w:lineRule="exact"/>
              <w:rPr>
                <w:sz w:val="20"/>
                <w:szCs w:val="20"/>
                <w:color w:val="auto"/>
              </w:rPr>
            </w:pPr>
            <w:r>
              <w:rPr>
                <w:rFonts w:ascii="Calibri" w:cs="Calibri" w:eastAsia="Calibri" w:hAnsi="Calibri"/>
                <w:sz w:val="14"/>
                <w:szCs w:val="14"/>
                <w:b w:val="1"/>
                <w:bCs w:val="1"/>
                <w:color w:val="FFFFFF"/>
                <w:w w:val="94"/>
              </w:rPr>
              <w:t>VESTED (#)</w:t>
            </w:r>
            <w:r>
              <w:rPr>
                <w:rFonts w:ascii="Calibri" w:cs="Calibri" w:eastAsia="Calibri" w:hAnsi="Calibri"/>
                <w:sz w:val="23"/>
                <w:szCs w:val="23"/>
                <w:b w:val="1"/>
                <w:bCs w:val="1"/>
                <w:color w:val="FFFFFF"/>
                <w:w w:val="94"/>
                <w:vertAlign w:val="superscript"/>
              </w:rPr>
              <w:t>(1)</w:t>
            </w:r>
          </w:p>
        </w:tc>
        <w:tc>
          <w:tcPr>
            <w:tcW w:w="200" w:type="dxa"/>
            <w:vAlign w:val="bottom"/>
            <w:shd w:val="clear" w:color="auto" w:fill="062B48"/>
          </w:tcPr>
          <w:p>
            <w:pPr>
              <w:spacing w:after="0"/>
              <w:rPr>
                <w:sz w:val="8"/>
                <w:szCs w:val="8"/>
                <w:color w:val="auto"/>
              </w:rPr>
            </w:pPr>
          </w:p>
        </w:tc>
        <w:tc>
          <w:tcPr>
            <w:tcW w:w="1820" w:type="dxa"/>
            <w:vAlign w:val="bottom"/>
            <w:vMerge w:val="restart"/>
            <w:shd w:val="clear" w:color="auto" w:fill="062B48"/>
          </w:tcPr>
          <w:p>
            <w:pPr>
              <w:jc w:val="right"/>
              <w:ind w:right="609"/>
              <w:spacing w:after="0"/>
              <w:rPr>
                <w:sz w:val="20"/>
                <w:szCs w:val="20"/>
                <w:color w:val="auto"/>
              </w:rPr>
            </w:pPr>
            <w:r>
              <w:rPr>
                <w:rFonts w:ascii="Calibri" w:cs="Calibri" w:eastAsia="Calibri" w:hAnsi="Calibri"/>
                <w:sz w:val="14"/>
                <w:szCs w:val="14"/>
                <w:b w:val="1"/>
                <w:bCs w:val="1"/>
                <w:color w:val="FFFFFF"/>
              </w:rPr>
              <w:t>VESTED ($)</w:t>
            </w:r>
          </w:p>
        </w:tc>
        <w:tc>
          <w:tcPr>
            <w:tcW w:w="2000" w:type="dxa"/>
            <w:vAlign w:val="bottom"/>
            <w:vMerge w:val="continue"/>
            <w:shd w:val="clear" w:color="auto" w:fill="062B48"/>
          </w:tcPr>
          <w:p>
            <w:pPr>
              <w:spacing w:after="0"/>
              <w:rPr>
                <w:sz w:val="8"/>
                <w:szCs w:val="8"/>
                <w:color w:val="auto"/>
              </w:rPr>
            </w:pPr>
          </w:p>
        </w:tc>
        <w:tc>
          <w:tcPr>
            <w:tcW w:w="2000" w:type="dxa"/>
            <w:vAlign w:val="bottom"/>
            <w:gridSpan w:val="2"/>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2320" w:type="dxa"/>
            <w:vAlign w:val="bottom"/>
            <w:shd w:val="clear" w:color="auto" w:fill="062B48"/>
          </w:tcPr>
          <w:p>
            <w:pPr>
              <w:spacing w:after="0"/>
              <w:rPr>
                <w:sz w:val="12"/>
                <w:szCs w:val="12"/>
                <w:color w:val="auto"/>
              </w:rPr>
            </w:pPr>
          </w:p>
        </w:tc>
        <w:tc>
          <w:tcPr>
            <w:tcW w:w="2900" w:type="dxa"/>
            <w:vAlign w:val="bottom"/>
            <w:vMerge w:val="continue"/>
            <w:shd w:val="clear" w:color="auto" w:fill="062B48"/>
          </w:tcPr>
          <w:p>
            <w:pPr>
              <w:spacing w:after="0"/>
              <w:rPr>
                <w:sz w:val="12"/>
                <w:szCs w:val="12"/>
                <w:color w:val="auto"/>
              </w:rPr>
            </w:pPr>
          </w:p>
        </w:tc>
        <w:tc>
          <w:tcPr>
            <w:tcW w:w="200" w:type="dxa"/>
            <w:vAlign w:val="bottom"/>
            <w:shd w:val="clear" w:color="auto" w:fill="062B48"/>
          </w:tcPr>
          <w:p>
            <w:pPr>
              <w:spacing w:after="0"/>
              <w:rPr>
                <w:sz w:val="12"/>
                <w:szCs w:val="12"/>
                <w:color w:val="auto"/>
              </w:rPr>
            </w:pPr>
          </w:p>
        </w:tc>
        <w:tc>
          <w:tcPr>
            <w:tcW w:w="1820" w:type="dxa"/>
            <w:vAlign w:val="bottom"/>
            <w:vMerge w:val="continue"/>
            <w:shd w:val="clear" w:color="auto" w:fill="062B48"/>
          </w:tcPr>
          <w:p>
            <w:pPr>
              <w:spacing w:after="0"/>
              <w:rPr>
                <w:sz w:val="12"/>
                <w:szCs w:val="12"/>
                <w:color w:val="auto"/>
              </w:rPr>
            </w:pPr>
          </w:p>
        </w:tc>
        <w:tc>
          <w:tcPr>
            <w:tcW w:w="2000" w:type="dxa"/>
            <w:vAlign w:val="bottom"/>
            <w:vMerge w:val="restart"/>
            <w:shd w:val="clear" w:color="auto" w:fill="062B48"/>
          </w:tcPr>
          <w:p>
            <w:pPr>
              <w:jc w:val="center"/>
              <w:spacing w:after="0" w:line="206" w:lineRule="exact"/>
              <w:rPr>
                <w:sz w:val="20"/>
                <w:szCs w:val="20"/>
                <w:color w:val="auto"/>
              </w:rPr>
            </w:pPr>
            <w:r>
              <w:rPr>
                <w:rFonts w:ascii="Calibri" w:cs="Calibri" w:eastAsia="Calibri" w:hAnsi="Calibri"/>
                <w:sz w:val="14"/>
                <w:szCs w:val="14"/>
                <w:b w:val="1"/>
                <w:bCs w:val="1"/>
                <w:color w:val="FFFFFF"/>
                <w:w w:val="99"/>
              </w:rPr>
              <w:t>NOT VESTED (#)</w:t>
            </w:r>
            <w:r>
              <w:rPr>
                <w:rFonts w:ascii="Calibri" w:cs="Calibri" w:eastAsia="Calibri" w:hAnsi="Calibri"/>
                <w:sz w:val="22"/>
                <w:szCs w:val="22"/>
                <w:b w:val="1"/>
                <w:bCs w:val="1"/>
                <w:color w:val="FFFFFF"/>
                <w:w w:val="99"/>
                <w:vertAlign w:val="superscript"/>
              </w:rPr>
              <w:t>(2)</w:t>
            </w:r>
          </w:p>
        </w:tc>
        <w:tc>
          <w:tcPr>
            <w:tcW w:w="220" w:type="dxa"/>
            <w:vAlign w:val="bottom"/>
            <w:shd w:val="clear" w:color="auto" w:fill="062B48"/>
          </w:tcPr>
          <w:p>
            <w:pPr>
              <w:spacing w:after="0"/>
              <w:rPr>
                <w:sz w:val="12"/>
                <w:szCs w:val="12"/>
                <w:color w:val="auto"/>
              </w:rPr>
            </w:pPr>
          </w:p>
        </w:tc>
        <w:tc>
          <w:tcPr>
            <w:tcW w:w="1780" w:type="dxa"/>
            <w:vAlign w:val="bottom"/>
            <w:vMerge w:val="restart"/>
            <w:shd w:val="clear" w:color="auto" w:fill="062B48"/>
          </w:tcPr>
          <w:p>
            <w:pPr>
              <w:jc w:val="center"/>
              <w:ind w:right="149"/>
              <w:spacing w:after="0" w:line="206" w:lineRule="exact"/>
              <w:rPr>
                <w:sz w:val="20"/>
                <w:szCs w:val="20"/>
                <w:color w:val="auto"/>
              </w:rPr>
            </w:pPr>
            <w:r>
              <w:rPr>
                <w:rFonts w:ascii="Calibri" w:cs="Calibri" w:eastAsia="Calibri" w:hAnsi="Calibri"/>
                <w:sz w:val="14"/>
                <w:szCs w:val="14"/>
                <w:b w:val="1"/>
                <w:bCs w:val="1"/>
                <w:color w:val="FFFFFF"/>
                <w:w w:val="99"/>
              </w:rPr>
              <w:t>NOT VESTED ($)</w:t>
            </w:r>
            <w:r>
              <w:rPr>
                <w:rFonts w:ascii="Calibri" w:cs="Calibri" w:eastAsia="Calibri" w:hAnsi="Calibri"/>
                <w:sz w:val="22"/>
                <w:szCs w:val="22"/>
                <w:b w:val="1"/>
                <w:bCs w:val="1"/>
                <w:color w:val="FFFFFF"/>
                <w:w w:val="99"/>
                <w:vertAlign w:val="superscript"/>
              </w:rPr>
              <w:t>(3)</w:t>
            </w:r>
          </w:p>
        </w:tc>
        <w:tc>
          <w:tcPr>
            <w:tcW w:w="0" w:type="dxa"/>
            <w:vAlign w:val="bottom"/>
          </w:tcPr>
          <w:p>
            <w:pPr>
              <w:spacing w:after="0"/>
              <w:rPr>
                <w:sz w:val="1"/>
                <w:szCs w:val="1"/>
                <w:color w:val="auto"/>
              </w:rPr>
            </w:pPr>
          </w:p>
        </w:tc>
      </w:tr>
      <w:tr>
        <w:trPr>
          <w:trHeight w:val="67"/>
        </w:trPr>
        <w:tc>
          <w:tcPr>
            <w:tcW w:w="2320" w:type="dxa"/>
            <w:vAlign w:val="bottom"/>
            <w:shd w:val="clear" w:color="auto" w:fill="062B48"/>
          </w:tcPr>
          <w:p>
            <w:pPr>
              <w:spacing w:after="0"/>
              <w:rPr>
                <w:sz w:val="5"/>
                <w:szCs w:val="5"/>
                <w:color w:val="auto"/>
              </w:rPr>
            </w:pPr>
          </w:p>
        </w:tc>
        <w:tc>
          <w:tcPr>
            <w:tcW w:w="2900" w:type="dxa"/>
            <w:vAlign w:val="bottom"/>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1820" w:type="dxa"/>
            <w:vAlign w:val="bottom"/>
            <w:shd w:val="clear" w:color="auto" w:fill="062B48"/>
          </w:tcPr>
          <w:p>
            <w:pPr>
              <w:spacing w:after="0"/>
              <w:rPr>
                <w:sz w:val="5"/>
                <w:szCs w:val="5"/>
                <w:color w:val="auto"/>
              </w:rPr>
            </w:pPr>
          </w:p>
        </w:tc>
        <w:tc>
          <w:tcPr>
            <w:tcW w:w="2000" w:type="dxa"/>
            <w:vAlign w:val="bottom"/>
            <w:vMerge w:val="continue"/>
            <w:shd w:val="clear" w:color="auto" w:fill="062B48"/>
          </w:tcPr>
          <w:p>
            <w:pPr>
              <w:spacing w:after="0"/>
              <w:rPr>
                <w:sz w:val="5"/>
                <w:szCs w:val="5"/>
                <w:color w:val="auto"/>
              </w:rPr>
            </w:pPr>
          </w:p>
        </w:tc>
        <w:tc>
          <w:tcPr>
            <w:tcW w:w="220" w:type="dxa"/>
            <w:vAlign w:val="bottom"/>
            <w:shd w:val="clear" w:color="auto" w:fill="062B48"/>
          </w:tcPr>
          <w:p>
            <w:pPr>
              <w:spacing w:after="0"/>
              <w:rPr>
                <w:sz w:val="5"/>
                <w:szCs w:val="5"/>
                <w:color w:val="auto"/>
              </w:rPr>
            </w:pPr>
          </w:p>
        </w:tc>
        <w:tc>
          <w:tcPr>
            <w:tcW w:w="1780" w:type="dxa"/>
            <w:vAlign w:val="bottom"/>
            <w:vMerge w:val="continue"/>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320" w:type="dxa"/>
            <w:vAlign w:val="bottom"/>
          </w:tcPr>
          <w:p>
            <w:pPr>
              <w:ind w:left="160"/>
              <w:spacing w:after="0" w:line="169" w:lineRule="exact"/>
              <w:rPr>
                <w:sz w:val="20"/>
                <w:szCs w:val="20"/>
                <w:color w:val="auto"/>
              </w:rPr>
            </w:pPr>
            <w:r>
              <w:rPr>
                <w:rFonts w:ascii="Calibri" w:cs="Calibri" w:eastAsia="Calibri" w:hAnsi="Calibri"/>
                <w:sz w:val="14"/>
                <w:szCs w:val="14"/>
                <w:color w:val="auto"/>
              </w:rPr>
              <w:t>Kate A. Lorenson</w:t>
            </w:r>
          </w:p>
        </w:tc>
        <w:tc>
          <w:tcPr>
            <w:tcW w:w="290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23,908</w:t>
            </w:r>
          </w:p>
        </w:tc>
        <w:tc>
          <w:tcPr>
            <w:tcW w:w="200" w:type="dxa"/>
            <w:vAlign w:val="bottom"/>
          </w:tcPr>
          <w:p>
            <w:pPr>
              <w:ind w:left="120"/>
              <w:spacing w:after="0" w:line="169" w:lineRule="exact"/>
              <w:rPr>
                <w:sz w:val="20"/>
                <w:szCs w:val="20"/>
                <w:color w:val="auto"/>
              </w:rPr>
            </w:pPr>
            <w:r>
              <w:rPr>
                <w:rFonts w:ascii="Calibri" w:cs="Calibri" w:eastAsia="Calibri" w:hAnsi="Calibri"/>
                <w:sz w:val="14"/>
                <w:szCs w:val="14"/>
                <w:color w:val="auto"/>
                <w:w w:val="83"/>
              </w:rPr>
              <w:t>$</w:t>
            </w:r>
          </w:p>
        </w:tc>
        <w:tc>
          <w:tcPr>
            <w:tcW w:w="182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538,408</w:t>
            </w:r>
          </w:p>
        </w:tc>
        <w:tc>
          <w:tcPr>
            <w:tcW w:w="2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30,967</w:t>
            </w:r>
          </w:p>
        </w:tc>
        <w:tc>
          <w:tcPr>
            <w:tcW w:w="220" w:type="dxa"/>
            <w:vAlign w:val="bottom"/>
          </w:tcPr>
          <w:p>
            <w:pPr>
              <w:ind w:left="100"/>
              <w:spacing w:after="0" w:line="169"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697,377</w:t>
            </w:r>
          </w:p>
        </w:tc>
        <w:tc>
          <w:tcPr>
            <w:tcW w:w="0" w:type="dxa"/>
            <w:vAlign w:val="bottom"/>
          </w:tcPr>
          <w:p>
            <w:pPr>
              <w:spacing w:after="0"/>
              <w:rPr>
                <w:sz w:val="1"/>
                <w:szCs w:val="1"/>
                <w:color w:val="auto"/>
              </w:rPr>
            </w:pPr>
          </w:p>
        </w:tc>
      </w:tr>
      <w:tr>
        <w:trPr>
          <w:trHeight w:val="31"/>
        </w:trPr>
        <w:tc>
          <w:tcPr>
            <w:tcW w:w="2320" w:type="dxa"/>
            <w:vAlign w:val="bottom"/>
            <w:tcBorders>
              <w:bottom w:val="single" w:sz="8" w:color="1AB2D2"/>
            </w:tcBorders>
          </w:tcPr>
          <w:p>
            <w:pPr>
              <w:spacing w:after="0"/>
              <w:rPr>
                <w:sz w:val="2"/>
                <w:szCs w:val="2"/>
                <w:color w:val="auto"/>
              </w:rPr>
            </w:pPr>
          </w:p>
        </w:tc>
        <w:tc>
          <w:tcPr>
            <w:tcW w:w="29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60"/>
              <w:spacing w:after="0" w:line="162" w:lineRule="exact"/>
              <w:rPr>
                <w:sz w:val="20"/>
                <w:szCs w:val="20"/>
                <w:color w:val="auto"/>
              </w:rPr>
            </w:pPr>
            <w:r>
              <w:rPr>
                <w:rFonts w:ascii="Calibri" w:cs="Calibri" w:eastAsia="Calibri" w:hAnsi="Calibri"/>
                <w:sz w:val="14"/>
                <w:szCs w:val="14"/>
                <w:color w:val="auto"/>
              </w:rPr>
              <w:t>Alan A. Villalon</w:t>
            </w:r>
          </w:p>
        </w:tc>
        <w:tc>
          <w:tcPr>
            <w:tcW w:w="290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7,583</w:t>
            </w:r>
          </w:p>
        </w:tc>
        <w:tc>
          <w:tcPr>
            <w:tcW w:w="200" w:type="dxa"/>
            <w:vAlign w:val="bottom"/>
          </w:tcPr>
          <w:p>
            <w:pPr>
              <w:ind w:left="120"/>
              <w:spacing w:after="0" w:line="162" w:lineRule="exact"/>
              <w:rPr>
                <w:sz w:val="20"/>
                <w:szCs w:val="20"/>
                <w:color w:val="auto"/>
              </w:rPr>
            </w:pPr>
            <w:r>
              <w:rPr>
                <w:rFonts w:ascii="Calibri" w:cs="Calibri" w:eastAsia="Calibri" w:hAnsi="Calibri"/>
                <w:sz w:val="14"/>
                <w:szCs w:val="14"/>
                <w:color w:val="auto"/>
                <w:w w:val="83"/>
              </w:rPr>
              <w:t>$</w:t>
            </w:r>
          </w:p>
        </w:tc>
        <w:tc>
          <w:tcPr>
            <w:tcW w:w="182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170,769</w:t>
            </w:r>
          </w:p>
        </w:tc>
        <w:tc>
          <w:tcPr>
            <w:tcW w:w="2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11,372</w:t>
            </w:r>
          </w:p>
        </w:tc>
        <w:tc>
          <w:tcPr>
            <w:tcW w:w="220" w:type="dxa"/>
            <w:vAlign w:val="bottom"/>
          </w:tcPr>
          <w:p>
            <w:pPr>
              <w:ind w:left="100"/>
              <w:spacing w:after="0" w:line="162"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256,097</w:t>
            </w:r>
          </w:p>
        </w:tc>
        <w:tc>
          <w:tcPr>
            <w:tcW w:w="0" w:type="dxa"/>
            <w:vAlign w:val="bottom"/>
          </w:tcPr>
          <w:p>
            <w:pPr>
              <w:spacing w:after="0"/>
              <w:rPr>
                <w:sz w:val="1"/>
                <w:szCs w:val="1"/>
                <w:color w:val="auto"/>
              </w:rPr>
            </w:pPr>
          </w:p>
        </w:tc>
      </w:tr>
      <w:tr>
        <w:trPr>
          <w:trHeight w:val="31"/>
        </w:trPr>
        <w:tc>
          <w:tcPr>
            <w:tcW w:w="2320" w:type="dxa"/>
            <w:vAlign w:val="bottom"/>
            <w:tcBorders>
              <w:bottom w:val="single" w:sz="8" w:color="1AB2D2"/>
            </w:tcBorders>
          </w:tcPr>
          <w:p>
            <w:pPr>
              <w:spacing w:after="0"/>
              <w:rPr>
                <w:sz w:val="2"/>
                <w:szCs w:val="2"/>
                <w:color w:val="auto"/>
              </w:rPr>
            </w:pPr>
          </w:p>
        </w:tc>
        <w:tc>
          <w:tcPr>
            <w:tcW w:w="29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60"/>
              <w:spacing w:after="0" w:line="162" w:lineRule="exact"/>
              <w:rPr>
                <w:sz w:val="20"/>
                <w:szCs w:val="20"/>
                <w:color w:val="auto"/>
              </w:rPr>
            </w:pPr>
            <w:r>
              <w:rPr>
                <w:rFonts w:ascii="Calibri" w:cs="Calibri" w:eastAsia="Calibri" w:hAnsi="Calibri"/>
                <w:sz w:val="14"/>
                <w:szCs w:val="14"/>
                <w:color w:val="auto"/>
              </w:rPr>
              <w:t>Jim R. Collins</w:t>
            </w:r>
          </w:p>
        </w:tc>
        <w:tc>
          <w:tcPr>
            <w:tcW w:w="290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9,388</w:t>
            </w:r>
          </w:p>
        </w:tc>
        <w:tc>
          <w:tcPr>
            <w:tcW w:w="200" w:type="dxa"/>
            <w:vAlign w:val="bottom"/>
          </w:tcPr>
          <w:p>
            <w:pPr>
              <w:ind w:left="120"/>
              <w:spacing w:after="0" w:line="162" w:lineRule="exact"/>
              <w:rPr>
                <w:sz w:val="20"/>
                <w:szCs w:val="20"/>
                <w:color w:val="auto"/>
              </w:rPr>
            </w:pPr>
            <w:r>
              <w:rPr>
                <w:rFonts w:ascii="Calibri" w:cs="Calibri" w:eastAsia="Calibri" w:hAnsi="Calibri"/>
                <w:sz w:val="14"/>
                <w:szCs w:val="14"/>
                <w:color w:val="auto"/>
                <w:w w:val="83"/>
              </w:rPr>
              <w:t>$</w:t>
            </w:r>
          </w:p>
        </w:tc>
        <w:tc>
          <w:tcPr>
            <w:tcW w:w="182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211,418</w:t>
            </w:r>
          </w:p>
        </w:tc>
        <w:tc>
          <w:tcPr>
            <w:tcW w:w="2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14,081</w:t>
            </w:r>
          </w:p>
        </w:tc>
        <w:tc>
          <w:tcPr>
            <w:tcW w:w="220" w:type="dxa"/>
            <w:vAlign w:val="bottom"/>
          </w:tcPr>
          <w:p>
            <w:pPr>
              <w:ind w:left="100"/>
              <w:spacing w:after="0" w:line="162"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317,104</w:t>
            </w:r>
          </w:p>
        </w:tc>
        <w:tc>
          <w:tcPr>
            <w:tcW w:w="0" w:type="dxa"/>
            <w:vAlign w:val="bottom"/>
          </w:tcPr>
          <w:p>
            <w:pPr>
              <w:spacing w:after="0"/>
              <w:rPr>
                <w:sz w:val="1"/>
                <w:szCs w:val="1"/>
                <w:color w:val="auto"/>
              </w:rPr>
            </w:pPr>
          </w:p>
        </w:tc>
      </w:tr>
      <w:tr>
        <w:trPr>
          <w:trHeight w:val="31"/>
        </w:trPr>
        <w:tc>
          <w:tcPr>
            <w:tcW w:w="2320" w:type="dxa"/>
            <w:vAlign w:val="bottom"/>
            <w:tcBorders>
              <w:bottom w:val="single" w:sz="8" w:color="1AB2D2"/>
            </w:tcBorders>
          </w:tcPr>
          <w:p>
            <w:pPr>
              <w:spacing w:after="0"/>
              <w:rPr>
                <w:sz w:val="2"/>
                <w:szCs w:val="2"/>
                <w:color w:val="auto"/>
              </w:rPr>
            </w:pPr>
          </w:p>
        </w:tc>
        <w:tc>
          <w:tcPr>
            <w:tcW w:w="29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60"/>
              <w:spacing w:after="0" w:line="162" w:lineRule="exact"/>
              <w:rPr>
                <w:sz w:val="20"/>
                <w:szCs w:val="20"/>
                <w:color w:val="auto"/>
              </w:rPr>
            </w:pPr>
            <w:r>
              <w:rPr>
                <w:rFonts w:ascii="Calibri" w:cs="Calibri" w:eastAsia="Calibri" w:hAnsi="Calibri"/>
                <w:sz w:val="14"/>
                <w:szCs w:val="14"/>
                <w:color w:val="auto"/>
              </w:rPr>
              <w:t>Karin M. Taylor</w:t>
            </w:r>
          </w:p>
        </w:tc>
        <w:tc>
          <w:tcPr>
            <w:tcW w:w="290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11,048</w:t>
            </w:r>
          </w:p>
        </w:tc>
        <w:tc>
          <w:tcPr>
            <w:tcW w:w="200" w:type="dxa"/>
            <w:vAlign w:val="bottom"/>
          </w:tcPr>
          <w:p>
            <w:pPr>
              <w:ind w:left="120"/>
              <w:spacing w:after="0" w:line="162" w:lineRule="exact"/>
              <w:rPr>
                <w:sz w:val="20"/>
                <w:szCs w:val="20"/>
                <w:color w:val="auto"/>
              </w:rPr>
            </w:pPr>
            <w:r>
              <w:rPr>
                <w:rFonts w:ascii="Calibri" w:cs="Calibri" w:eastAsia="Calibri" w:hAnsi="Calibri"/>
                <w:sz w:val="14"/>
                <w:szCs w:val="14"/>
                <w:color w:val="auto"/>
                <w:w w:val="83"/>
              </w:rPr>
              <w:t>$</w:t>
            </w:r>
          </w:p>
        </w:tc>
        <w:tc>
          <w:tcPr>
            <w:tcW w:w="182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248,801</w:t>
            </w:r>
          </w:p>
        </w:tc>
        <w:tc>
          <w:tcPr>
            <w:tcW w:w="2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12,054</w:t>
            </w:r>
          </w:p>
        </w:tc>
        <w:tc>
          <w:tcPr>
            <w:tcW w:w="220" w:type="dxa"/>
            <w:vAlign w:val="bottom"/>
          </w:tcPr>
          <w:p>
            <w:pPr>
              <w:ind w:left="100"/>
              <w:spacing w:after="0" w:line="162"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271,456</w:t>
            </w:r>
          </w:p>
        </w:tc>
        <w:tc>
          <w:tcPr>
            <w:tcW w:w="0" w:type="dxa"/>
            <w:vAlign w:val="bottom"/>
          </w:tcPr>
          <w:p>
            <w:pPr>
              <w:spacing w:after="0"/>
              <w:rPr>
                <w:sz w:val="1"/>
                <w:szCs w:val="1"/>
                <w:color w:val="auto"/>
              </w:rPr>
            </w:pPr>
          </w:p>
        </w:tc>
      </w:tr>
      <w:tr>
        <w:trPr>
          <w:trHeight w:val="31"/>
        </w:trPr>
        <w:tc>
          <w:tcPr>
            <w:tcW w:w="2320" w:type="dxa"/>
            <w:vAlign w:val="bottom"/>
            <w:tcBorders>
              <w:bottom w:val="single" w:sz="8" w:color="1AB2D2"/>
            </w:tcBorders>
          </w:tcPr>
          <w:p>
            <w:pPr>
              <w:spacing w:after="0"/>
              <w:rPr>
                <w:sz w:val="2"/>
                <w:szCs w:val="2"/>
                <w:color w:val="auto"/>
              </w:rPr>
            </w:pPr>
          </w:p>
        </w:tc>
        <w:tc>
          <w:tcPr>
            <w:tcW w:w="29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160"/>
              <w:spacing w:after="0" w:line="162" w:lineRule="exact"/>
              <w:rPr>
                <w:sz w:val="20"/>
                <w:szCs w:val="20"/>
                <w:color w:val="auto"/>
              </w:rPr>
            </w:pPr>
            <w:r>
              <w:rPr>
                <w:rFonts w:ascii="Calibri" w:cs="Calibri" w:eastAsia="Calibri" w:hAnsi="Calibri"/>
                <w:sz w:val="14"/>
                <w:szCs w:val="14"/>
                <w:color w:val="auto"/>
              </w:rPr>
              <w:t>Forrest R. Wilson</w:t>
            </w:r>
          </w:p>
        </w:tc>
        <w:tc>
          <w:tcPr>
            <w:tcW w:w="290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11,448</w:t>
            </w:r>
          </w:p>
        </w:tc>
        <w:tc>
          <w:tcPr>
            <w:tcW w:w="200" w:type="dxa"/>
            <w:vAlign w:val="bottom"/>
          </w:tcPr>
          <w:p>
            <w:pPr>
              <w:ind w:left="120"/>
              <w:spacing w:after="0" w:line="162" w:lineRule="exact"/>
              <w:rPr>
                <w:sz w:val="20"/>
                <w:szCs w:val="20"/>
                <w:color w:val="auto"/>
              </w:rPr>
            </w:pPr>
            <w:r>
              <w:rPr>
                <w:rFonts w:ascii="Calibri" w:cs="Calibri" w:eastAsia="Calibri" w:hAnsi="Calibri"/>
                <w:sz w:val="14"/>
                <w:szCs w:val="14"/>
                <w:color w:val="auto"/>
                <w:w w:val="83"/>
              </w:rPr>
              <w:t>$</w:t>
            </w:r>
          </w:p>
        </w:tc>
        <w:tc>
          <w:tcPr>
            <w:tcW w:w="182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257,809</w:t>
            </w:r>
          </w:p>
        </w:tc>
        <w:tc>
          <w:tcPr>
            <w:tcW w:w="2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7,969</w:t>
            </w:r>
          </w:p>
        </w:tc>
        <w:tc>
          <w:tcPr>
            <w:tcW w:w="220" w:type="dxa"/>
            <w:vAlign w:val="bottom"/>
          </w:tcPr>
          <w:p>
            <w:pPr>
              <w:ind w:left="100"/>
              <w:spacing w:after="0" w:line="162" w:lineRule="exact"/>
              <w:rPr>
                <w:sz w:val="20"/>
                <w:szCs w:val="20"/>
                <w:color w:val="auto"/>
              </w:rPr>
            </w:pPr>
            <w:r>
              <w:rPr>
                <w:rFonts w:ascii="Calibri" w:cs="Calibri" w:eastAsia="Calibri" w:hAnsi="Calibri"/>
                <w:sz w:val="14"/>
                <w:szCs w:val="14"/>
                <w:color w:val="auto"/>
              </w:rPr>
              <w:t>$</w:t>
            </w:r>
          </w:p>
        </w:tc>
        <w:tc>
          <w:tcPr>
            <w:tcW w:w="17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179,462</w:t>
            </w:r>
          </w:p>
        </w:tc>
        <w:tc>
          <w:tcPr>
            <w:tcW w:w="0" w:type="dxa"/>
            <w:vAlign w:val="bottom"/>
          </w:tcPr>
          <w:p>
            <w:pPr>
              <w:spacing w:after="0"/>
              <w:rPr>
                <w:sz w:val="1"/>
                <w:szCs w:val="1"/>
                <w:color w:val="auto"/>
              </w:rPr>
            </w:pPr>
          </w:p>
        </w:tc>
      </w:tr>
      <w:tr>
        <w:trPr>
          <w:trHeight w:val="31"/>
        </w:trPr>
        <w:tc>
          <w:tcPr>
            <w:tcW w:w="2320" w:type="dxa"/>
            <w:vAlign w:val="bottom"/>
            <w:tcBorders>
              <w:bottom w:val="single" w:sz="8" w:color="1AB2D2"/>
            </w:tcBorders>
          </w:tcPr>
          <w:p>
            <w:pPr>
              <w:spacing w:after="0"/>
              <w:rPr>
                <w:sz w:val="2"/>
                <w:szCs w:val="2"/>
                <w:color w:val="auto"/>
              </w:rPr>
            </w:pPr>
          </w:p>
        </w:tc>
        <w:tc>
          <w:tcPr>
            <w:tcW w:w="290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820" w:type="dxa"/>
            <w:vAlign w:val="bottom"/>
            <w:tcBorders>
              <w:bottom w:val="single" w:sz="8" w:color="1AB2D2"/>
            </w:tcBorders>
          </w:tcPr>
          <w:p>
            <w:pPr>
              <w:spacing w:after="0"/>
              <w:rPr>
                <w:sz w:val="2"/>
                <w:szCs w:val="2"/>
                <w:color w:val="auto"/>
              </w:rPr>
            </w:pPr>
          </w:p>
        </w:tc>
        <w:tc>
          <w:tcPr>
            <w:tcW w:w="2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7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20" w:right="120" w:hanging="313"/>
        <w:spacing w:after="0" w:line="229" w:lineRule="auto"/>
        <w:tabs>
          <w:tab w:leader="none" w:pos="32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These shares represent restricted stock awards granted to each executive at time of hire, as well as time-based equity incentive awards. For Ms. Lorenson, 3,263 shares are restricted stock awards that vest on December 14, 2027, and the remaining are time-based equity incentive awards of which 5,572 vested on February 21, 2026, 6,594 vest on February 27, 2027, and 8,479 vest on February 25, 2028. For Mr. Villalon, the shares represent time-based equity incentive awards of which 1,915 vested on February 21, 2026, 2,528 vest on February 27, 2027, and 3,140 vest on February 25, 2028. For Mr. Collins, the shares represent time-based equity incentive awards of which 2,523 vested on February 21, 2026, 3,260 vest on February 27, 2027, and 3,605 vest on February 25, 2028. For Ms. Taylor, 3,012 shares are restricted stock awards that vest on November 12, 2028, and the remaining are time-based equity incentive awards of which 2,128 vested on February 21, 2026, 2,769 vest on February 27, 2027 and 3,140 vest on February 25, 2028. For Mr. Wilson, 6,136 shares are restricted stock awards, of which 3,068 vest on December 31, 2026 and 3,068 vest on December 31, 2027 and the remaining shares are time-based equity incentive awards of which 2,289 vest on February 27, 2027 and 3,023 vest on February 25, 2028.</w:t>
      </w:r>
    </w:p>
    <w:p>
      <w:pPr>
        <w:spacing w:after="0" w:line="11" w:lineRule="exact"/>
        <w:rPr>
          <w:rFonts w:ascii="Arial" w:cs="Arial" w:eastAsia="Arial" w:hAnsi="Arial"/>
          <w:sz w:val="27"/>
          <w:szCs w:val="27"/>
          <w:color w:val="auto"/>
          <w:vertAlign w:val="superscript"/>
        </w:rPr>
      </w:pPr>
    </w:p>
    <w:p>
      <w:pPr>
        <w:ind w:left="320" w:right="20" w:hanging="313"/>
        <w:spacing w:after="0" w:line="207" w:lineRule="exact"/>
        <w:tabs>
          <w:tab w:leader="none" w:pos="32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The awards vest based on the Company’s attainment of pre</w:t>
      </w:r>
      <w:r>
        <w:rPr>
          <w:rFonts w:ascii="MS PGothic" w:cs="MS PGothic" w:eastAsia="MS PGothic" w:hAnsi="MS PGothic"/>
          <w:sz w:val="16"/>
          <w:szCs w:val="16"/>
          <w:color w:val="auto"/>
        </w:rPr>
        <w:t>‑</w:t>
      </w:r>
      <w:r>
        <w:rPr>
          <w:rFonts w:ascii="Arial" w:cs="Arial" w:eastAsia="Arial" w:hAnsi="Arial"/>
          <w:sz w:val="16"/>
          <w:szCs w:val="16"/>
          <w:color w:val="auto"/>
        </w:rPr>
        <w:t>established performance metrics as measured over a three-year performance period for each award year, 2023, 2024, and 2025. The performance metrics achieved are certified by the Board's Compensation Committee at the end of the performance period and shares vesting are adjusted accordingly.</w:t>
      </w:r>
    </w:p>
    <w:p>
      <w:pPr>
        <w:spacing w:after="0" w:line="1" w:lineRule="exact"/>
        <w:rPr>
          <w:rFonts w:ascii="Arial" w:cs="Arial" w:eastAsia="Arial" w:hAnsi="Arial"/>
          <w:sz w:val="27"/>
          <w:szCs w:val="27"/>
          <w:color w:val="auto"/>
          <w:vertAlign w:val="superscript"/>
        </w:rPr>
      </w:pPr>
    </w:p>
    <w:p>
      <w:pPr>
        <w:ind w:left="320" w:hanging="313"/>
        <w:spacing w:after="0" w:line="195" w:lineRule="auto"/>
        <w:tabs>
          <w:tab w:leader="none" w:pos="320" w:val="left"/>
        </w:tabs>
        <w:numPr>
          <w:ilvl w:val="0"/>
          <w:numId w:val="44"/>
        </w:numPr>
        <w:rPr>
          <w:rFonts w:ascii="Arial" w:cs="Arial" w:eastAsia="Arial" w:hAnsi="Arial"/>
          <w:sz w:val="27"/>
          <w:szCs w:val="27"/>
          <w:color w:val="auto"/>
          <w:vertAlign w:val="superscript"/>
        </w:rPr>
      </w:pPr>
      <w:r>
        <w:rPr>
          <w:rFonts w:ascii="Arial" w:cs="Arial" w:eastAsia="Arial" w:hAnsi="Arial"/>
          <w:sz w:val="16"/>
          <w:szCs w:val="16"/>
          <w:color w:val="auto"/>
        </w:rPr>
        <w:t>The market value of the shares as reported here is based on the closing price of our common stock on December 31, 2025, which was $22.52.</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1AB2D2"/>
        </w:rPr>
        <w:t>OPTION EXERCISES AND STOCK VESTED</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the vesting of stock awards with respect to each NEO in 2025.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00" w:type="dxa"/>
            <w:vAlign w:val="bottom"/>
            <w:shd w:val="clear" w:color="auto" w:fill="062B48"/>
          </w:tcPr>
          <w:p>
            <w:pPr>
              <w:spacing w:after="0"/>
              <w:rPr>
                <w:sz w:val="16"/>
                <w:szCs w:val="16"/>
                <w:color w:val="auto"/>
              </w:rPr>
            </w:pPr>
          </w:p>
        </w:tc>
        <w:tc>
          <w:tcPr>
            <w:tcW w:w="3300" w:type="dxa"/>
            <w:vAlign w:val="bottom"/>
            <w:gridSpan w:val="3"/>
            <w:shd w:val="clear" w:color="auto" w:fill="062B48"/>
          </w:tcPr>
          <w:p>
            <w:pPr>
              <w:jc w:val="right"/>
              <w:ind w:right="769"/>
              <w:spacing w:after="0"/>
              <w:rPr>
                <w:sz w:val="20"/>
                <w:szCs w:val="20"/>
                <w:color w:val="auto"/>
              </w:rPr>
            </w:pPr>
            <w:r>
              <w:rPr>
                <w:rFonts w:ascii="Calibri" w:cs="Calibri" w:eastAsia="Calibri" w:hAnsi="Calibri"/>
                <w:sz w:val="14"/>
                <w:szCs w:val="14"/>
                <w:color w:val="FFFFFF"/>
              </w:rPr>
              <w:t>RESTRICTED STOCK UNITS</w:t>
            </w:r>
          </w:p>
        </w:tc>
        <w:tc>
          <w:tcPr>
            <w:tcW w:w="100" w:type="dxa"/>
            <w:vAlign w:val="bottom"/>
            <w:shd w:val="clear" w:color="auto" w:fill="062B48"/>
          </w:tcPr>
          <w:p>
            <w:pPr>
              <w:spacing w:after="0"/>
              <w:rPr>
                <w:sz w:val="16"/>
                <w:szCs w:val="16"/>
                <w:color w:val="auto"/>
              </w:rPr>
            </w:pPr>
          </w:p>
        </w:tc>
        <w:tc>
          <w:tcPr>
            <w:tcW w:w="3240" w:type="dxa"/>
            <w:vAlign w:val="bottom"/>
            <w:gridSpan w:val="3"/>
            <w:shd w:val="clear" w:color="auto" w:fill="062B48"/>
          </w:tcPr>
          <w:p>
            <w:pPr>
              <w:jc w:val="right"/>
              <w:ind w:right="669"/>
              <w:spacing w:after="0"/>
              <w:rPr>
                <w:sz w:val="20"/>
                <w:szCs w:val="20"/>
                <w:color w:val="auto"/>
              </w:rPr>
            </w:pPr>
            <w:r>
              <w:rPr>
                <w:rFonts w:ascii="Calibri" w:cs="Calibri" w:eastAsia="Calibri" w:hAnsi="Calibri"/>
                <w:sz w:val="14"/>
                <w:szCs w:val="14"/>
                <w:color w:val="FFFFFF"/>
              </w:rPr>
              <w:t>RESTRICTED STOCK AWARDS</w:t>
            </w:r>
          </w:p>
        </w:tc>
        <w:tc>
          <w:tcPr>
            <w:tcW w:w="100" w:type="dxa"/>
            <w:vAlign w:val="bottom"/>
            <w:shd w:val="clear" w:color="auto" w:fill="062B48"/>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500" w:type="dxa"/>
            <w:vAlign w:val="bottom"/>
            <w:shd w:val="clear" w:color="auto" w:fill="062B48"/>
          </w:tcPr>
          <w:p>
            <w:pPr>
              <w:spacing w:after="0"/>
              <w:rPr>
                <w:sz w:val="13"/>
                <w:szCs w:val="13"/>
                <w:color w:val="auto"/>
              </w:rPr>
            </w:pPr>
          </w:p>
        </w:tc>
        <w:tc>
          <w:tcPr>
            <w:tcW w:w="1720" w:type="dxa"/>
            <w:vAlign w:val="bottom"/>
            <w:shd w:val="clear" w:color="auto" w:fill="062B48"/>
          </w:tcPr>
          <w:p>
            <w:pPr>
              <w:jc w:val="center"/>
              <w:spacing w:after="0" w:line="159" w:lineRule="exact"/>
              <w:rPr>
                <w:sz w:val="20"/>
                <w:szCs w:val="20"/>
                <w:color w:val="auto"/>
              </w:rPr>
            </w:pPr>
            <w:r>
              <w:rPr>
                <w:rFonts w:ascii="Calibri" w:cs="Calibri" w:eastAsia="Calibri" w:hAnsi="Calibri"/>
                <w:sz w:val="14"/>
                <w:szCs w:val="14"/>
                <w:color w:val="FFFFFF"/>
              </w:rPr>
              <w:t>NUMBER OF SHARES</w:t>
            </w:r>
          </w:p>
        </w:tc>
        <w:tc>
          <w:tcPr>
            <w:tcW w:w="240" w:type="dxa"/>
            <w:vAlign w:val="bottom"/>
            <w:shd w:val="clear" w:color="auto" w:fill="062B48"/>
          </w:tcPr>
          <w:p>
            <w:pPr>
              <w:spacing w:after="0"/>
              <w:rPr>
                <w:sz w:val="13"/>
                <w:szCs w:val="13"/>
                <w:color w:val="auto"/>
              </w:rPr>
            </w:pPr>
          </w:p>
        </w:tc>
        <w:tc>
          <w:tcPr>
            <w:tcW w:w="1340" w:type="dxa"/>
            <w:vAlign w:val="bottom"/>
            <w:vMerge w:val="restart"/>
            <w:shd w:val="clear" w:color="auto" w:fill="062B48"/>
          </w:tcPr>
          <w:p>
            <w:pPr>
              <w:jc w:val="right"/>
              <w:ind w:right="69"/>
              <w:spacing w:after="0"/>
              <w:rPr>
                <w:sz w:val="20"/>
                <w:szCs w:val="20"/>
                <w:color w:val="auto"/>
              </w:rPr>
            </w:pPr>
            <w:r>
              <w:rPr>
                <w:rFonts w:ascii="Calibri" w:cs="Calibri" w:eastAsia="Calibri" w:hAnsi="Calibri"/>
                <w:sz w:val="14"/>
                <w:szCs w:val="14"/>
                <w:color w:val="FFFFFF"/>
              </w:rPr>
              <w:t>VALUE REALIZED ON</w:t>
            </w:r>
          </w:p>
        </w:tc>
        <w:tc>
          <w:tcPr>
            <w:tcW w:w="100" w:type="dxa"/>
            <w:vAlign w:val="bottom"/>
            <w:shd w:val="clear" w:color="auto" w:fill="062B48"/>
          </w:tcPr>
          <w:p>
            <w:pPr>
              <w:spacing w:after="0"/>
              <w:rPr>
                <w:sz w:val="13"/>
                <w:szCs w:val="13"/>
                <w:color w:val="auto"/>
              </w:rPr>
            </w:pPr>
          </w:p>
        </w:tc>
        <w:tc>
          <w:tcPr>
            <w:tcW w:w="1680" w:type="dxa"/>
            <w:vAlign w:val="bottom"/>
            <w:shd w:val="clear" w:color="auto" w:fill="062B48"/>
          </w:tcPr>
          <w:p>
            <w:pPr>
              <w:jc w:val="center"/>
              <w:spacing w:after="0" w:line="159" w:lineRule="exact"/>
              <w:rPr>
                <w:sz w:val="20"/>
                <w:szCs w:val="20"/>
                <w:color w:val="auto"/>
              </w:rPr>
            </w:pPr>
            <w:r>
              <w:rPr>
                <w:rFonts w:ascii="Calibri" w:cs="Calibri" w:eastAsia="Calibri" w:hAnsi="Calibri"/>
                <w:sz w:val="14"/>
                <w:szCs w:val="14"/>
                <w:color w:val="FFFFFF"/>
              </w:rPr>
              <w:t>NUMBER OF SHARES</w:t>
            </w:r>
          </w:p>
        </w:tc>
        <w:tc>
          <w:tcPr>
            <w:tcW w:w="200" w:type="dxa"/>
            <w:vAlign w:val="bottom"/>
            <w:shd w:val="clear" w:color="auto" w:fill="062B48"/>
          </w:tcPr>
          <w:p>
            <w:pPr>
              <w:spacing w:after="0"/>
              <w:rPr>
                <w:sz w:val="13"/>
                <w:szCs w:val="13"/>
                <w:color w:val="auto"/>
              </w:rPr>
            </w:pPr>
          </w:p>
        </w:tc>
        <w:tc>
          <w:tcPr>
            <w:tcW w:w="1360" w:type="dxa"/>
            <w:vAlign w:val="bottom"/>
            <w:vMerge w:val="restart"/>
            <w:shd w:val="clear" w:color="auto" w:fill="062B48"/>
          </w:tcPr>
          <w:p>
            <w:pPr>
              <w:jc w:val="right"/>
              <w:ind w:right="69"/>
              <w:spacing w:after="0"/>
              <w:rPr>
                <w:sz w:val="20"/>
                <w:szCs w:val="20"/>
                <w:color w:val="auto"/>
              </w:rPr>
            </w:pPr>
            <w:r>
              <w:rPr>
                <w:rFonts w:ascii="Calibri" w:cs="Calibri" w:eastAsia="Calibri" w:hAnsi="Calibri"/>
                <w:sz w:val="14"/>
                <w:szCs w:val="14"/>
                <w:color w:val="FFFFFF"/>
              </w:rPr>
              <w:t>VALUE REALIZED ON</w:t>
            </w:r>
          </w:p>
        </w:tc>
        <w:tc>
          <w:tcPr>
            <w:tcW w:w="100" w:type="dxa"/>
            <w:vAlign w:val="bottom"/>
            <w:shd w:val="clear" w:color="auto" w:fill="062B48"/>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500" w:type="dxa"/>
            <w:vAlign w:val="bottom"/>
            <w:vMerge w:val="restart"/>
            <w:shd w:val="clear" w:color="auto" w:fill="062B48"/>
          </w:tcPr>
          <w:p>
            <w:pPr>
              <w:ind w:left="160"/>
              <w:spacing w:after="0" w:line="169" w:lineRule="exact"/>
              <w:rPr>
                <w:sz w:val="20"/>
                <w:szCs w:val="20"/>
                <w:color w:val="auto"/>
              </w:rPr>
            </w:pPr>
            <w:r>
              <w:rPr>
                <w:rFonts w:ascii="Calibri" w:cs="Calibri" w:eastAsia="Calibri" w:hAnsi="Calibri"/>
                <w:sz w:val="14"/>
                <w:szCs w:val="14"/>
                <w:color w:val="FFFFFF"/>
              </w:rPr>
              <w:t>NAME</w:t>
            </w:r>
          </w:p>
        </w:tc>
        <w:tc>
          <w:tcPr>
            <w:tcW w:w="1720" w:type="dxa"/>
            <w:vAlign w:val="bottom"/>
            <w:vMerge w:val="restart"/>
            <w:shd w:val="clear" w:color="auto" w:fill="062B48"/>
          </w:tcPr>
          <w:p>
            <w:pPr>
              <w:jc w:val="center"/>
              <w:spacing w:after="0" w:line="169" w:lineRule="exact"/>
              <w:rPr>
                <w:sz w:val="20"/>
                <w:szCs w:val="20"/>
                <w:color w:val="auto"/>
              </w:rPr>
            </w:pPr>
            <w:r>
              <w:rPr>
                <w:rFonts w:ascii="Calibri" w:cs="Calibri" w:eastAsia="Calibri" w:hAnsi="Calibri"/>
                <w:sz w:val="14"/>
                <w:szCs w:val="14"/>
                <w:color w:val="FFFFFF"/>
              </w:rPr>
              <w:t>ACQUIRED ON VESTING</w:t>
            </w:r>
          </w:p>
        </w:tc>
        <w:tc>
          <w:tcPr>
            <w:tcW w:w="240" w:type="dxa"/>
            <w:vAlign w:val="bottom"/>
            <w:shd w:val="clear" w:color="auto" w:fill="062B48"/>
          </w:tcPr>
          <w:p>
            <w:pPr>
              <w:spacing w:after="0"/>
              <w:rPr>
                <w:sz w:val="6"/>
                <w:szCs w:val="6"/>
                <w:color w:val="auto"/>
              </w:rPr>
            </w:pPr>
          </w:p>
        </w:tc>
        <w:tc>
          <w:tcPr>
            <w:tcW w:w="1340" w:type="dxa"/>
            <w:vAlign w:val="bottom"/>
            <w:vMerge w:val="continue"/>
            <w:shd w:val="clear" w:color="auto" w:fill="062B48"/>
          </w:tcPr>
          <w:p>
            <w:pPr>
              <w:spacing w:after="0"/>
              <w:rPr>
                <w:sz w:val="6"/>
                <w:szCs w:val="6"/>
                <w:color w:val="auto"/>
              </w:rPr>
            </w:pPr>
          </w:p>
        </w:tc>
        <w:tc>
          <w:tcPr>
            <w:tcW w:w="100" w:type="dxa"/>
            <w:vAlign w:val="bottom"/>
            <w:shd w:val="clear" w:color="auto" w:fill="062B48"/>
          </w:tcPr>
          <w:p>
            <w:pPr>
              <w:spacing w:after="0"/>
              <w:rPr>
                <w:sz w:val="6"/>
                <w:szCs w:val="6"/>
                <w:color w:val="auto"/>
              </w:rPr>
            </w:pPr>
          </w:p>
        </w:tc>
        <w:tc>
          <w:tcPr>
            <w:tcW w:w="1680" w:type="dxa"/>
            <w:vAlign w:val="bottom"/>
            <w:vMerge w:val="restart"/>
            <w:shd w:val="clear" w:color="auto" w:fill="062B48"/>
          </w:tcPr>
          <w:p>
            <w:pPr>
              <w:jc w:val="center"/>
              <w:spacing w:after="0" w:line="169" w:lineRule="exact"/>
              <w:rPr>
                <w:sz w:val="20"/>
                <w:szCs w:val="20"/>
                <w:color w:val="auto"/>
              </w:rPr>
            </w:pPr>
            <w:r>
              <w:rPr>
                <w:rFonts w:ascii="Calibri" w:cs="Calibri" w:eastAsia="Calibri" w:hAnsi="Calibri"/>
                <w:sz w:val="14"/>
                <w:szCs w:val="14"/>
                <w:color w:val="FFFFFF"/>
              </w:rPr>
              <w:t>ACQUIRED ON VESTING</w:t>
            </w:r>
          </w:p>
        </w:tc>
        <w:tc>
          <w:tcPr>
            <w:tcW w:w="200" w:type="dxa"/>
            <w:vAlign w:val="bottom"/>
            <w:shd w:val="clear" w:color="auto" w:fill="062B48"/>
          </w:tcPr>
          <w:p>
            <w:pPr>
              <w:spacing w:after="0"/>
              <w:rPr>
                <w:sz w:val="6"/>
                <w:szCs w:val="6"/>
                <w:color w:val="auto"/>
              </w:rPr>
            </w:pPr>
          </w:p>
        </w:tc>
        <w:tc>
          <w:tcPr>
            <w:tcW w:w="1360" w:type="dxa"/>
            <w:vAlign w:val="bottom"/>
            <w:vMerge w:val="continue"/>
            <w:shd w:val="clear" w:color="auto" w:fill="062B48"/>
          </w:tcPr>
          <w:p>
            <w:pPr>
              <w:spacing w:after="0"/>
              <w:rPr>
                <w:sz w:val="6"/>
                <w:szCs w:val="6"/>
                <w:color w:val="auto"/>
              </w:rPr>
            </w:pPr>
          </w:p>
        </w:tc>
        <w:tc>
          <w:tcPr>
            <w:tcW w:w="100" w:type="dxa"/>
            <w:vAlign w:val="bottom"/>
            <w:shd w:val="clear" w:color="auto" w:fill="062B48"/>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4500" w:type="dxa"/>
            <w:vAlign w:val="bottom"/>
            <w:vMerge w:val="continue"/>
            <w:shd w:val="clear" w:color="auto" w:fill="062B48"/>
          </w:tcPr>
          <w:p>
            <w:pPr>
              <w:spacing w:after="0"/>
              <w:rPr>
                <w:sz w:val="8"/>
                <w:szCs w:val="8"/>
                <w:color w:val="auto"/>
              </w:rPr>
            </w:pPr>
          </w:p>
        </w:tc>
        <w:tc>
          <w:tcPr>
            <w:tcW w:w="1720" w:type="dxa"/>
            <w:vAlign w:val="bottom"/>
            <w:vMerge w:val="continue"/>
            <w:shd w:val="clear" w:color="auto" w:fill="062B48"/>
          </w:tcPr>
          <w:p>
            <w:pPr>
              <w:spacing w:after="0"/>
              <w:rPr>
                <w:sz w:val="8"/>
                <w:szCs w:val="8"/>
                <w:color w:val="auto"/>
              </w:rPr>
            </w:pPr>
          </w:p>
        </w:tc>
        <w:tc>
          <w:tcPr>
            <w:tcW w:w="240" w:type="dxa"/>
            <w:vAlign w:val="bottom"/>
            <w:shd w:val="clear" w:color="auto" w:fill="062B48"/>
          </w:tcPr>
          <w:p>
            <w:pPr>
              <w:spacing w:after="0"/>
              <w:rPr>
                <w:sz w:val="8"/>
                <w:szCs w:val="8"/>
                <w:color w:val="auto"/>
              </w:rPr>
            </w:pPr>
          </w:p>
        </w:tc>
        <w:tc>
          <w:tcPr>
            <w:tcW w:w="1340" w:type="dxa"/>
            <w:vAlign w:val="bottom"/>
            <w:vMerge w:val="restart"/>
            <w:shd w:val="clear" w:color="auto" w:fill="062B48"/>
          </w:tcPr>
          <w:p>
            <w:pPr>
              <w:jc w:val="right"/>
              <w:ind w:right="309"/>
              <w:spacing w:after="0"/>
              <w:rPr>
                <w:sz w:val="20"/>
                <w:szCs w:val="20"/>
                <w:color w:val="auto"/>
              </w:rPr>
            </w:pPr>
            <w:r>
              <w:rPr>
                <w:rFonts w:ascii="Calibri" w:cs="Calibri" w:eastAsia="Calibri" w:hAnsi="Calibri"/>
                <w:sz w:val="14"/>
                <w:szCs w:val="14"/>
                <w:color w:val="FFFFFF"/>
              </w:rPr>
              <w:t>VESTING ($)</w:t>
            </w:r>
          </w:p>
        </w:tc>
        <w:tc>
          <w:tcPr>
            <w:tcW w:w="100" w:type="dxa"/>
            <w:vAlign w:val="bottom"/>
            <w:shd w:val="clear" w:color="auto" w:fill="062B48"/>
          </w:tcPr>
          <w:p>
            <w:pPr>
              <w:spacing w:after="0"/>
              <w:rPr>
                <w:sz w:val="8"/>
                <w:szCs w:val="8"/>
                <w:color w:val="auto"/>
              </w:rPr>
            </w:pPr>
          </w:p>
        </w:tc>
        <w:tc>
          <w:tcPr>
            <w:tcW w:w="168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360" w:type="dxa"/>
            <w:vAlign w:val="bottom"/>
            <w:vMerge w:val="restart"/>
            <w:shd w:val="clear" w:color="auto" w:fill="062B48"/>
          </w:tcPr>
          <w:p>
            <w:pPr>
              <w:jc w:val="right"/>
              <w:ind w:right="309"/>
              <w:spacing w:after="0"/>
              <w:rPr>
                <w:sz w:val="20"/>
                <w:szCs w:val="20"/>
                <w:color w:val="auto"/>
              </w:rPr>
            </w:pPr>
            <w:r>
              <w:rPr>
                <w:rFonts w:ascii="Calibri" w:cs="Calibri" w:eastAsia="Calibri" w:hAnsi="Calibri"/>
                <w:sz w:val="14"/>
                <w:szCs w:val="14"/>
                <w:color w:val="FFFFFF"/>
              </w:rPr>
              <w:t>VESTING ($)</w:t>
            </w:r>
          </w:p>
        </w:tc>
        <w:tc>
          <w:tcPr>
            <w:tcW w:w="100" w:type="dxa"/>
            <w:vAlign w:val="bottom"/>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500" w:type="dxa"/>
            <w:vAlign w:val="bottom"/>
            <w:shd w:val="clear" w:color="auto" w:fill="062B48"/>
          </w:tcPr>
          <w:p>
            <w:pPr>
              <w:spacing w:after="0"/>
              <w:rPr>
                <w:sz w:val="6"/>
                <w:szCs w:val="6"/>
                <w:color w:val="auto"/>
              </w:rPr>
            </w:pPr>
          </w:p>
        </w:tc>
        <w:tc>
          <w:tcPr>
            <w:tcW w:w="172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color w:val="FFFFFF"/>
              </w:rPr>
              <w:t>(#)</w:t>
            </w:r>
          </w:p>
        </w:tc>
        <w:tc>
          <w:tcPr>
            <w:tcW w:w="240" w:type="dxa"/>
            <w:vAlign w:val="bottom"/>
            <w:shd w:val="clear" w:color="auto" w:fill="062B48"/>
          </w:tcPr>
          <w:p>
            <w:pPr>
              <w:spacing w:after="0"/>
              <w:rPr>
                <w:sz w:val="6"/>
                <w:szCs w:val="6"/>
                <w:color w:val="auto"/>
              </w:rPr>
            </w:pPr>
          </w:p>
        </w:tc>
        <w:tc>
          <w:tcPr>
            <w:tcW w:w="1340" w:type="dxa"/>
            <w:vAlign w:val="bottom"/>
            <w:vMerge w:val="continue"/>
            <w:shd w:val="clear" w:color="auto" w:fill="062B48"/>
          </w:tcPr>
          <w:p>
            <w:pPr>
              <w:spacing w:after="0"/>
              <w:rPr>
                <w:sz w:val="6"/>
                <w:szCs w:val="6"/>
                <w:color w:val="auto"/>
              </w:rPr>
            </w:pPr>
          </w:p>
        </w:tc>
        <w:tc>
          <w:tcPr>
            <w:tcW w:w="100" w:type="dxa"/>
            <w:vAlign w:val="bottom"/>
            <w:shd w:val="clear" w:color="auto" w:fill="062B48"/>
          </w:tcPr>
          <w:p>
            <w:pPr>
              <w:spacing w:after="0"/>
              <w:rPr>
                <w:sz w:val="6"/>
                <w:szCs w:val="6"/>
                <w:color w:val="auto"/>
              </w:rPr>
            </w:pPr>
          </w:p>
        </w:tc>
        <w:tc>
          <w:tcPr>
            <w:tcW w:w="1680" w:type="dxa"/>
            <w:vAlign w:val="bottom"/>
            <w:vMerge w:val="restart"/>
            <w:shd w:val="clear" w:color="auto" w:fill="062B48"/>
          </w:tcPr>
          <w:p>
            <w:pPr>
              <w:jc w:val="center"/>
              <w:spacing w:after="0"/>
              <w:rPr>
                <w:sz w:val="20"/>
                <w:szCs w:val="20"/>
                <w:color w:val="auto"/>
              </w:rPr>
            </w:pPr>
            <w:r>
              <w:rPr>
                <w:rFonts w:ascii="Calibri" w:cs="Calibri" w:eastAsia="Calibri" w:hAnsi="Calibri"/>
                <w:sz w:val="14"/>
                <w:szCs w:val="14"/>
                <w:color w:val="FFFFFF"/>
              </w:rPr>
              <w:t>(#)</w:t>
            </w:r>
          </w:p>
        </w:tc>
        <w:tc>
          <w:tcPr>
            <w:tcW w:w="200" w:type="dxa"/>
            <w:vAlign w:val="bottom"/>
            <w:shd w:val="clear" w:color="auto" w:fill="062B48"/>
          </w:tcPr>
          <w:p>
            <w:pPr>
              <w:spacing w:after="0"/>
              <w:rPr>
                <w:sz w:val="6"/>
                <w:szCs w:val="6"/>
                <w:color w:val="auto"/>
              </w:rPr>
            </w:pPr>
          </w:p>
        </w:tc>
        <w:tc>
          <w:tcPr>
            <w:tcW w:w="1360" w:type="dxa"/>
            <w:vAlign w:val="bottom"/>
            <w:vMerge w:val="continue"/>
            <w:shd w:val="clear" w:color="auto" w:fill="062B48"/>
          </w:tcPr>
          <w:p>
            <w:pPr>
              <w:spacing w:after="0"/>
              <w:rPr>
                <w:sz w:val="6"/>
                <w:szCs w:val="6"/>
                <w:color w:val="auto"/>
              </w:rPr>
            </w:pPr>
          </w:p>
        </w:tc>
        <w:tc>
          <w:tcPr>
            <w:tcW w:w="100" w:type="dxa"/>
            <w:vAlign w:val="bottom"/>
            <w:shd w:val="clear" w:color="auto" w:fill="062B48"/>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4500" w:type="dxa"/>
            <w:vAlign w:val="bottom"/>
            <w:shd w:val="clear" w:color="auto" w:fill="062B48"/>
          </w:tcPr>
          <w:p>
            <w:pPr>
              <w:spacing w:after="0"/>
              <w:rPr>
                <w:sz w:val="9"/>
                <w:szCs w:val="9"/>
                <w:color w:val="auto"/>
              </w:rPr>
            </w:pPr>
          </w:p>
        </w:tc>
        <w:tc>
          <w:tcPr>
            <w:tcW w:w="1720" w:type="dxa"/>
            <w:vAlign w:val="bottom"/>
            <w:vMerge w:val="continue"/>
            <w:shd w:val="clear" w:color="auto" w:fill="062B48"/>
          </w:tcPr>
          <w:p>
            <w:pPr>
              <w:spacing w:after="0"/>
              <w:rPr>
                <w:sz w:val="9"/>
                <w:szCs w:val="9"/>
                <w:color w:val="auto"/>
              </w:rPr>
            </w:pPr>
          </w:p>
        </w:tc>
        <w:tc>
          <w:tcPr>
            <w:tcW w:w="240" w:type="dxa"/>
            <w:vAlign w:val="bottom"/>
            <w:shd w:val="clear" w:color="auto" w:fill="062B48"/>
          </w:tcPr>
          <w:p>
            <w:pPr>
              <w:spacing w:after="0"/>
              <w:rPr>
                <w:sz w:val="9"/>
                <w:szCs w:val="9"/>
                <w:color w:val="auto"/>
              </w:rPr>
            </w:pPr>
          </w:p>
        </w:tc>
        <w:tc>
          <w:tcPr>
            <w:tcW w:w="1340" w:type="dxa"/>
            <w:vAlign w:val="bottom"/>
            <w:shd w:val="clear" w:color="auto" w:fill="062B48"/>
          </w:tcPr>
          <w:p>
            <w:pPr>
              <w:spacing w:after="0"/>
              <w:rPr>
                <w:sz w:val="9"/>
                <w:szCs w:val="9"/>
                <w:color w:val="auto"/>
              </w:rPr>
            </w:pPr>
          </w:p>
        </w:tc>
        <w:tc>
          <w:tcPr>
            <w:tcW w:w="100" w:type="dxa"/>
            <w:vAlign w:val="bottom"/>
            <w:shd w:val="clear" w:color="auto" w:fill="062B48"/>
          </w:tcPr>
          <w:p>
            <w:pPr>
              <w:spacing w:after="0"/>
              <w:rPr>
                <w:sz w:val="9"/>
                <w:szCs w:val="9"/>
                <w:color w:val="auto"/>
              </w:rPr>
            </w:pPr>
          </w:p>
        </w:tc>
        <w:tc>
          <w:tcPr>
            <w:tcW w:w="1680" w:type="dxa"/>
            <w:vAlign w:val="bottom"/>
            <w:vMerge w:val="continue"/>
            <w:shd w:val="clear" w:color="auto" w:fill="062B48"/>
          </w:tcPr>
          <w:p>
            <w:pPr>
              <w:spacing w:after="0"/>
              <w:rPr>
                <w:sz w:val="9"/>
                <w:szCs w:val="9"/>
                <w:color w:val="auto"/>
              </w:rPr>
            </w:pPr>
          </w:p>
        </w:tc>
        <w:tc>
          <w:tcPr>
            <w:tcW w:w="200" w:type="dxa"/>
            <w:vAlign w:val="bottom"/>
            <w:shd w:val="clear" w:color="auto" w:fill="062B48"/>
          </w:tcPr>
          <w:p>
            <w:pPr>
              <w:spacing w:after="0"/>
              <w:rPr>
                <w:sz w:val="9"/>
                <w:szCs w:val="9"/>
                <w:color w:val="auto"/>
              </w:rPr>
            </w:pPr>
          </w:p>
        </w:tc>
        <w:tc>
          <w:tcPr>
            <w:tcW w:w="1360" w:type="dxa"/>
            <w:vAlign w:val="bottom"/>
            <w:shd w:val="clear" w:color="auto" w:fill="062B48"/>
          </w:tcPr>
          <w:p>
            <w:pPr>
              <w:spacing w:after="0"/>
              <w:rPr>
                <w:sz w:val="9"/>
                <w:szCs w:val="9"/>
                <w:color w:val="auto"/>
              </w:rPr>
            </w:pPr>
          </w:p>
        </w:tc>
        <w:tc>
          <w:tcPr>
            <w:tcW w:w="100" w:type="dxa"/>
            <w:vAlign w:val="bottom"/>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4500" w:type="dxa"/>
            <w:vAlign w:val="bottom"/>
            <w:tcBorders>
              <w:bottom w:val="single" w:sz="8" w:color="1AB2D2"/>
            </w:tcBorders>
          </w:tcPr>
          <w:p>
            <w:pPr>
              <w:ind w:left="160"/>
              <w:spacing w:after="0" w:line="187" w:lineRule="exact"/>
              <w:rPr>
                <w:sz w:val="20"/>
                <w:szCs w:val="20"/>
                <w:color w:val="auto"/>
              </w:rPr>
            </w:pPr>
            <w:r>
              <w:rPr>
                <w:rFonts w:ascii="Calibri" w:cs="Calibri" w:eastAsia="Calibri" w:hAnsi="Calibri"/>
                <w:sz w:val="13"/>
                <w:szCs w:val="13"/>
                <w:color w:val="auto"/>
              </w:rPr>
              <w:t>Kate A. Lorenson</w:t>
            </w:r>
            <w:r>
              <w:rPr>
                <w:rFonts w:ascii="Calibri" w:cs="Calibri" w:eastAsia="Calibri" w:hAnsi="Calibri"/>
                <w:sz w:val="20"/>
                <w:szCs w:val="20"/>
                <w:color w:val="auto"/>
                <w:vertAlign w:val="superscript"/>
              </w:rPr>
              <w:t>(1)</w:t>
            </w:r>
          </w:p>
        </w:tc>
        <w:tc>
          <w:tcPr>
            <w:tcW w:w="172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3,858</w:t>
            </w:r>
          </w:p>
        </w:tc>
        <w:tc>
          <w:tcPr>
            <w:tcW w:w="24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34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81,558</w:t>
            </w:r>
          </w:p>
        </w:tc>
        <w:tc>
          <w:tcPr>
            <w:tcW w:w="100" w:type="dxa"/>
            <w:vAlign w:val="bottom"/>
            <w:tcBorders>
              <w:bottom w:val="single" w:sz="8" w:color="1AB2D2"/>
            </w:tcBorders>
          </w:tcPr>
          <w:p>
            <w:pPr>
              <w:spacing w:after="0"/>
              <w:rPr>
                <w:sz w:val="16"/>
                <w:szCs w:val="16"/>
                <w:color w:val="auto"/>
              </w:rPr>
            </w:pPr>
          </w:p>
        </w:tc>
        <w:tc>
          <w:tcPr>
            <w:tcW w:w="168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0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36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00" w:type="dxa"/>
            <w:vAlign w:val="bottom"/>
            <w:tcBorders>
              <w:bottom w:val="single" w:sz="8" w:color="1AB2D2"/>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00" w:type="dxa"/>
            <w:vAlign w:val="bottom"/>
            <w:tcBorders>
              <w:bottom w:val="single" w:sz="8" w:color="1AB2D2"/>
            </w:tcBorders>
          </w:tcPr>
          <w:p>
            <w:pPr>
              <w:ind w:left="160"/>
              <w:spacing w:after="0" w:line="180" w:lineRule="exact"/>
              <w:rPr>
                <w:sz w:val="20"/>
                <w:szCs w:val="20"/>
                <w:color w:val="auto"/>
              </w:rPr>
            </w:pPr>
            <w:r>
              <w:rPr>
                <w:rFonts w:ascii="Calibri" w:cs="Calibri" w:eastAsia="Calibri" w:hAnsi="Calibri"/>
                <w:sz w:val="12"/>
                <w:szCs w:val="12"/>
                <w:color w:val="auto"/>
              </w:rPr>
              <w:t>Alan A. Villalon</w:t>
            </w:r>
            <w:r>
              <w:rPr>
                <w:rFonts w:ascii="Calibri" w:cs="Calibri" w:eastAsia="Calibri" w:hAnsi="Calibri"/>
                <w:sz w:val="19"/>
                <w:szCs w:val="19"/>
                <w:color w:val="auto"/>
                <w:vertAlign w:val="superscript"/>
              </w:rPr>
              <w:t>(2)</w:t>
            </w:r>
          </w:p>
        </w:tc>
        <w:tc>
          <w:tcPr>
            <w:tcW w:w="172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1,326</w:t>
            </w:r>
          </w:p>
        </w:tc>
        <w:tc>
          <w:tcPr>
            <w:tcW w:w="240" w:type="dxa"/>
            <w:vAlign w:val="bottom"/>
            <w:tcBorders>
              <w:bottom w:val="single" w:sz="8" w:color="1AB2D2"/>
            </w:tcBorders>
          </w:tcPr>
          <w:p>
            <w:pPr>
              <w:spacing w:after="0"/>
              <w:rPr>
                <w:sz w:val="15"/>
                <w:szCs w:val="15"/>
                <w:color w:val="auto"/>
              </w:rPr>
            </w:pPr>
          </w:p>
        </w:tc>
        <w:tc>
          <w:tcPr>
            <w:tcW w:w="144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$28,032</w:t>
            </w:r>
          </w:p>
        </w:tc>
        <w:tc>
          <w:tcPr>
            <w:tcW w:w="168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5,287</w:t>
            </w:r>
          </w:p>
        </w:tc>
        <w:tc>
          <w:tcPr>
            <w:tcW w:w="200" w:type="dxa"/>
            <w:vAlign w:val="bottom"/>
            <w:tcBorders>
              <w:bottom w:val="single" w:sz="8" w:color="1AB2D2"/>
            </w:tcBorders>
          </w:tcPr>
          <w:p>
            <w:pPr>
              <w:spacing w:after="0"/>
              <w:rPr>
                <w:sz w:val="15"/>
                <w:szCs w:val="15"/>
                <w:color w:val="auto"/>
              </w:rPr>
            </w:pPr>
          </w:p>
        </w:tc>
        <w:tc>
          <w:tcPr>
            <w:tcW w:w="146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$106,903</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1AB2D2"/>
            </w:tcBorders>
          </w:tcPr>
          <w:p>
            <w:pPr>
              <w:ind w:left="160"/>
              <w:spacing w:after="0" w:line="180" w:lineRule="exact"/>
              <w:rPr>
                <w:sz w:val="20"/>
                <w:szCs w:val="20"/>
                <w:color w:val="auto"/>
              </w:rPr>
            </w:pPr>
            <w:r>
              <w:rPr>
                <w:rFonts w:ascii="Calibri" w:cs="Calibri" w:eastAsia="Calibri" w:hAnsi="Calibri"/>
                <w:sz w:val="12"/>
                <w:szCs w:val="12"/>
                <w:color w:val="auto"/>
              </w:rPr>
              <w:t>Jim R. Collins</w:t>
            </w:r>
            <w:r>
              <w:rPr>
                <w:rFonts w:ascii="Calibri" w:cs="Calibri" w:eastAsia="Calibri" w:hAnsi="Calibri"/>
                <w:sz w:val="19"/>
                <w:szCs w:val="19"/>
                <w:color w:val="auto"/>
                <w:vertAlign w:val="superscript"/>
              </w:rPr>
              <w:t>(3)</w:t>
            </w:r>
          </w:p>
        </w:tc>
        <w:tc>
          <w:tcPr>
            <w:tcW w:w="172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1,502</w:t>
            </w:r>
          </w:p>
        </w:tc>
        <w:tc>
          <w:tcPr>
            <w:tcW w:w="24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44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31,752</w:t>
            </w:r>
          </w:p>
        </w:tc>
        <w:tc>
          <w:tcPr>
            <w:tcW w:w="168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5,168</w:t>
            </w:r>
          </w:p>
        </w:tc>
        <w:tc>
          <w:tcPr>
            <w:tcW w:w="20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46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115,350</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1AB2D2"/>
            </w:tcBorders>
          </w:tcPr>
          <w:p>
            <w:pPr>
              <w:ind w:left="160"/>
              <w:spacing w:after="0" w:line="180" w:lineRule="exact"/>
              <w:rPr>
                <w:sz w:val="20"/>
                <w:szCs w:val="20"/>
                <w:color w:val="auto"/>
              </w:rPr>
            </w:pPr>
            <w:r>
              <w:rPr>
                <w:rFonts w:ascii="Calibri" w:cs="Calibri" w:eastAsia="Calibri" w:hAnsi="Calibri"/>
                <w:sz w:val="12"/>
                <w:szCs w:val="12"/>
                <w:color w:val="auto"/>
              </w:rPr>
              <w:t>Karin M. Taylor</w:t>
            </w:r>
            <w:r>
              <w:rPr>
                <w:rFonts w:ascii="Calibri" w:cs="Calibri" w:eastAsia="Calibri" w:hAnsi="Calibri"/>
                <w:sz w:val="19"/>
                <w:szCs w:val="19"/>
                <w:color w:val="auto"/>
                <w:vertAlign w:val="superscript"/>
              </w:rPr>
              <w:t>(4)</w:t>
            </w:r>
          </w:p>
        </w:tc>
        <w:tc>
          <w:tcPr>
            <w:tcW w:w="172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1,326</w:t>
            </w:r>
          </w:p>
        </w:tc>
        <w:tc>
          <w:tcPr>
            <w:tcW w:w="24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44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28,032</w:t>
            </w:r>
          </w:p>
        </w:tc>
        <w:tc>
          <w:tcPr>
            <w:tcW w:w="168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0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46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w:t>
            </w:r>
          </w:p>
        </w:tc>
        <w:tc>
          <w:tcPr>
            <w:tcW w:w="0" w:type="dxa"/>
            <w:vAlign w:val="bottom"/>
          </w:tcPr>
          <w:p>
            <w:pPr>
              <w:spacing w:after="0"/>
              <w:rPr>
                <w:sz w:val="1"/>
                <w:szCs w:val="1"/>
                <w:color w:val="auto"/>
              </w:rPr>
            </w:pPr>
          </w:p>
        </w:tc>
      </w:tr>
      <w:tr>
        <w:trPr>
          <w:trHeight w:val="180"/>
        </w:trPr>
        <w:tc>
          <w:tcPr>
            <w:tcW w:w="4500" w:type="dxa"/>
            <w:vAlign w:val="bottom"/>
            <w:tcBorders>
              <w:bottom w:val="single" w:sz="8" w:color="1AB2D2"/>
            </w:tcBorders>
          </w:tcPr>
          <w:p>
            <w:pPr>
              <w:ind w:left="160"/>
              <w:spacing w:after="0" w:line="180" w:lineRule="exact"/>
              <w:rPr>
                <w:sz w:val="20"/>
                <w:szCs w:val="20"/>
                <w:color w:val="auto"/>
              </w:rPr>
            </w:pPr>
            <w:r>
              <w:rPr>
                <w:rFonts w:ascii="Calibri" w:cs="Calibri" w:eastAsia="Calibri" w:hAnsi="Calibri"/>
                <w:sz w:val="12"/>
                <w:szCs w:val="12"/>
                <w:color w:val="auto"/>
              </w:rPr>
              <w:t>Forrest R. Wilson</w:t>
            </w:r>
            <w:r>
              <w:rPr>
                <w:rFonts w:ascii="Calibri" w:cs="Calibri" w:eastAsia="Calibri" w:hAnsi="Calibri"/>
                <w:sz w:val="19"/>
                <w:szCs w:val="19"/>
                <w:color w:val="auto"/>
                <w:vertAlign w:val="superscript"/>
              </w:rPr>
              <w:t>(5)</w:t>
            </w:r>
          </w:p>
        </w:tc>
        <w:tc>
          <w:tcPr>
            <w:tcW w:w="172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w:t>
            </w:r>
          </w:p>
        </w:tc>
        <w:tc>
          <w:tcPr>
            <w:tcW w:w="24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44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w:t>
            </w:r>
          </w:p>
        </w:tc>
        <w:tc>
          <w:tcPr>
            <w:tcW w:w="1680" w:type="dxa"/>
            <w:vAlign w:val="bottom"/>
            <w:tcBorders>
              <w:bottom w:val="single" w:sz="8" w:color="1AB2D2"/>
            </w:tcBorders>
          </w:tcPr>
          <w:p>
            <w:pPr>
              <w:jc w:val="right"/>
              <w:ind w:right="49"/>
              <w:spacing w:after="0" w:line="169" w:lineRule="exact"/>
              <w:rPr>
                <w:sz w:val="20"/>
                <w:szCs w:val="20"/>
                <w:color w:val="auto"/>
              </w:rPr>
            </w:pPr>
            <w:r>
              <w:rPr>
                <w:rFonts w:ascii="Calibri" w:cs="Calibri" w:eastAsia="Calibri" w:hAnsi="Calibri"/>
                <w:sz w:val="14"/>
                <w:szCs w:val="14"/>
                <w:color w:val="auto"/>
              </w:rPr>
              <w:t>3,068</w:t>
            </w:r>
          </w:p>
        </w:tc>
        <w:tc>
          <w:tcPr>
            <w:tcW w:w="20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460" w:type="dxa"/>
            <w:vAlign w:val="bottom"/>
            <w:tcBorders>
              <w:bottom w:val="single" w:sz="8" w:color="1AB2D2"/>
            </w:tcBorders>
            <w:gridSpan w:val="2"/>
          </w:tcPr>
          <w:p>
            <w:pPr>
              <w:jc w:val="right"/>
              <w:ind w:right="100"/>
              <w:spacing w:after="0" w:line="169" w:lineRule="exact"/>
              <w:rPr>
                <w:sz w:val="20"/>
                <w:szCs w:val="20"/>
                <w:color w:val="auto"/>
              </w:rPr>
            </w:pPr>
            <w:r>
              <w:rPr>
                <w:rFonts w:ascii="Calibri" w:cs="Calibri" w:eastAsia="Calibri" w:hAnsi="Calibri"/>
                <w:sz w:val="14"/>
                <w:szCs w:val="14"/>
                <w:color w:val="auto"/>
              </w:rPr>
              <w:t>68,478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-973455</wp:posOffset>
            </wp:positionV>
            <wp:extent cx="41344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134485" cy="8255"/>
                    </a:xfrm>
                    <a:prstGeom prst="rect">
                      <a:avLst/>
                    </a:prstGeom>
                    <a:noFill/>
                  </pic:spPr>
                </pic:pic>
              </a:graphicData>
            </a:graphic>
          </wp:anchor>
        </w:drawing>
      </w:r>
    </w:p>
    <w:p>
      <w:pPr>
        <w:spacing w:after="0" w:line="80" w:lineRule="exact"/>
        <w:rPr>
          <w:sz w:val="20"/>
          <w:szCs w:val="20"/>
          <w:color w:val="auto"/>
        </w:rPr>
      </w:pPr>
    </w:p>
    <w:p>
      <w:pPr>
        <w:ind w:left="320" w:hanging="313"/>
        <w:spacing w:after="0"/>
        <w:tabs>
          <w:tab w:leader="none" w:pos="32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Ms. Lorenson had 3,858 restricted stock units vest at a price of $21.14 on February 3, 2025.</w:t>
      </w:r>
    </w:p>
    <w:p>
      <w:pPr>
        <w:spacing w:after="0" w:line="58" w:lineRule="exact"/>
        <w:rPr>
          <w:rFonts w:ascii="Arial" w:cs="Arial" w:eastAsia="Arial" w:hAnsi="Arial"/>
          <w:sz w:val="27"/>
          <w:szCs w:val="27"/>
          <w:color w:val="auto"/>
          <w:vertAlign w:val="superscript"/>
        </w:rPr>
      </w:pPr>
    </w:p>
    <w:p>
      <w:pPr>
        <w:ind w:left="320" w:right="80" w:hanging="313"/>
        <w:spacing w:after="0" w:line="185" w:lineRule="auto"/>
        <w:tabs>
          <w:tab w:leader="none" w:pos="32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Mr. Villalon had 1,326 restricted stock units vest at a price of $21.14 on February 3, 2025 and 5,287 of restricted stock shares vest at a price of $20.22 on January 28, 2025.</w:t>
      </w:r>
    </w:p>
    <w:p>
      <w:pPr>
        <w:spacing w:after="0" w:line="43" w:lineRule="exact"/>
        <w:rPr>
          <w:rFonts w:ascii="Arial" w:cs="Arial" w:eastAsia="Arial" w:hAnsi="Arial"/>
          <w:sz w:val="27"/>
          <w:szCs w:val="27"/>
          <w:color w:val="auto"/>
          <w:vertAlign w:val="superscript"/>
        </w:rPr>
      </w:pPr>
    </w:p>
    <w:p>
      <w:pPr>
        <w:ind w:left="320" w:right="280" w:hanging="313"/>
        <w:spacing w:after="0" w:line="193" w:lineRule="auto"/>
        <w:tabs>
          <w:tab w:leader="none" w:pos="32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Mr. Collins had 1,502 restricted stock units vest at a price of $21.14 on February 3, 2025 and 5,168 restricted stock shares vest at a price of $22.32 on December 31, 2025.</w:t>
      </w:r>
    </w:p>
    <w:p>
      <w:pPr>
        <w:ind w:left="320" w:hanging="313"/>
        <w:spacing w:after="0" w:line="195" w:lineRule="auto"/>
        <w:tabs>
          <w:tab w:leader="none" w:pos="320" w:val="left"/>
        </w:tabs>
        <w:numPr>
          <w:ilvl w:val="0"/>
          <w:numId w:val="45"/>
        </w:numPr>
        <w:rPr>
          <w:rFonts w:ascii="Arial" w:cs="Arial" w:eastAsia="Arial" w:hAnsi="Arial"/>
          <w:sz w:val="27"/>
          <w:szCs w:val="27"/>
          <w:color w:val="auto"/>
          <w:vertAlign w:val="superscript"/>
        </w:rPr>
      </w:pPr>
      <w:r>
        <w:rPr>
          <w:rFonts w:ascii="Arial" w:cs="Arial" w:eastAsia="Arial" w:hAnsi="Arial"/>
          <w:sz w:val="16"/>
          <w:szCs w:val="16"/>
          <w:color w:val="auto"/>
        </w:rPr>
        <w:t>Ms. Taylor had 1,326 restricted stock units vest at a price of $21.14 on February 3, 2025.</w:t>
      </w:r>
    </w:p>
    <w:p>
      <w:pPr>
        <w:spacing w:after="0" w:line="59" w:lineRule="exact"/>
        <w:rPr>
          <w:rFonts w:ascii="Arial" w:cs="Arial" w:eastAsia="Arial" w:hAnsi="Arial"/>
          <w:sz w:val="27"/>
          <w:szCs w:val="27"/>
          <w:color w:val="auto"/>
          <w:vertAlign w:val="superscript"/>
        </w:rPr>
      </w:pPr>
    </w:p>
    <w:p>
      <w:pPr>
        <w:ind w:left="320" w:hanging="313"/>
        <w:spacing w:after="0" w:line="184" w:lineRule="auto"/>
        <w:tabs>
          <w:tab w:leader="none" w:pos="320" w:val="left"/>
        </w:tabs>
        <w:numPr>
          <w:ilvl w:val="0"/>
          <w:numId w:val="45"/>
        </w:numPr>
        <w:rPr>
          <w:rFonts w:ascii="Arial" w:cs="Arial" w:eastAsia="Arial" w:hAnsi="Arial"/>
          <w:sz w:val="22"/>
          <w:szCs w:val="22"/>
          <w:color w:val="auto"/>
          <w:vertAlign w:val="superscript"/>
        </w:rPr>
      </w:pPr>
      <w:r>
        <w:rPr>
          <w:rFonts w:ascii="Arial" w:cs="Arial" w:eastAsia="Arial" w:hAnsi="Arial"/>
          <w:sz w:val="14"/>
          <w:szCs w:val="14"/>
          <w:color w:val="auto"/>
        </w:rPr>
        <w:t>Mr. Wilson had 3,068 restricted stock shares vest at a price of $22.32 on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172085</wp:posOffset>
            </wp:positionV>
            <wp:extent cx="593090" cy="1187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32</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1AB2D2"/>
        </w:rPr>
        <w:t>NONQUALIFIED DEFERRED COMPENSATION</w:t>
      </w:r>
    </w:p>
    <w:p>
      <w:pPr>
        <w:spacing w:after="0" w:line="7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Under the Alerus Financial Corporation Deferred Compensation Plan for Executives (the “</w:t>
      </w:r>
      <w:r>
        <w:rPr>
          <w:rFonts w:ascii="Arial" w:cs="Arial" w:eastAsia="Arial" w:hAnsi="Arial"/>
          <w:sz w:val="16"/>
          <w:szCs w:val="16"/>
          <w:b w:val="1"/>
          <w:bCs w:val="1"/>
          <w:color w:val="auto"/>
        </w:rPr>
        <w:t>Deferred Compensation Plan</w:t>
      </w:r>
      <w:r>
        <w:rPr>
          <w:rFonts w:ascii="Arial" w:cs="Arial" w:eastAsia="Arial" w:hAnsi="Arial"/>
          <w:sz w:val="16"/>
          <w:szCs w:val="16"/>
          <w:color w:val="auto"/>
        </w:rPr>
        <w:t>”), our NEOs and corporate directors may voluntarily defer a portion of their annual cash compensation, subject to the limit established by the Company for executives, including NEOs. For executives, contributions are limited to 90% of base salary and bonus payments. The Deferred Compensation Plan became effective January 1, 2024, and allows for employee deferrals of base salary, incentives and bonus compensation. Participants in the Deferred Compensation Plan are permitted the opportunity to accumulate earnings on their deferrals by selecting hypothetical investments from among those offered as investment funds under the 401(k) Plan. Elective deferrals are subject to earnings as set forth in the Deferred Compensation Plan and are not matched by the Company. The Company has discretion to make a separate deferral to participant accounts. All NEOs received a Company contribution in 2025 as part of the Executive Restoration Plan as described above.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concerning the benefits under the Company’s deferred compensation plans as of December 31,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NAME</w:t>
            </w:r>
          </w:p>
        </w:tc>
        <w:tc>
          <w:tcPr>
            <w:tcW w:w="2520" w:type="dxa"/>
            <w:vAlign w:val="bottom"/>
            <w:gridSpan w:val="2"/>
            <w:shd w:val="clear" w:color="auto" w:fill="062B48"/>
          </w:tcPr>
          <w:p>
            <w:pPr>
              <w:jc w:val="right"/>
              <w:ind w:right="90"/>
              <w:spacing w:after="0"/>
              <w:rPr>
                <w:sz w:val="20"/>
                <w:szCs w:val="20"/>
                <w:color w:val="auto"/>
              </w:rPr>
            </w:pPr>
            <w:r>
              <w:rPr>
                <w:rFonts w:ascii="Calibri" w:cs="Calibri" w:eastAsia="Calibri" w:hAnsi="Calibri"/>
                <w:sz w:val="14"/>
                <w:szCs w:val="14"/>
                <w:color w:val="FFFFFF"/>
              </w:rPr>
              <w:t>EXECUTIVE CONTRIBUTIONS</w:t>
            </w:r>
          </w:p>
        </w:tc>
        <w:tc>
          <w:tcPr>
            <w:tcW w:w="1940" w:type="dxa"/>
            <w:vAlign w:val="bottom"/>
            <w:gridSpan w:val="2"/>
            <w:shd w:val="clear" w:color="auto" w:fill="062B48"/>
          </w:tcPr>
          <w:p>
            <w:pPr>
              <w:jc w:val="right"/>
              <w:ind w:right="50"/>
              <w:spacing w:after="0"/>
              <w:rPr>
                <w:sz w:val="20"/>
                <w:szCs w:val="20"/>
                <w:color w:val="auto"/>
              </w:rPr>
            </w:pPr>
            <w:r>
              <w:rPr>
                <w:rFonts w:ascii="Calibri" w:cs="Calibri" w:eastAsia="Calibri" w:hAnsi="Calibri"/>
                <w:sz w:val="14"/>
                <w:szCs w:val="14"/>
                <w:color w:val="FFFFFF"/>
              </w:rPr>
              <w:t>COMPANY CONTRIBUTION IN</w:t>
            </w:r>
          </w:p>
        </w:tc>
        <w:tc>
          <w:tcPr>
            <w:tcW w:w="180" w:type="dxa"/>
            <w:vAlign w:val="bottom"/>
            <w:shd w:val="clear" w:color="auto" w:fill="062B48"/>
          </w:tcPr>
          <w:p>
            <w:pPr>
              <w:spacing w:after="0"/>
              <w:rPr>
                <w:sz w:val="14"/>
                <w:szCs w:val="14"/>
                <w:color w:val="auto"/>
              </w:rPr>
            </w:pPr>
          </w:p>
        </w:tc>
        <w:tc>
          <w:tcPr>
            <w:tcW w:w="1720" w:type="dxa"/>
            <w:vAlign w:val="bottom"/>
            <w:shd w:val="clear" w:color="auto" w:fill="062B48"/>
          </w:tcPr>
          <w:p>
            <w:pPr>
              <w:jc w:val="right"/>
              <w:ind w:right="129"/>
              <w:spacing w:after="0"/>
              <w:rPr>
                <w:sz w:val="20"/>
                <w:szCs w:val="20"/>
                <w:color w:val="auto"/>
              </w:rPr>
            </w:pPr>
            <w:r>
              <w:rPr>
                <w:rFonts w:ascii="Calibri" w:cs="Calibri" w:eastAsia="Calibri" w:hAnsi="Calibri"/>
                <w:sz w:val="14"/>
                <w:szCs w:val="14"/>
                <w:color w:val="FFFFFF"/>
              </w:rPr>
              <w:t>AGGREGATE EARNINGS IN</w:t>
            </w:r>
          </w:p>
        </w:tc>
        <w:tc>
          <w:tcPr>
            <w:tcW w:w="1880" w:type="dxa"/>
            <w:vAlign w:val="bottom"/>
            <w:gridSpan w:val="2"/>
            <w:shd w:val="clear" w:color="auto" w:fill="062B48"/>
          </w:tcPr>
          <w:p>
            <w:pPr>
              <w:jc w:val="right"/>
              <w:ind w:right="50"/>
              <w:spacing w:after="0"/>
              <w:rPr>
                <w:sz w:val="20"/>
                <w:szCs w:val="20"/>
                <w:color w:val="auto"/>
              </w:rPr>
            </w:pPr>
            <w:r>
              <w:rPr>
                <w:rFonts w:ascii="Calibri" w:cs="Calibri" w:eastAsia="Calibri" w:hAnsi="Calibri"/>
                <w:sz w:val="14"/>
                <w:szCs w:val="14"/>
                <w:color w:val="FFFFFF"/>
              </w:rPr>
              <w:t>AGGREGATE BALANCE AS OF</w:t>
            </w:r>
          </w:p>
        </w:tc>
        <w:tc>
          <w:tcPr>
            <w:tcW w:w="0" w:type="dxa"/>
            <w:vAlign w:val="bottom"/>
          </w:tcPr>
          <w:p>
            <w:pPr>
              <w:spacing w:after="0"/>
              <w:rPr>
                <w:sz w:val="1"/>
                <w:szCs w:val="1"/>
                <w:color w:val="auto"/>
              </w:rPr>
            </w:pPr>
          </w:p>
        </w:tc>
      </w:tr>
      <w:tr>
        <w:trPr>
          <w:trHeight w:val="78"/>
        </w:trPr>
        <w:tc>
          <w:tcPr>
            <w:tcW w:w="1860" w:type="dxa"/>
            <w:vAlign w:val="bottom"/>
            <w:vMerge w:val="continue"/>
            <w:shd w:val="clear" w:color="auto" w:fill="062B48"/>
          </w:tcPr>
          <w:p>
            <w:pPr>
              <w:spacing w:after="0"/>
              <w:rPr>
                <w:sz w:val="6"/>
                <w:szCs w:val="6"/>
                <w:color w:val="auto"/>
              </w:rPr>
            </w:pPr>
          </w:p>
        </w:tc>
        <w:tc>
          <w:tcPr>
            <w:tcW w:w="960" w:type="dxa"/>
            <w:vAlign w:val="bottom"/>
            <w:shd w:val="clear" w:color="auto" w:fill="062B48"/>
          </w:tcPr>
          <w:p>
            <w:pPr>
              <w:spacing w:after="0"/>
              <w:rPr>
                <w:sz w:val="6"/>
                <w:szCs w:val="6"/>
                <w:color w:val="auto"/>
              </w:rPr>
            </w:pPr>
          </w:p>
        </w:tc>
        <w:tc>
          <w:tcPr>
            <w:tcW w:w="1560" w:type="dxa"/>
            <w:vAlign w:val="bottom"/>
            <w:vMerge w:val="restart"/>
            <w:shd w:val="clear" w:color="auto" w:fill="062B48"/>
          </w:tcPr>
          <w:p>
            <w:pPr>
              <w:jc w:val="right"/>
              <w:ind w:right="510"/>
              <w:spacing w:after="0" w:line="191" w:lineRule="exact"/>
              <w:rPr>
                <w:sz w:val="20"/>
                <w:szCs w:val="20"/>
                <w:color w:val="auto"/>
              </w:rPr>
            </w:pPr>
            <w:r>
              <w:rPr>
                <w:rFonts w:ascii="Calibri" w:cs="Calibri" w:eastAsia="Calibri" w:hAnsi="Calibri"/>
                <w:sz w:val="13"/>
                <w:szCs w:val="13"/>
                <w:color w:val="FFFFFF"/>
              </w:rPr>
              <w:t>IN 2025 ($)</w:t>
            </w:r>
            <w:r>
              <w:rPr>
                <w:rFonts w:ascii="Calibri" w:cs="Calibri" w:eastAsia="Calibri" w:hAnsi="Calibri"/>
                <w:sz w:val="20"/>
                <w:szCs w:val="20"/>
                <w:color w:val="FFFFFF"/>
                <w:vertAlign w:val="superscript"/>
              </w:rPr>
              <w:t>(1)</w:t>
            </w:r>
          </w:p>
        </w:tc>
        <w:tc>
          <w:tcPr>
            <w:tcW w:w="420" w:type="dxa"/>
            <w:vAlign w:val="bottom"/>
            <w:shd w:val="clear" w:color="auto" w:fill="062B48"/>
          </w:tcPr>
          <w:p>
            <w:pPr>
              <w:spacing w:after="0"/>
              <w:rPr>
                <w:sz w:val="6"/>
                <w:szCs w:val="6"/>
                <w:color w:val="auto"/>
              </w:rPr>
            </w:pPr>
          </w:p>
        </w:tc>
        <w:tc>
          <w:tcPr>
            <w:tcW w:w="1520" w:type="dxa"/>
            <w:vAlign w:val="bottom"/>
            <w:vMerge w:val="restart"/>
            <w:shd w:val="clear" w:color="auto" w:fill="062B48"/>
          </w:tcPr>
          <w:p>
            <w:pPr>
              <w:jc w:val="right"/>
              <w:ind w:right="590"/>
              <w:spacing w:after="0" w:line="191" w:lineRule="exact"/>
              <w:rPr>
                <w:sz w:val="20"/>
                <w:szCs w:val="20"/>
                <w:color w:val="auto"/>
              </w:rPr>
            </w:pPr>
            <w:r>
              <w:rPr>
                <w:rFonts w:ascii="Calibri" w:cs="Calibri" w:eastAsia="Calibri" w:hAnsi="Calibri"/>
                <w:sz w:val="13"/>
                <w:szCs w:val="13"/>
                <w:color w:val="FFFFFF"/>
              </w:rPr>
              <w:t>2025 ($)</w:t>
            </w:r>
            <w:r>
              <w:rPr>
                <w:rFonts w:ascii="Calibri" w:cs="Calibri" w:eastAsia="Calibri" w:hAnsi="Calibri"/>
                <w:sz w:val="20"/>
                <w:szCs w:val="20"/>
                <w:color w:val="FFFFFF"/>
                <w:vertAlign w:val="superscript"/>
              </w:rPr>
              <w:t>(2)</w:t>
            </w:r>
          </w:p>
        </w:tc>
        <w:tc>
          <w:tcPr>
            <w:tcW w:w="180" w:type="dxa"/>
            <w:vAlign w:val="bottom"/>
            <w:shd w:val="clear" w:color="auto" w:fill="062B48"/>
          </w:tcPr>
          <w:p>
            <w:pPr>
              <w:spacing w:after="0"/>
              <w:rPr>
                <w:sz w:val="6"/>
                <w:szCs w:val="6"/>
                <w:color w:val="auto"/>
              </w:rPr>
            </w:pPr>
          </w:p>
        </w:tc>
        <w:tc>
          <w:tcPr>
            <w:tcW w:w="1720" w:type="dxa"/>
            <w:vAlign w:val="bottom"/>
            <w:vMerge w:val="restart"/>
            <w:shd w:val="clear" w:color="auto" w:fill="062B48"/>
          </w:tcPr>
          <w:p>
            <w:pPr>
              <w:jc w:val="right"/>
              <w:ind w:right="649"/>
              <w:spacing w:after="0"/>
              <w:rPr>
                <w:sz w:val="20"/>
                <w:szCs w:val="20"/>
                <w:color w:val="auto"/>
              </w:rPr>
            </w:pPr>
            <w:r>
              <w:rPr>
                <w:rFonts w:ascii="Calibri" w:cs="Calibri" w:eastAsia="Calibri" w:hAnsi="Calibri"/>
                <w:sz w:val="14"/>
                <w:szCs w:val="14"/>
                <w:color w:val="FFFFFF"/>
              </w:rPr>
              <w:t>2025 ($)</w:t>
            </w:r>
          </w:p>
        </w:tc>
        <w:tc>
          <w:tcPr>
            <w:tcW w:w="400" w:type="dxa"/>
            <w:vAlign w:val="bottom"/>
            <w:shd w:val="clear" w:color="auto" w:fill="062B48"/>
          </w:tcPr>
          <w:p>
            <w:pPr>
              <w:spacing w:after="0"/>
              <w:rPr>
                <w:sz w:val="6"/>
                <w:szCs w:val="6"/>
                <w:color w:val="auto"/>
              </w:rPr>
            </w:pPr>
          </w:p>
        </w:tc>
        <w:tc>
          <w:tcPr>
            <w:tcW w:w="1480" w:type="dxa"/>
            <w:vAlign w:val="bottom"/>
            <w:vMerge w:val="restart"/>
            <w:shd w:val="clear" w:color="auto" w:fill="062B48"/>
          </w:tcPr>
          <w:p>
            <w:pPr>
              <w:jc w:val="right"/>
              <w:ind w:right="570"/>
              <w:spacing w:after="0" w:line="191" w:lineRule="exact"/>
              <w:rPr>
                <w:sz w:val="20"/>
                <w:szCs w:val="20"/>
                <w:color w:val="auto"/>
              </w:rPr>
            </w:pPr>
            <w:r>
              <w:rPr>
                <w:rFonts w:ascii="Calibri" w:cs="Calibri" w:eastAsia="Calibri" w:hAnsi="Calibri"/>
                <w:sz w:val="13"/>
                <w:szCs w:val="13"/>
                <w:color w:val="FFFFFF"/>
              </w:rPr>
              <w:t>2025 ($)</w:t>
            </w:r>
            <w:r>
              <w:rPr>
                <w:rFonts w:ascii="Calibri" w:cs="Calibri" w:eastAsia="Calibri" w:hAnsi="Calibri"/>
                <w:sz w:val="20"/>
                <w:szCs w:val="20"/>
                <w:color w:val="FFFFFF"/>
                <w:vertAlign w:val="superscript"/>
              </w:rPr>
              <w:t>(3)</w:t>
            </w:r>
          </w:p>
        </w:tc>
        <w:tc>
          <w:tcPr>
            <w:tcW w:w="0" w:type="dxa"/>
            <w:vAlign w:val="bottom"/>
          </w:tcPr>
          <w:p>
            <w:pPr>
              <w:spacing w:after="0"/>
              <w:rPr>
                <w:sz w:val="1"/>
                <w:szCs w:val="1"/>
                <w:color w:val="auto"/>
              </w:rPr>
            </w:pPr>
          </w:p>
        </w:tc>
      </w:tr>
      <w:tr>
        <w:trPr>
          <w:trHeight w:val="113"/>
        </w:trPr>
        <w:tc>
          <w:tcPr>
            <w:tcW w:w="1860" w:type="dxa"/>
            <w:vAlign w:val="bottom"/>
            <w:shd w:val="clear" w:color="auto" w:fill="062B48"/>
          </w:tcPr>
          <w:p>
            <w:pPr>
              <w:spacing w:after="0"/>
              <w:rPr>
                <w:sz w:val="9"/>
                <w:szCs w:val="9"/>
                <w:color w:val="auto"/>
              </w:rPr>
            </w:pPr>
          </w:p>
        </w:tc>
        <w:tc>
          <w:tcPr>
            <w:tcW w:w="960" w:type="dxa"/>
            <w:vAlign w:val="bottom"/>
            <w:shd w:val="clear" w:color="auto" w:fill="062B48"/>
          </w:tcPr>
          <w:p>
            <w:pPr>
              <w:spacing w:after="0"/>
              <w:rPr>
                <w:sz w:val="9"/>
                <w:szCs w:val="9"/>
                <w:color w:val="auto"/>
              </w:rPr>
            </w:pPr>
          </w:p>
        </w:tc>
        <w:tc>
          <w:tcPr>
            <w:tcW w:w="1560" w:type="dxa"/>
            <w:vAlign w:val="bottom"/>
            <w:vMerge w:val="continue"/>
            <w:shd w:val="clear" w:color="auto" w:fill="062B48"/>
          </w:tcPr>
          <w:p>
            <w:pPr>
              <w:spacing w:after="0"/>
              <w:rPr>
                <w:sz w:val="9"/>
                <w:szCs w:val="9"/>
                <w:color w:val="auto"/>
              </w:rPr>
            </w:pPr>
          </w:p>
        </w:tc>
        <w:tc>
          <w:tcPr>
            <w:tcW w:w="420" w:type="dxa"/>
            <w:vAlign w:val="bottom"/>
            <w:shd w:val="clear" w:color="auto" w:fill="062B48"/>
          </w:tcPr>
          <w:p>
            <w:pPr>
              <w:spacing w:after="0"/>
              <w:rPr>
                <w:sz w:val="9"/>
                <w:szCs w:val="9"/>
                <w:color w:val="auto"/>
              </w:rPr>
            </w:pPr>
          </w:p>
        </w:tc>
        <w:tc>
          <w:tcPr>
            <w:tcW w:w="1520" w:type="dxa"/>
            <w:vAlign w:val="bottom"/>
            <w:vMerge w:val="continue"/>
            <w:shd w:val="clear" w:color="auto" w:fill="062B48"/>
          </w:tcPr>
          <w:p>
            <w:pPr>
              <w:spacing w:after="0"/>
              <w:rPr>
                <w:sz w:val="9"/>
                <w:szCs w:val="9"/>
                <w:color w:val="auto"/>
              </w:rPr>
            </w:pPr>
          </w:p>
        </w:tc>
        <w:tc>
          <w:tcPr>
            <w:tcW w:w="180" w:type="dxa"/>
            <w:vAlign w:val="bottom"/>
            <w:shd w:val="clear" w:color="auto" w:fill="062B48"/>
          </w:tcPr>
          <w:p>
            <w:pPr>
              <w:spacing w:after="0"/>
              <w:rPr>
                <w:sz w:val="9"/>
                <w:szCs w:val="9"/>
                <w:color w:val="auto"/>
              </w:rPr>
            </w:pPr>
          </w:p>
        </w:tc>
        <w:tc>
          <w:tcPr>
            <w:tcW w:w="1720" w:type="dxa"/>
            <w:vAlign w:val="bottom"/>
            <w:vMerge w:val="continue"/>
            <w:shd w:val="clear" w:color="auto" w:fill="062B48"/>
          </w:tcPr>
          <w:p>
            <w:pPr>
              <w:spacing w:after="0"/>
              <w:rPr>
                <w:sz w:val="9"/>
                <w:szCs w:val="9"/>
                <w:color w:val="auto"/>
              </w:rPr>
            </w:pPr>
          </w:p>
        </w:tc>
        <w:tc>
          <w:tcPr>
            <w:tcW w:w="400" w:type="dxa"/>
            <w:vAlign w:val="bottom"/>
            <w:shd w:val="clear" w:color="auto" w:fill="062B48"/>
          </w:tcPr>
          <w:p>
            <w:pPr>
              <w:spacing w:after="0"/>
              <w:rPr>
                <w:sz w:val="9"/>
                <w:szCs w:val="9"/>
                <w:color w:val="auto"/>
              </w:rPr>
            </w:pPr>
          </w:p>
        </w:tc>
        <w:tc>
          <w:tcPr>
            <w:tcW w:w="1480" w:type="dxa"/>
            <w:vAlign w:val="bottom"/>
            <w:vMerge w:val="continue"/>
            <w:shd w:val="clear" w:color="auto" w:fill="062B48"/>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860" w:type="dxa"/>
            <w:vAlign w:val="bottom"/>
            <w:tcBorders>
              <w:bottom w:val="single" w:sz="8" w:color="1AB2D2"/>
            </w:tcBorders>
          </w:tcPr>
          <w:p>
            <w:pPr>
              <w:ind w:left="160"/>
              <w:spacing w:after="0" w:line="169" w:lineRule="exact"/>
              <w:rPr>
                <w:sz w:val="20"/>
                <w:szCs w:val="20"/>
                <w:color w:val="auto"/>
              </w:rPr>
            </w:pPr>
            <w:r>
              <w:rPr>
                <w:rFonts w:ascii="Calibri" w:cs="Calibri" w:eastAsia="Calibri" w:hAnsi="Calibri"/>
                <w:sz w:val="14"/>
                <w:szCs w:val="14"/>
                <w:color w:val="auto"/>
              </w:rPr>
              <w:t>Kate A. Lorenson</w:t>
            </w:r>
          </w:p>
        </w:tc>
        <w:tc>
          <w:tcPr>
            <w:tcW w:w="960" w:type="dxa"/>
            <w:vAlign w:val="bottom"/>
            <w:tcBorders>
              <w:bottom w:val="single" w:sz="8" w:color="1AB2D2"/>
            </w:tcBorders>
          </w:tcPr>
          <w:p>
            <w:pPr>
              <w:jc w:val="right"/>
              <w:ind w:right="129"/>
              <w:spacing w:after="0" w:line="169" w:lineRule="exact"/>
              <w:rPr>
                <w:sz w:val="20"/>
                <w:szCs w:val="20"/>
                <w:color w:val="auto"/>
              </w:rPr>
            </w:pPr>
            <w:r>
              <w:rPr>
                <w:rFonts w:ascii="Calibri" w:cs="Calibri" w:eastAsia="Calibri" w:hAnsi="Calibri"/>
                <w:sz w:val="14"/>
                <w:szCs w:val="14"/>
                <w:color w:val="auto"/>
              </w:rPr>
              <w:t>$</w:t>
            </w:r>
          </w:p>
        </w:tc>
        <w:tc>
          <w:tcPr>
            <w:tcW w:w="1560" w:type="dxa"/>
            <w:vAlign w:val="bottom"/>
            <w:tcBorders>
              <w:bottom w:val="single" w:sz="8" w:color="1AB2D2"/>
            </w:tcBorders>
          </w:tcPr>
          <w:p>
            <w:pPr>
              <w:jc w:val="right"/>
              <w:ind w:right="30"/>
              <w:spacing w:after="0" w:line="169" w:lineRule="exact"/>
              <w:rPr>
                <w:sz w:val="20"/>
                <w:szCs w:val="20"/>
                <w:color w:val="auto"/>
              </w:rPr>
            </w:pPr>
            <w:r>
              <w:rPr>
                <w:rFonts w:ascii="Calibri" w:cs="Calibri" w:eastAsia="Calibri" w:hAnsi="Calibri"/>
                <w:sz w:val="14"/>
                <w:szCs w:val="14"/>
                <w:color w:val="auto"/>
              </w:rPr>
              <w:t>31,240</w:t>
            </w:r>
          </w:p>
        </w:tc>
        <w:tc>
          <w:tcPr>
            <w:tcW w:w="420" w:type="dxa"/>
            <w:vAlign w:val="bottom"/>
            <w:tcBorders>
              <w:bottom w:val="single" w:sz="8" w:color="1AB2D2"/>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1AB2D2"/>
            </w:tcBorders>
          </w:tcPr>
          <w:p>
            <w:pPr>
              <w:jc w:val="right"/>
              <w:ind w:right="30"/>
              <w:spacing w:after="0" w:line="169" w:lineRule="exact"/>
              <w:rPr>
                <w:sz w:val="20"/>
                <w:szCs w:val="20"/>
                <w:color w:val="auto"/>
              </w:rPr>
            </w:pPr>
            <w:r>
              <w:rPr>
                <w:rFonts w:ascii="Calibri" w:cs="Calibri" w:eastAsia="Calibri" w:hAnsi="Calibri"/>
                <w:sz w:val="14"/>
                <w:szCs w:val="14"/>
                <w:color w:val="auto"/>
              </w:rPr>
              <w:t>46,613</w:t>
            </w:r>
          </w:p>
        </w:tc>
        <w:tc>
          <w:tcPr>
            <w:tcW w:w="18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c>
          <w:tcPr>
            <w:tcW w:w="1720" w:type="dxa"/>
            <w:vAlign w:val="bottom"/>
            <w:tcBorders>
              <w:bottom w:val="single" w:sz="8" w:color="1AB2D2"/>
            </w:tcBorders>
          </w:tcPr>
          <w:p>
            <w:pPr>
              <w:jc w:val="right"/>
              <w:ind w:right="29"/>
              <w:spacing w:after="0" w:line="169" w:lineRule="exact"/>
              <w:rPr>
                <w:sz w:val="20"/>
                <w:szCs w:val="20"/>
                <w:color w:val="auto"/>
              </w:rPr>
            </w:pPr>
            <w:r>
              <w:rPr>
                <w:rFonts w:ascii="Calibri" w:cs="Calibri" w:eastAsia="Calibri" w:hAnsi="Calibri"/>
                <w:sz w:val="14"/>
                <w:szCs w:val="14"/>
                <w:color w:val="auto"/>
              </w:rPr>
              <w:t>4,260</w:t>
            </w:r>
          </w:p>
        </w:tc>
        <w:tc>
          <w:tcPr>
            <w:tcW w:w="400" w:type="dxa"/>
            <w:vAlign w:val="bottom"/>
            <w:tcBorders>
              <w:bottom w:val="single" w:sz="8" w:color="1AB2D2"/>
            </w:tcBorders>
          </w:tcPr>
          <w:p>
            <w:pPr>
              <w:jc w:val="right"/>
              <w:ind w:right="169"/>
              <w:spacing w:after="0" w:line="169" w:lineRule="exact"/>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tcPr>
          <w:p>
            <w:pPr>
              <w:jc w:val="right"/>
              <w:ind w:right="10"/>
              <w:spacing w:after="0" w:line="169" w:lineRule="exact"/>
              <w:rPr>
                <w:sz w:val="20"/>
                <w:szCs w:val="20"/>
                <w:color w:val="auto"/>
              </w:rPr>
            </w:pPr>
            <w:r>
              <w:rPr>
                <w:rFonts w:ascii="Calibri" w:cs="Calibri" w:eastAsia="Calibri" w:hAnsi="Calibri"/>
                <w:sz w:val="14"/>
                <w:szCs w:val="14"/>
                <w:color w:val="auto"/>
              </w:rPr>
              <w:t>114,035</w:t>
            </w:r>
          </w:p>
        </w:tc>
        <w:tc>
          <w:tcPr>
            <w:tcW w:w="0" w:type="dxa"/>
            <w:vAlign w:val="bottom"/>
          </w:tcPr>
          <w:p>
            <w:pPr>
              <w:spacing w:after="0"/>
              <w:rPr>
                <w:sz w:val="1"/>
                <w:szCs w:val="1"/>
                <w:color w:val="auto"/>
              </w:rPr>
            </w:pPr>
          </w:p>
        </w:tc>
      </w:tr>
      <w:tr>
        <w:trPr>
          <w:trHeight w:val="167"/>
        </w:trPr>
        <w:tc>
          <w:tcPr>
            <w:tcW w:w="186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Alan A. Villalon</w:t>
            </w:r>
          </w:p>
        </w:tc>
        <w:tc>
          <w:tcPr>
            <w:tcW w:w="960" w:type="dxa"/>
            <w:vAlign w:val="bottom"/>
            <w:tcBorders>
              <w:bottom w:val="single" w:sz="8" w:color="1AB2D2"/>
            </w:tcBorders>
          </w:tcPr>
          <w:p>
            <w:pPr>
              <w:jc w:val="right"/>
              <w:ind w:right="129"/>
              <w:spacing w:after="0" w:line="167" w:lineRule="exact"/>
              <w:rPr>
                <w:sz w:val="20"/>
                <w:szCs w:val="20"/>
                <w:color w:val="auto"/>
              </w:rPr>
            </w:pPr>
            <w:r>
              <w:rPr>
                <w:rFonts w:ascii="Calibri" w:cs="Calibri" w:eastAsia="Calibri" w:hAnsi="Calibri"/>
                <w:sz w:val="14"/>
                <w:szCs w:val="14"/>
                <w:color w:val="auto"/>
              </w:rPr>
              <w:t>$</w:t>
            </w:r>
          </w:p>
        </w:tc>
        <w:tc>
          <w:tcPr>
            <w:tcW w:w="156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89,863</w:t>
            </w:r>
          </w:p>
        </w:tc>
        <w:tc>
          <w:tcPr>
            <w:tcW w:w="42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11,618</w:t>
            </w:r>
          </w:p>
        </w:tc>
        <w:tc>
          <w:tcPr>
            <w:tcW w:w="18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7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16,541</w:t>
            </w:r>
          </w:p>
        </w:tc>
        <w:tc>
          <w:tcPr>
            <w:tcW w:w="40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tcPr>
          <w:p>
            <w:pPr>
              <w:jc w:val="right"/>
              <w:ind w:right="10"/>
              <w:spacing w:after="0" w:line="167" w:lineRule="exact"/>
              <w:rPr>
                <w:sz w:val="20"/>
                <w:szCs w:val="20"/>
                <w:color w:val="auto"/>
              </w:rPr>
            </w:pPr>
            <w:r>
              <w:rPr>
                <w:rFonts w:ascii="Calibri" w:cs="Calibri" w:eastAsia="Calibri" w:hAnsi="Calibri"/>
                <w:sz w:val="14"/>
                <w:szCs w:val="14"/>
                <w:color w:val="auto"/>
              </w:rPr>
              <w:t>155,143</w:t>
            </w:r>
          </w:p>
        </w:tc>
        <w:tc>
          <w:tcPr>
            <w:tcW w:w="0" w:type="dxa"/>
            <w:vAlign w:val="bottom"/>
          </w:tcPr>
          <w:p>
            <w:pPr>
              <w:spacing w:after="0"/>
              <w:rPr>
                <w:sz w:val="1"/>
                <w:szCs w:val="1"/>
                <w:color w:val="auto"/>
              </w:rPr>
            </w:pPr>
          </w:p>
        </w:tc>
      </w:tr>
      <w:tr>
        <w:trPr>
          <w:trHeight w:val="167"/>
        </w:trPr>
        <w:tc>
          <w:tcPr>
            <w:tcW w:w="186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Jim R. Collins</w:t>
            </w:r>
          </w:p>
        </w:tc>
        <w:tc>
          <w:tcPr>
            <w:tcW w:w="960" w:type="dxa"/>
            <w:vAlign w:val="bottom"/>
            <w:tcBorders>
              <w:bottom w:val="single" w:sz="8" w:color="1AB2D2"/>
            </w:tcBorders>
          </w:tcPr>
          <w:p>
            <w:pPr>
              <w:jc w:val="right"/>
              <w:ind w:right="129"/>
              <w:spacing w:after="0" w:line="167" w:lineRule="exact"/>
              <w:rPr>
                <w:sz w:val="20"/>
                <w:szCs w:val="20"/>
                <w:color w:val="auto"/>
              </w:rPr>
            </w:pPr>
            <w:r>
              <w:rPr>
                <w:rFonts w:ascii="Calibri" w:cs="Calibri" w:eastAsia="Calibri" w:hAnsi="Calibri"/>
                <w:sz w:val="14"/>
                <w:szCs w:val="14"/>
                <w:color w:val="auto"/>
              </w:rPr>
              <w:t>$</w:t>
            </w:r>
          </w:p>
        </w:tc>
        <w:tc>
          <w:tcPr>
            <w:tcW w:w="156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46,403</w:t>
            </w:r>
          </w:p>
        </w:tc>
        <w:tc>
          <w:tcPr>
            <w:tcW w:w="42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22,643</w:t>
            </w:r>
          </w:p>
        </w:tc>
        <w:tc>
          <w:tcPr>
            <w:tcW w:w="18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7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4,440</w:t>
            </w:r>
          </w:p>
        </w:tc>
        <w:tc>
          <w:tcPr>
            <w:tcW w:w="40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tcPr>
          <w:p>
            <w:pPr>
              <w:jc w:val="right"/>
              <w:ind w:right="10"/>
              <w:spacing w:after="0" w:line="167" w:lineRule="exact"/>
              <w:rPr>
                <w:sz w:val="20"/>
                <w:szCs w:val="20"/>
                <w:color w:val="auto"/>
              </w:rPr>
            </w:pPr>
            <w:r>
              <w:rPr>
                <w:rFonts w:ascii="Calibri" w:cs="Calibri" w:eastAsia="Calibri" w:hAnsi="Calibri"/>
                <w:sz w:val="14"/>
                <w:szCs w:val="14"/>
                <w:color w:val="auto"/>
              </w:rPr>
              <w:t>102,171</w:t>
            </w:r>
          </w:p>
        </w:tc>
        <w:tc>
          <w:tcPr>
            <w:tcW w:w="0" w:type="dxa"/>
            <w:vAlign w:val="bottom"/>
          </w:tcPr>
          <w:p>
            <w:pPr>
              <w:spacing w:after="0"/>
              <w:rPr>
                <w:sz w:val="1"/>
                <w:szCs w:val="1"/>
                <w:color w:val="auto"/>
              </w:rPr>
            </w:pPr>
          </w:p>
        </w:tc>
      </w:tr>
      <w:tr>
        <w:trPr>
          <w:trHeight w:val="167"/>
        </w:trPr>
        <w:tc>
          <w:tcPr>
            <w:tcW w:w="186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Karin M. Taylor</w:t>
            </w:r>
          </w:p>
        </w:tc>
        <w:tc>
          <w:tcPr>
            <w:tcW w:w="960" w:type="dxa"/>
            <w:vAlign w:val="bottom"/>
            <w:tcBorders>
              <w:bottom w:val="single" w:sz="8" w:color="1AB2D2"/>
            </w:tcBorders>
          </w:tcPr>
          <w:p>
            <w:pPr>
              <w:jc w:val="right"/>
              <w:ind w:right="129"/>
              <w:spacing w:after="0" w:line="167" w:lineRule="exact"/>
              <w:rPr>
                <w:sz w:val="20"/>
                <w:szCs w:val="20"/>
                <w:color w:val="auto"/>
              </w:rPr>
            </w:pPr>
            <w:r>
              <w:rPr>
                <w:rFonts w:ascii="Calibri" w:cs="Calibri" w:eastAsia="Calibri" w:hAnsi="Calibri"/>
                <w:sz w:val="14"/>
                <w:szCs w:val="14"/>
                <w:color w:val="auto"/>
              </w:rPr>
              <w:t>$</w:t>
            </w:r>
          </w:p>
        </w:tc>
        <w:tc>
          <w:tcPr>
            <w:tcW w:w="156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20,240</w:t>
            </w:r>
          </w:p>
        </w:tc>
        <w:tc>
          <w:tcPr>
            <w:tcW w:w="42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16,032</w:t>
            </w:r>
          </w:p>
        </w:tc>
        <w:tc>
          <w:tcPr>
            <w:tcW w:w="18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7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3,890</w:t>
            </w:r>
          </w:p>
        </w:tc>
        <w:tc>
          <w:tcPr>
            <w:tcW w:w="40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tcPr>
          <w:p>
            <w:pPr>
              <w:jc w:val="right"/>
              <w:ind w:right="10"/>
              <w:spacing w:after="0" w:line="167" w:lineRule="exact"/>
              <w:rPr>
                <w:sz w:val="20"/>
                <w:szCs w:val="20"/>
                <w:color w:val="auto"/>
              </w:rPr>
            </w:pPr>
            <w:r>
              <w:rPr>
                <w:rFonts w:ascii="Calibri" w:cs="Calibri" w:eastAsia="Calibri" w:hAnsi="Calibri"/>
                <w:sz w:val="14"/>
                <w:szCs w:val="14"/>
                <w:color w:val="auto"/>
              </w:rPr>
              <w:t>60,226</w:t>
            </w:r>
          </w:p>
        </w:tc>
        <w:tc>
          <w:tcPr>
            <w:tcW w:w="0" w:type="dxa"/>
            <w:vAlign w:val="bottom"/>
          </w:tcPr>
          <w:p>
            <w:pPr>
              <w:spacing w:after="0"/>
              <w:rPr>
                <w:sz w:val="1"/>
                <w:szCs w:val="1"/>
                <w:color w:val="auto"/>
              </w:rPr>
            </w:pPr>
          </w:p>
        </w:tc>
      </w:tr>
      <w:tr>
        <w:trPr>
          <w:trHeight w:val="167"/>
        </w:trPr>
        <w:tc>
          <w:tcPr>
            <w:tcW w:w="1860" w:type="dxa"/>
            <w:vAlign w:val="bottom"/>
            <w:tcBorders>
              <w:bottom w:val="single" w:sz="8" w:color="1AB2D2"/>
            </w:tcBorders>
          </w:tcPr>
          <w:p>
            <w:pPr>
              <w:ind w:left="160"/>
              <w:spacing w:after="0" w:line="167" w:lineRule="exact"/>
              <w:rPr>
                <w:sz w:val="20"/>
                <w:szCs w:val="20"/>
                <w:color w:val="auto"/>
              </w:rPr>
            </w:pPr>
            <w:r>
              <w:rPr>
                <w:rFonts w:ascii="Calibri" w:cs="Calibri" w:eastAsia="Calibri" w:hAnsi="Calibri"/>
                <w:sz w:val="14"/>
                <w:szCs w:val="14"/>
                <w:color w:val="auto"/>
              </w:rPr>
              <w:t>Forrest R. Wilson</w:t>
            </w:r>
          </w:p>
        </w:tc>
        <w:tc>
          <w:tcPr>
            <w:tcW w:w="960" w:type="dxa"/>
            <w:vAlign w:val="bottom"/>
            <w:tcBorders>
              <w:bottom w:val="single" w:sz="8" w:color="1AB2D2"/>
            </w:tcBorders>
          </w:tcPr>
          <w:p>
            <w:pPr>
              <w:jc w:val="right"/>
              <w:ind w:right="129"/>
              <w:spacing w:after="0" w:line="167" w:lineRule="exact"/>
              <w:rPr>
                <w:sz w:val="20"/>
                <w:szCs w:val="20"/>
                <w:color w:val="auto"/>
              </w:rPr>
            </w:pPr>
            <w:r>
              <w:rPr>
                <w:rFonts w:ascii="Calibri" w:cs="Calibri" w:eastAsia="Calibri" w:hAnsi="Calibri"/>
                <w:sz w:val="14"/>
                <w:szCs w:val="14"/>
                <w:color w:val="auto"/>
              </w:rPr>
              <w:t>$</w:t>
            </w:r>
          </w:p>
        </w:tc>
        <w:tc>
          <w:tcPr>
            <w:tcW w:w="156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w:t>
            </w:r>
          </w:p>
        </w:tc>
        <w:tc>
          <w:tcPr>
            <w:tcW w:w="42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520" w:type="dxa"/>
            <w:vAlign w:val="bottom"/>
            <w:tcBorders>
              <w:bottom w:val="single" w:sz="8" w:color="1AB2D2"/>
            </w:tcBorders>
          </w:tcPr>
          <w:p>
            <w:pPr>
              <w:jc w:val="right"/>
              <w:ind w:right="30"/>
              <w:spacing w:after="0" w:line="167" w:lineRule="exact"/>
              <w:rPr>
                <w:sz w:val="20"/>
                <w:szCs w:val="20"/>
                <w:color w:val="auto"/>
              </w:rPr>
            </w:pPr>
            <w:r>
              <w:rPr>
                <w:rFonts w:ascii="Calibri" w:cs="Calibri" w:eastAsia="Calibri" w:hAnsi="Calibri"/>
                <w:sz w:val="14"/>
                <w:szCs w:val="14"/>
                <w:color w:val="auto"/>
              </w:rPr>
              <w:t>12,844</w:t>
            </w:r>
          </w:p>
        </w:tc>
        <w:tc>
          <w:tcPr>
            <w:tcW w:w="180" w:type="dxa"/>
            <w:vAlign w:val="bottom"/>
            <w:tcBorders>
              <w:bottom w:val="single" w:sz="8" w:color="1AB2D2"/>
            </w:tcBorders>
          </w:tcPr>
          <w:p>
            <w:pPr>
              <w:jc w:val="right"/>
              <w:spacing w:after="0" w:line="167" w:lineRule="exact"/>
              <w:rPr>
                <w:sz w:val="20"/>
                <w:szCs w:val="20"/>
                <w:color w:val="auto"/>
              </w:rPr>
            </w:pPr>
            <w:r>
              <w:rPr>
                <w:rFonts w:ascii="Calibri" w:cs="Calibri" w:eastAsia="Calibri" w:hAnsi="Calibri"/>
                <w:sz w:val="14"/>
                <w:szCs w:val="14"/>
                <w:color w:val="auto"/>
              </w:rPr>
              <w:t>$</w:t>
            </w:r>
          </w:p>
        </w:tc>
        <w:tc>
          <w:tcPr>
            <w:tcW w:w="1720" w:type="dxa"/>
            <w:vAlign w:val="bottom"/>
            <w:tcBorders>
              <w:bottom w:val="single" w:sz="8" w:color="1AB2D2"/>
            </w:tcBorders>
          </w:tcPr>
          <w:p>
            <w:pPr>
              <w:jc w:val="right"/>
              <w:ind w:right="29"/>
              <w:spacing w:after="0" w:line="167" w:lineRule="exact"/>
              <w:rPr>
                <w:sz w:val="20"/>
                <w:szCs w:val="20"/>
                <w:color w:val="auto"/>
              </w:rPr>
            </w:pPr>
            <w:r>
              <w:rPr>
                <w:rFonts w:ascii="Calibri" w:cs="Calibri" w:eastAsia="Calibri" w:hAnsi="Calibri"/>
                <w:sz w:val="14"/>
                <w:szCs w:val="14"/>
                <w:color w:val="auto"/>
              </w:rPr>
              <w:t>—</w:t>
            </w:r>
          </w:p>
        </w:tc>
        <w:tc>
          <w:tcPr>
            <w:tcW w:w="400" w:type="dxa"/>
            <w:vAlign w:val="bottom"/>
            <w:tcBorders>
              <w:bottom w:val="single" w:sz="8" w:color="1AB2D2"/>
            </w:tcBorders>
          </w:tcPr>
          <w:p>
            <w:pPr>
              <w:jc w:val="right"/>
              <w:ind w:right="169"/>
              <w:spacing w:after="0" w:line="167" w:lineRule="exact"/>
              <w:rPr>
                <w:sz w:val="20"/>
                <w:szCs w:val="20"/>
                <w:color w:val="auto"/>
              </w:rPr>
            </w:pPr>
            <w:r>
              <w:rPr>
                <w:rFonts w:ascii="Calibri" w:cs="Calibri" w:eastAsia="Calibri" w:hAnsi="Calibri"/>
                <w:sz w:val="14"/>
                <w:szCs w:val="14"/>
                <w:color w:val="auto"/>
              </w:rPr>
              <w:t>$</w:t>
            </w:r>
          </w:p>
        </w:tc>
        <w:tc>
          <w:tcPr>
            <w:tcW w:w="1480" w:type="dxa"/>
            <w:vAlign w:val="bottom"/>
            <w:tcBorders>
              <w:bottom w:val="single" w:sz="8" w:color="1AB2D2"/>
            </w:tcBorders>
          </w:tcPr>
          <w:p>
            <w:pPr>
              <w:jc w:val="right"/>
              <w:ind w:right="10"/>
              <w:spacing w:after="0" w:line="167" w:lineRule="exact"/>
              <w:rPr>
                <w:sz w:val="20"/>
                <w:szCs w:val="20"/>
                <w:color w:val="auto"/>
              </w:rPr>
            </w:pPr>
            <w:r>
              <w:rPr>
                <w:rFonts w:ascii="Calibri" w:cs="Calibri" w:eastAsia="Calibri" w:hAnsi="Calibri"/>
                <w:sz w:val="14"/>
                <w:szCs w:val="14"/>
                <w:color w:val="auto"/>
              </w:rPr>
              <w:t>12,844</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left="320" w:right="600" w:hanging="313"/>
        <w:spacing w:after="0" w:line="193" w:lineRule="auto"/>
        <w:tabs>
          <w:tab w:leader="none" w:pos="320" w:val="left"/>
        </w:tabs>
        <w:numPr>
          <w:ilvl w:val="0"/>
          <w:numId w:val="46"/>
        </w:numPr>
        <w:rPr>
          <w:rFonts w:ascii="Arial" w:cs="Arial" w:eastAsia="Arial" w:hAnsi="Arial"/>
          <w:sz w:val="27"/>
          <w:szCs w:val="27"/>
          <w:color w:val="auto"/>
          <w:vertAlign w:val="superscript"/>
        </w:rPr>
      </w:pPr>
      <w:r>
        <w:rPr>
          <w:rFonts w:ascii="Arial" w:cs="Arial" w:eastAsia="Arial" w:hAnsi="Arial"/>
          <w:sz w:val="16"/>
          <w:szCs w:val="16"/>
          <w:color w:val="auto"/>
        </w:rPr>
        <w:t>The amounts reflected in the “Executive Contributions in 2025” column consist of employee compensation deferrals and are included in the above Summary Compensation Table under the “Salary” and “Non-Equity Incentive Plan Compensation” columns.</w:t>
      </w:r>
    </w:p>
    <w:p>
      <w:pPr>
        <w:spacing w:after="0" w:line="42" w:lineRule="exact"/>
        <w:rPr>
          <w:rFonts w:ascii="Arial" w:cs="Arial" w:eastAsia="Arial" w:hAnsi="Arial"/>
          <w:sz w:val="27"/>
          <w:szCs w:val="27"/>
          <w:color w:val="auto"/>
          <w:vertAlign w:val="superscript"/>
        </w:rPr>
      </w:pPr>
    </w:p>
    <w:p>
      <w:pPr>
        <w:ind w:left="320" w:right="220" w:hanging="313"/>
        <w:spacing w:after="0" w:line="193" w:lineRule="auto"/>
        <w:tabs>
          <w:tab w:leader="none" w:pos="320" w:val="left"/>
        </w:tabs>
        <w:numPr>
          <w:ilvl w:val="0"/>
          <w:numId w:val="46"/>
        </w:numPr>
        <w:rPr>
          <w:rFonts w:ascii="Arial" w:cs="Arial" w:eastAsia="Arial" w:hAnsi="Arial"/>
          <w:sz w:val="27"/>
          <w:szCs w:val="27"/>
          <w:color w:val="auto"/>
          <w:vertAlign w:val="superscript"/>
        </w:rPr>
      </w:pPr>
      <w:r>
        <w:rPr>
          <w:rFonts w:ascii="Arial" w:cs="Arial" w:eastAsia="Arial" w:hAnsi="Arial"/>
          <w:sz w:val="16"/>
          <w:szCs w:val="16"/>
          <w:color w:val="auto"/>
        </w:rPr>
        <w:t>Amounts in this column represent the Company's contribution and are included in the "All Other Compensation" column of the Summary Compensation Table.</w:t>
      </w:r>
    </w:p>
    <w:p>
      <w:pPr>
        <w:spacing w:after="0" w:line="42" w:lineRule="exact"/>
        <w:rPr>
          <w:rFonts w:ascii="Arial" w:cs="Arial" w:eastAsia="Arial" w:hAnsi="Arial"/>
          <w:sz w:val="27"/>
          <w:szCs w:val="27"/>
          <w:color w:val="auto"/>
          <w:vertAlign w:val="superscript"/>
        </w:rPr>
      </w:pPr>
    </w:p>
    <w:p>
      <w:pPr>
        <w:ind w:left="320" w:right="180" w:hanging="313"/>
        <w:spacing w:after="0" w:line="193" w:lineRule="auto"/>
        <w:tabs>
          <w:tab w:leader="none" w:pos="320" w:val="left"/>
        </w:tabs>
        <w:numPr>
          <w:ilvl w:val="0"/>
          <w:numId w:val="46"/>
        </w:numPr>
        <w:rPr>
          <w:rFonts w:ascii="Arial" w:cs="Arial" w:eastAsia="Arial" w:hAnsi="Arial"/>
          <w:sz w:val="27"/>
          <w:szCs w:val="27"/>
          <w:color w:val="auto"/>
          <w:vertAlign w:val="superscript"/>
        </w:rPr>
      </w:pPr>
      <w:r>
        <w:rPr>
          <w:rFonts w:ascii="Arial" w:cs="Arial" w:eastAsia="Arial" w:hAnsi="Arial"/>
          <w:sz w:val="16"/>
          <w:szCs w:val="16"/>
          <w:color w:val="auto"/>
        </w:rPr>
        <w:t>Of the balances reflected in the "Aggregate Balance as of 2025" column, the amounts of $30,000 for Ms. Lorenson, $70,380 for Mr. Villalon, $45,212 for Mr. Collins, and $18,900 for Ms. Taylor were reported as compensation in the Summary Compensation tables for previous years.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1AB2D2"/>
        </w:rPr>
        <w:t>EXECUTIVE SEVERANCE AGREEMENTS</w:t>
      </w:r>
    </w:p>
    <w:p>
      <w:pPr>
        <w:spacing w:after="0" w:line="83" w:lineRule="exact"/>
        <w:rPr>
          <w:sz w:val="20"/>
          <w:szCs w:val="20"/>
          <w:color w:val="auto"/>
        </w:rPr>
      </w:pPr>
    </w:p>
    <w:p>
      <w:pPr>
        <w:ind w:right="520"/>
        <w:spacing w:after="0" w:line="286" w:lineRule="auto"/>
        <w:rPr>
          <w:sz w:val="20"/>
          <w:szCs w:val="20"/>
          <w:color w:val="auto"/>
        </w:rPr>
      </w:pPr>
      <w:r>
        <w:rPr>
          <w:rFonts w:ascii="Arial" w:cs="Arial" w:eastAsia="Arial" w:hAnsi="Arial"/>
          <w:sz w:val="15"/>
          <w:szCs w:val="15"/>
          <w:color w:val="auto"/>
        </w:rPr>
        <w:t>Each of Ms. Lorenson and Ms. Taylor, and Messrs. Villalon, Collins, and Wilson are parties to severance agreements with the Company. The severance agreements generally set forth the duties and obligations of each party in the event of a termination of employment and provide us with a measure of protection by subjecting the NEOs to certain restrictive covenants during employment and for a specified duration following termination of employment.</w:t>
      </w:r>
    </w:p>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The severance agreements provide for an initial term of two years, with automatic renewal for an additional day on each day after the effective date, such that the agreement term is two years at all times. Either party may elect nonrenewal upon notice of 120 days prior to termination. The severance agreements automatically terminate on the second anniversary of a change in control, as such term is defined in each severance agreement.</w:t>
      </w:r>
    </w:p>
    <w:p>
      <w:pPr>
        <w:spacing w:after="0" w:line="174" w:lineRule="exact"/>
        <w:rPr>
          <w:sz w:val="20"/>
          <w:szCs w:val="20"/>
          <w:color w:val="auto"/>
        </w:rPr>
      </w:pPr>
    </w:p>
    <w:p>
      <w:pPr>
        <w:ind w:right="20"/>
        <w:spacing w:after="0" w:line="189" w:lineRule="exact"/>
        <w:rPr>
          <w:sz w:val="20"/>
          <w:szCs w:val="20"/>
          <w:color w:val="auto"/>
        </w:rPr>
      </w:pPr>
      <w:r>
        <w:rPr>
          <w:rFonts w:ascii="Arial" w:cs="Arial" w:eastAsia="Arial" w:hAnsi="Arial"/>
          <w:sz w:val="16"/>
          <w:szCs w:val="16"/>
          <w:color w:val="auto"/>
        </w:rPr>
        <w:t>In the event the Company terminates an NEO for any reason other than for cause prior to a change in control, the executive, with the exception of Ms. Lorenson, is eligible to receive a severance payment in 12 monthly increments equal to the aggregate of one times (i) the annual base salary; plus (ii) the average of the NEO’s three most recent annual bonuses; and (iii) twelve months of the Company’s portion of premiums for health, disability, and life insurance policies in which the executive was entitled to participate immediately prior to termination. In the event of termination for any reason other than cause prior to a change in control, Ms. Lorenson is eligible to receive a severance payment in 12 monthly increments equal to two times the sum of (i) the annual base salary; plus (ii) the average of Ms. Lorenson's three most recent annual bonuses; and (iii) twelve months of the Company's portion of premiums for health, disability, and life insurance policies in which the executive was entitled to participate immediately prior to termination. In the event of a termination within a 24</w:t>
      </w:r>
      <w:r>
        <w:rPr>
          <w:rFonts w:ascii="MS PGothic" w:cs="MS PGothic" w:eastAsia="MS PGothic" w:hAnsi="MS PGothic"/>
          <w:sz w:val="16"/>
          <w:szCs w:val="16"/>
          <w:color w:val="auto"/>
        </w:rPr>
        <w:t>‑</w:t>
      </w:r>
      <w:r>
        <w:rPr>
          <w:rFonts w:ascii="Arial" w:cs="Arial" w:eastAsia="Arial" w:hAnsi="Arial"/>
          <w:sz w:val="16"/>
          <w:szCs w:val="16"/>
          <w:color w:val="auto"/>
        </w:rPr>
        <w:t>month period following a change in control by the Company without cause or by the NEO for a good reason, the executive, with the exception of Ms. Lorenson, is eligible to receive a severance payment in a lump sum equal to twice the amount described above. In the event of a termination within a 24-month period following a change in control by the Company without cause or by Ms. Lorenson for good reason, Ms. Lorenson is eligible to receive a severance payment in a lump sum equal to 2.99 times the amount described above.</w:t>
      </w:r>
    </w:p>
    <w:p>
      <w:pPr>
        <w:spacing w:after="0" w:line="19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Each NEO is subject to a perpetual confidentiality provision, which prohibits disclosure, and use of, the Company’s trade secrets, confidential information, customer lists and other types of proprietary information. Each NEO is also subject to a non-disparagement covenant in favor of the Company, our affiliates, our officers, directors, and employees for 24 months following termination of employment. Our obligation to pay any severance is also conditioned upon the execution by the NEO of a general release and waiver of any and all claims with respect to his or her employment with the Company. The severance agreements contain a modified 280G cutback provision, which provides for automatic reduction of payments if such reduction would result in a better net-after-tax result for the NEOs after taking into account the impact of the golden parachute excise tax of the Internal Revenue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593090" cy="1187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33</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1AB2D2"/>
        </w:rPr>
        <w:t>POTENTIAL PAYMENTS UPON TERMINATION OR CHANGE IN CONTROL</w:t>
      </w:r>
    </w:p>
    <w:p>
      <w:pPr>
        <w:spacing w:after="0" w:line="70"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following table sets forth information concerning potential payments and benefits under our compensation programs and benefit plans, including the individual severance agreements, to which the NEOs would be entitled upon various terminations of employment or a change in control as of the last business day of the fiscal year ended December 31, 2025. Except for payments and benefits provided by the severance agreements and award agreements under our equity incentive plans, all payments and benefits provided to any NEO upon termination of employment are the same as the payments and benefits provided to other eligible employees of the Company. For purposes of estimating the cash severance value, we have assumed target level bonus payment. For purposes of estimating the value of accelerated vesting of equity awards we have assumed a Common Stock price per share of $22.52 based on the market value of our Common Stock as of the close of business on December 31, 2025 and assumed that all restricted stock and restricted stock units had their vesting accelerate as of December 31, 2025.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80" w:type="dxa"/>
            <w:vAlign w:val="bottom"/>
            <w:shd w:val="clear" w:color="auto" w:fill="062B48"/>
          </w:tcPr>
          <w:p>
            <w:pPr>
              <w:spacing w:after="0"/>
              <w:rPr>
                <w:sz w:val="14"/>
                <w:szCs w:val="14"/>
                <w:color w:val="auto"/>
              </w:rPr>
            </w:pPr>
          </w:p>
        </w:tc>
        <w:tc>
          <w:tcPr>
            <w:tcW w:w="2300" w:type="dxa"/>
            <w:vAlign w:val="bottom"/>
            <w:shd w:val="clear" w:color="auto" w:fill="062B48"/>
          </w:tcPr>
          <w:p>
            <w:pPr>
              <w:spacing w:after="0"/>
              <w:rPr>
                <w:sz w:val="14"/>
                <w:szCs w:val="14"/>
                <w:color w:val="auto"/>
              </w:rPr>
            </w:pPr>
          </w:p>
        </w:tc>
        <w:tc>
          <w:tcPr>
            <w:tcW w:w="480" w:type="dxa"/>
            <w:vAlign w:val="bottom"/>
            <w:shd w:val="clear" w:color="auto" w:fill="062B48"/>
          </w:tcPr>
          <w:p>
            <w:pPr>
              <w:spacing w:after="0"/>
              <w:rPr>
                <w:sz w:val="14"/>
                <w:szCs w:val="14"/>
                <w:color w:val="auto"/>
              </w:rPr>
            </w:pPr>
          </w:p>
        </w:tc>
        <w:tc>
          <w:tcPr>
            <w:tcW w:w="1540" w:type="dxa"/>
            <w:vAlign w:val="bottom"/>
            <w:shd w:val="clear" w:color="auto" w:fill="062B48"/>
          </w:tcPr>
          <w:p>
            <w:pPr>
              <w:spacing w:after="0"/>
              <w:rPr>
                <w:sz w:val="14"/>
                <w:szCs w:val="14"/>
                <w:color w:val="auto"/>
              </w:rPr>
            </w:pPr>
          </w:p>
        </w:tc>
        <w:tc>
          <w:tcPr>
            <w:tcW w:w="640" w:type="dxa"/>
            <w:vAlign w:val="bottom"/>
            <w:shd w:val="clear" w:color="auto" w:fill="062B48"/>
          </w:tcPr>
          <w:p>
            <w:pPr>
              <w:spacing w:after="0"/>
              <w:rPr>
                <w:sz w:val="14"/>
                <w:szCs w:val="14"/>
                <w:color w:val="auto"/>
              </w:rPr>
            </w:pPr>
          </w:p>
        </w:tc>
        <w:tc>
          <w:tcPr>
            <w:tcW w:w="1160" w:type="dxa"/>
            <w:vAlign w:val="bottom"/>
            <w:shd w:val="clear" w:color="auto" w:fill="062B48"/>
          </w:tcPr>
          <w:p>
            <w:pPr>
              <w:spacing w:after="0"/>
              <w:rPr>
                <w:sz w:val="14"/>
                <w:szCs w:val="14"/>
                <w:color w:val="auto"/>
              </w:rPr>
            </w:pPr>
          </w:p>
        </w:tc>
        <w:tc>
          <w:tcPr>
            <w:tcW w:w="200" w:type="dxa"/>
            <w:vAlign w:val="bottom"/>
            <w:shd w:val="clear" w:color="auto" w:fill="062B48"/>
          </w:tcPr>
          <w:p>
            <w:pPr>
              <w:spacing w:after="0"/>
              <w:rPr>
                <w:sz w:val="14"/>
                <w:szCs w:val="14"/>
                <w:color w:val="auto"/>
              </w:rPr>
            </w:pPr>
          </w:p>
        </w:tc>
        <w:tc>
          <w:tcPr>
            <w:tcW w:w="1560" w:type="dxa"/>
            <w:vAlign w:val="bottom"/>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PAYMENTS UPON</w:t>
            </w:r>
          </w:p>
        </w:tc>
        <w:tc>
          <w:tcPr>
            <w:tcW w:w="200" w:type="dxa"/>
            <w:vAlign w:val="bottom"/>
            <w:shd w:val="clear" w:color="auto" w:fill="062B48"/>
          </w:tcPr>
          <w:p>
            <w:pPr>
              <w:spacing w:after="0"/>
              <w:rPr>
                <w:sz w:val="14"/>
                <w:szCs w:val="14"/>
                <w:color w:val="auto"/>
              </w:rPr>
            </w:pPr>
          </w:p>
        </w:tc>
        <w:tc>
          <w:tcPr>
            <w:tcW w:w="1580" w:type="dxa"/>
            <w:vAlign w:val="bottom"/>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w w:val="98"/>
              </w:rPr>
              <w:t>PAYMENTS UPON</w:t>
            </w:r>
          </w:p>
        </w:tc>
        <w:tc>
          <w:tcPr>
            <w:tcW w:w="0" w:type="dxa"/>
            <w:vAlign w:val="bottom"/>
          </w:tcPr>
          <w:p>
            <w:pPr>
              <w:spacing w:after="0"/>
              <w:rPr>
                <w:sz w:val="1"/>
                <w:szCs w:val="1"/>
                <w:color w:val="auto"/>
              </w:rPr>
            </w:pPr>
          </w:p>
        </w:tc>
      </w:tr>
      <w:tr>
        <w:trPr>
          <w:trHeight w:val="169"/>
        </w:trPr>
        <w:tc>
          <w:tcPr>
            <w:tcW w:w="1580" w:type="dxa"/>
            <w:vAlign w:val="bottom"/>
            <w:shd w:val="clear" w:color="auto" w:fill="062B48"/>
          </w:tcPr>
          <w:p>
            <w:pPr>
              <w:spacing w:after="0"/>
              <w:rPr>
                <w:sz w:val="14"/>
                <w:szCs w:val="14"/>
                <w:color w:val="auto"/>
              </w:rPr>
            </w:pPr>
          </w:p>
        </w:tc>
        <w:tc>
          <w:tcPr>
            <w:tcW w:w="2300" w:type="dxa"/>
            <w:vAlign w:val="bottom"/>
            <w:shd w:val="clear" w:color="auto" w:fill="062B48"/>
          </w:tcPr>
          <w:p>
            <w:pPr>
              <w:spacing w:after="0"/>
              <w:rPr>
                <w:sz w:val="14"/>
                <w:szCs w:val="14"/>
                <w:color w:val="auto"/>
              </w:rPr>
            </w:pPr>
          </w:p>
        </w:tc>
        <w:tc>
          <w:tcPr>
            <w:tcW w:w="480" w:type="dxa"/>
            <w:vAlign w:val="bottom"/>
            <w:shd w:val="clear" w:color="auto" w:fill="062B48"/>
          </w:tcPr>
          <w:p>
            <w:pPr>
              <w:spacing w:after="0"/>
              <w:rPr>
                <w:sz w:val="14"/>
                <w:szCs w:val="14"/>
                <w:color w:val="auto"/>
              </w:rPr>
            </w:pPr>
          </w:p>
        </w:tc>
        <w:tc>
          <w:tcPr>
            <w:tcW w:w="1540" w:type="dxa"/>
            <w:vAlign w:val="bottom"/>
            <w:shd w:val="clear" w:color="auto" w:fill="062B48"/>
          </w:tcPr>
          <w:p>
            <w:pPr>
              <w:spacing w:after="0"/>
              <w:rPr>
                <w:sz w:val="14"/>
                <w:szCs w:val="14"/>
                <w:color w:val="auto"/>
              </w:rPr>
            </w:pPr>
          </w:p>
        </w:tc>
        <w:tc>
          <w:tcPr>
            <w:tcW w:w="640" w:type="dxa"/>
            <w:vAlign w:val="bottom"/>
            <w:shd w:val="clear" w:color="auto" w:fill="062B48"/>
          </w:tcPr>
          <w:p>
            <w:pPr>
              <w:spacing w:after="0"/>
              <w:rPr>
                <w:sz w:val="14"/>
                <w:szCs w:val="14"/>
                <w:color w:val="auto"/>
              </w:rPr>
            </w:pPr>
          </w:p>
        </w:tc>
        <w:tc>
          <w:tcPr>
            <w:tcW w:w="1160" w:type="dxa"/>
            <w:vAlign w:val="bottom"/>
            <w:shd w:val="clear" w:color="auto" w:fill="062B48"/>
          </w:tcPr>
          <w:p>
            <w:pPr>
              <w:spacing w:after="0"/>
              <w:rPr>
                <w:sz w:val="14"/>
                <w:szCs w:val="14"/>
                <w:color w:val="auto"/>
              </w:rPr>
            </w:pPr>
          </w:p>
        </w:tc>
        <w:tc>
          <w:tcPr>
            <w:tcW w:w="200" w:type="dxa"/>
            <w:vAlign w:val="bottom"/>
            <w:shd w:val="clear" w:color="auto" w:fill="062B48"/>
          </w:tcPr>
          <w:p>
            <w:pPr>
              <w:spacing w:after="0"/>
              <w:rPr>
                <w:sz w:val="14"/>
                <w:szCs w:val="14"/>
                <w:color w:val="auto"/>
              </w:rPr>
            </w:pPr>
          </w:p>
        </w:tc>
        <w:tc>
          <w:tcPr>
            <w:tcW w:w="1560" w:type="dxa"/>
            <w:vAlign w:val="bottom"/>
            <w:shd w:val="clear" w:color="auto" w:fill="062B48"/>
          </w:tcPr>
          <w:p>
            <w:pPr>
              <w:jc w:val="center"/>
              <w:ind w:right="129"/>
              <w:spacing w:after="0" w:line="169" w:lineRule="exact"/>
              <w:rPr>
                <w:sz w:val="20"/>
                <w:szCs w:val="20"/>
                <w:color w:val="auto"/>
              </w:rPr>
            </w:pPr>
            <w:r>
              <w:rPr>
                <w:rFonts w:ascii="Calibri" w:cs="Calibri" w:eastAsia="Calibri" w:hAnsi="Calibri"/>
                <w:sz w:val="14"/>
                <w:szCs w:val="14"/>
                <w:b w:val="1"/>
                <w:bCs w:val="1"/>
                <w:color w:val="FFFFFF"/>
                <w:w w:val="99"/>
              </w:rPr>
              <w:t>TERMINATION BY THE</w:t>
            </w:r>
          </w:p>
        </w:tc>
        <w:tc>
          <w:tcPr>
            <w:tcW w:w="200" w:type="dxa"/>
            <w:vAlign w:val="bottom"/>
            <w:shd w:val="clear" w:color="auto" w:fill="062B48"/>
          </w:tcPr>
          <w:p>
            <w:pPr>
              <w:spacing w:after="0"/>
              <w:rPr>
                <w:sz w:val="14"/>
                <w:szCs w:val="14"/>
                <w:color w:val="auto"/>
              </w:rPr>
            </w:pPr>
          </w:p>
        </w:tc>
        <w:tc>
          <w:tcPr>
            <w:tcW w:w="1580" w:type="dxa"/>
            <w:vAlign w:val="bottom"/>
            <w:shd w:val="clear" w:color="auto" w:fill="062B48"/>
          </w:tcPr>
          <w:p>
            <w:pPr>
              <w:jc w:val="center"/>
              <w:ind w:right="129"/>
              <w:spacing w:after="0" w:line="169" w:lineRule="exact"/>
              <w:rPr>
                <w:sz w:val="20"/>
                <w:szCs w:val="20"/>
                <w:color w:val="auto"/>
              </w:rPr>
            </w:pPr>
            <w:r>
              <w:rPr>
                <w:rFonts w:ascii="Calibri" w:cs="Calibri" w:eastAsia="Calibri" w:hAnsi="Calibri"/>
                <w:sz w:val="14"/>
                <w:szCs w:val="14"/>
                <w:b w:val="1"/>
                <w:bCs w:val="1"/>
                <w:color w:val="FFFFFF"/>
              </w:rPr>
              <w:t>TERMINATION BY THE</w:t>
            </w:r>
          </w:p>
        </w:tc>
        <w:tc>
          <w:tcPr>
            <w:tcW w:w="0" w:type="dxa"/>
            <w:vAlign w:val="bottom"/>
          </w:tcPr>
          <w:p>
            <w:pPr>
              <w:spacing w:after="0"/>
              <w:rPr>
                <w:sz w:val="1"/>
                <w:szCs w:val="1"/>
                <w:color w:val="auto"/>
              </w:rPr>
            </w:pPr>
          </w:p>
        </w:tc>
      </w:tr>
      <w:tr>
        <w:trPr>
          <w:trHeight w:val="173"/>
        </w:trPr>
        <w:tc>
          <w:tcPr>
            <w:tcW w:w="1580" w:type="dxa"/>
            <w:vAlign w:val="bottom"/>
            <w:shd w:val="clear" w:color="auto" w:fill="062B48"/>
          </w:tcPr>
          <w:p>
            <w:pPr>
              <w:spacing w:after="0"/>
              <w:rPr>
                <w:sz w:val="15"/>
                <w:szCs w:val="15"/>
                <w:color w:val="auto"/>
              </w:rPr>
            </w:pPr>
          </w:p>
        </w:tc>
        <w:tc>
          <w:tcPr>
            <w:tcW w:w="2300" w:type="dxa"/>
            <w:vAlign w:val="bottom"/>
            <w:shd w:val="clear" w:color="auto" w:fill="062B48"/>
          </w:tcPr>
          <w:p>
            <w:pPr>
              <w:spacing w:after="0"/>
              <w:rPr>
                <w:sz w:val="15"/>
                <w:szCs w:val="15"/>
                <w:color w:val="auto"/>
              </w:rPr>
            </w:pPr>
          </w:p>
        </w:tc>
        <w:tc>
          <w:tcPr>
            <w:tcW w:w="480" w:type="dxa"/>
            <w:vAlign w:val="bottom"/>
            <w:shd w:val="clear" w:color="auto" w:fill="062B48"/>
          </w:tcPr>
          <w:p>
            <w:pPr>
              <w:spacing w:after="0"/>
              <w:rPr>
                <w:sz w:val="15"/>
                <w:szCs w:val="15"/>
                <w:color w:val="auto"/>
              </w:rPr>
            </w:pPr>
          </w:p>
        </w:tc>
        <w:tc>
          <w:tcPr>
            <w:tcW w:w="1540" w:type="dxa"/>
            <w:vAlign w:val="bottom"/>
            <w:vMerge w:val="restart"/>
            <w:shd w:val="clear" w:color="auto" w:fill="062B48"/>
          </w:tcPr>
          <w:p>
            <w:pPr>
              <w:jc w:val="right"/>
              <w:ind w:right="329"/>
              <w:spacing w:after="0"/>
              <w:rPr>
                <w:sz w:val="20"/>
                <w:szCs w:val="20"/>
                <w:color w:val="auto"/>
              </w:rPr>
            </w:pPr>
            <w:r>
              <w:rPr>
                <w:rFonts w:ascii="Calibri" w:cs="Calibri" w:eastAsia="Calibri" w:hAnsi="Calibri"/>
                <w:sz w:val="14"/>
                <w:szCs w:val="14"/>
                <w:b w:val="1"/>
                <w:bCs w:val="1"/>
                <w:color w:val="FFFFFF"/>
              </w:rPr>
              <w:t>PAYMENTS UPON</w:t>
            </w:r>
          </w:p>
        </w:tc>
        <w:tc>
          <w:tcPr>
            <w:tcW w:w="640" w:type="dxa"/>
            <w:vAlign w:val="bottom"/>
            <w:shd w:val="clear" w:color="auto" w:fill="062B48"/>
          </w:tcPr>
          <w:p>
            <w:pPr>
              <w:spacing w:after="0"/>
              <w:rPr>
                <w:sz w:val="15"/>
                <w:szCs w:val="15"/>
                <w:color w:val="auto"/>
              </w:rPr>
            </w:pPr>
          </w:p>
        </w:tc>
        <w:tc>
          <w:tcPr>
            <w:tcW w:w="1160" w:type="dxa"/>
            <w:vAlign w:val="bottom"/>
            <w:shd w:val="clear" w:color="auto" w:fill="062B48"/>
          </w:tcPr>
          <w:p>
            <w:pPr>
              <w:spacing w:after="0"/>
              <w:rPr>
                <w:sz w:val="15"/>
                <w:szCs w:val="15"/>
                <w:color w:val="auto"/>
              </w:rPr>
            </w:pPr>
          </w:p>
        </w:tc>
        <w:tc>
          <w:tcPr>
            <w:tcW w:w="200" w:type="dxa"/>
            <w:vAlign w:val="bottom"/>
            <w:shd w:val="clear" w:color="auto" w:fill="062B48"/>
          </w:tcPr>
          <w:p>
            <w:pPr>
              <w:spacing w:after="0"/>
              <w:rPr>
                <w:sz w:val="15"/>
                <w:szCs w:val="15"/>
                <w:color w:val="auto"/>
              </w:rPr>
            </w:pPr>
          </w:p>
        </w:tc>
        <w:tc>
          <w:tcPr>
            <w:tcW w:w="1560" w:type="dxa"/>
            <w:vAlign w:val="bottom"/>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COMPANY WITHOUT</w:t>
            </w:r>
          </w:p>
        </w:tc>
        <w:tc>
          <w:tcPr>
            <w:tcW w:w="200" w:type="dxa"/>
            <w:vAlign w:val="bottom"/>
            <w:shd w:val="clear" w:color="auto" w:fill="062B48"/>
          </w:tcPr>
          <w:p>
            <w:pPr>
              <w:spacing w:after="0"/>
              <w:rPr>
                <w:sz w:val="15"/>
                <w:szCs w:val="15"/>
                <w:color w:val="auto"/>
              </w:rPr>
            </w:pPr>
          </w:p>
        </w:tc>
        <w:tc>
          <w:tcPr>
            <w:tcW w:w="1580" w:type="dxa"/>
            <w:vAlign w:val="bottom"/>
            <w:shd w:val="clear" w:color="auto" w:fill="062B48"/>
          </w:tcPr>
          <w:p>
            <w:pPr>
              <w:jc w:val="center"/>
              <w:ind w:right="109"/>
              <w:spacing w:after="0"/>
              <w:rPr>
                <w:sz w:val="20"/>
                <w:szCs w:val="20"/>
                <w:color w:val="auto"/>
              </w:rPr>
            </w:pPr>
            <w:r>
              <w:rPr>
                <w:rFonts w:ascii="Calibri" w:cs="Calibri" w:eastAsia="Calibri" w:hAnsi="Calibri"/>
                <w:sz w:val="14"/>
                <w:szCs w:val="14"/>
                <w:b w:val="1"/>
                <w:bCs w:val="1"/>
                <w:color w:val="FFFFFF"/>
              </w:rPr>
              <w:t>COMPANY WITHOUT</w:t>
            </w:r>
          </w:p>
        </w:tc>
        <w:tc>
          <w:tcPr>
            <w:tcW w:w="0" w:type="dxa"/>
            <w:vAlign w:val="bottom"/>
          </w:tcPr>
          <w:p>
            <w:pPr>
              <w:spacing w:after="0"/>
              <w:rPr>
                <w:sz w:val="1"/>
                <w:szCs w:val="1"/>
                <w:color w:val="auto"/>
              </w:rPr>
            </w:pPr>
          </w:p>
        </w:tc>
      </w:tr>
      <w:tr>
        <w:trPr>
          <w:trHeight w:val="80"/>
        </w:trPr>
        <w:tc>
          <w:tcPr>
            <w:tcW w:w="1580" w:type="dxa"/>
            <w:vAlign w:val="bottom"/>
            <w:vMerge w:val="restart"/>
            <w:shd w:val="clear" w:color="auto" w:fill="062B48"/>
          </w:tcPr>
          <w:p>
            <w:pPr>
              <w:ind w:left="160"/>
              <w:spacing w:after="0"/>
              <w:rPr>
                <w:sz w:val="20"/>
                <w:szCs w:val="20"/>
                <w:color w:val="auto"/>
              </w:rPr>
            </w:pPr>
            <w:r>
              <w:rPr>
                <w:rFonts w:ascii="Calibri" w:cs="Calibri" w:eastAsia="Calibri" w:hAnsi="Calibri"/>
                <w:sz w:val="14"/>
                <w:szCs w:val="14"/>
                <w:b w:val="1"/>
                <w:bCs w:val="1"/>
                <w:color w:val="FFFFFF"/>
              </w:rPr>
              <w:t>NAME</w:t>
            </w:r>
          </w:p>
        </w:tc>
        <w:tc>
          <w:tcPr>
            <w:tcW w:w="2300" w:type="dxa"/>
            <w:vAlign w:val="bottom"/>
            <w:vMerge w:val="restart"/>
            <w:shd w:val="clear" w:color="auto" w:fill="062B48"/>
          </w:tcPr>
          <w:p>
            <w:pPr>
              <w:ind w:left="700"/>
              <w:spacing w:after="0"/>
              <w:rPr>
                <w:sz w:val="20"/>
                <w:szCs w:val="20"/>
                <w:color w:val="auto"/>
              </w:rPr>
            </w:pPr>
            <w:r>
              <w:rPr>
                <w:rFonts w:ascii="Calibri" w:cs="Calibri" w:eastAsia="Calibri" w:hAnsi="Calibri"/>
                <w:sz w:val="14"/>
                <w:szCs w:val="14"/>
                <w:b w:val="1"/>
                <w:bCs w:val="1"/>
                <w:color w:val="FFFFFF"/>
              </w:rPr>
              <w:t>TYPE OF PAYMENT</w:t>
            </w:r>
          </w:p>
        </w:tc>
        <w:tc>
          <w:tcPr>
            <w:tcW w:w="480" w:type="dxa"/>
            <w:vAlign w:val="bottom"/>
            <w:shd w:val="clear" w:color="auto" w:fill="062B48"/>
          </w:tcPr>
          <w:p>
            <w:pPr>
              <w:spacing w:after="0"/>
              <w:rPr>
                <w:sz w:val="6"/>
                <w:szCs w:val="6"/>
                <w:color w:val="auto"/>
              </w:rPr>
            </w:pPr>
          </w:p>
        </w:tc>
        <w:tc>
          <w:tcPr>
            <w:tcW w:w="1540" w:type="dxa"/>
            <w:vAlign w:val="bottom"/>
            <w:vMerge w:val="continue"/>
            <w:shd w:val="clear" w:color="auto" w:fill="062B48"/>
          </w:tcPr>
          <w:p>
            <w:pPr>
              <w:spacing w:after="0"/>
              <w:rPr>
                <w:sz w:val="6"/>
                <w:szCs w:val="6"/>
                <w:color w:val="auto"/>
              </w:rPr>
            </w:pPr>
          </w:p>
        </w:tc>
        <w:tc>
          <w:tcPr>
            <w:tcW w:w="1800" w:type="dxa"/>
            <w:vAlign w:val="bottom"/>
            <w:gridSpan w:val="2"/>
            <w:vMerge w:val="restart"/>
            <w:shd w:val="clear" w:color="auto" w:fill="062B48"/>
          </w:tcPr>
          <w:p>
            <w:pPr>
              <w:jc w:val="right"/>
              <w:ind w:right="109"/>
              <w:spacing w:after="0"/>
              <w:rPr>
                <w:sz w:val="20"/>
                <w:szCs w:val="20"/>
                <w:color w:val="auto"/>
              </w:rPr>
            </w:pPr>
            <w:r>
              <w:rPr>
                <w:rFonts w:ascii="Calibri" w:cs="Calibri" w:eastAsia="Calibri" w:hAnsi="Calibri"/>
                <w:sz w:val="14"/>
                <w:szCs w:val="14"/>
                <w:b w:val="1"/>
                <w:bCs w:val="1"/>
                <w:color w:val="FFFFFF"/>
              </w:rPr>
              <w:t>PAYMENTS UPON DEATH</w:t>
            </w:r>
          </w:p>
        </w:tc>
        <w:tc>
          <w:tcPr>
            <w:tcW w:w="200" w:type="dxa"/>
            <w:vAlign w:val="bottom"/>
            <w:shd w:val="clear" w:color="auto" w:fill="062B48"/>
          </w:tcPr>
          <w:p>
            <w:pPr>
              <w:spacing w:after="0"/>
              <w:rPr>
                <w:sz w:val="6"/>
                <w:szCs w:val="6"/>
                <w:color w:val="auto"/>
              </w:rPr>
            </w:pPr>
          </w:p>
        </w:tc>
        <w:tc>
          <w:tcPr>
            <w:tcW w:w="1560" w:type="dxa"/>
            <w:vAlign w:val="bottom"/>
            <w:vMerge w:val="restart"/>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CAUSE OR BY THE</w:t>
            </w:r>
          </w:p>
        </w:tc>
        <w:tc>
          <w:tcPr>
            <w:tcW w:w="200" w:type="dxa"/>
            <w:vAlign w:val="bottom"/>
            <w:shd w:val="clear" w:color="auto" w:fill="062B48"/>
          </w:tcPr>
          <w:p>
            <w:pPr>
              <w:spacing w:after="0"/>
              <w:rPr>
                <w:sz w:val="6"/>
                <w:szCs w:val="6"/>
                <w:color w:val="auto"/>
              </w:rPr>
            </w:pPr>
          </w:p>
        </w:tc>
        <w:tc>
          <w:tcPr>
            <w:tcW w:w="1580" w:type="dxa"/>
            <w:vAlign w:val="bottom"/>
            <w:vMerge w:val="restart"/>
            <w:shd w:val="clear" w:color="auto" w:fill="062B48"/>
          </w:tcPr>
          <w:p>
            <w:pPr>
              <w:jc w:val="center"/>
              <w:ind w:right="109"/>
              <w:spacing w:after="0"/>
              <w:rPr>
                <w:sz w:val="20"/>
                <w:szCs w:val="20"/>
                <w:color w:val="auto"/>
              </w:rPr>
            </w:pPr>
            <w:r>
              <w:rPr>
                <w:rFonts w:ascii="Calibri" w:cs="Calibri" w:eastAsia="Calibri" w:hAnsi="Calibri"/>
                <w:sz w:val="14"/>
                <w:szCs w:val="14"/>
                <w:b w:val="1"/>
                <w:bCs w:val="1"/>
                <w:color w:val="FFFFFF"/>
              </w:rPr>
              <w:t>CAUSE OR BY THE</w:t>
            </w:r>
          </w:p>
        </w:tc>
        <w:tc>
          <w:tcPr>
            <w:tcW w:w="0" w:type="dxa"/>
            <w:vAlign w:val="bottom"/>
          </w:tcPr>
          <w:p>
            <w:pPr>
              <w:spacing w:after="0"/>
              <w:rPr>
                <w:sz w:val="1"/>
                <w:szCs w:val="1"/>
                <w:color w:val="auto"/>
              </w:rPr>
            </w:pPr>
          </w:p>
        </w:tc>
      </w:tr>
      <w:tr>
        <w:trPr>
          <w:trHeight w:val="93"/>
        </w:trPr>
        <w:tc>
          <w:tcPr>
            <w:tcW w:w="1580" w:type="dxa"/>
            <w:vAlign w:val="bottom"/>
            <w:vMerge w:val="continue"/>
            <w:shd w:val="clear" w:color="auto" w:fill="062B48"/>
          </w:tcPr>
          <w:p>
            <w:pPr>
              <w:spacing w:after="0"/>
              <w:rPr>
                <w:sz w:val="8"/>
                <w:szCs w:val="8"/>
                <w:color w:val="auto"/>
              </w:rPr>
            </w:pPr>
          </w:p>
        </w:tc>
        <w:tc>
          <w:tcPr>
            <w:tcW w:w="2300" w:type="dxa"/>
            <w:vAlign w:val="bottom"/>
            <w:vMerge w:val="continue"/>
            <w:shd w:val="clear" w:color="auto" w:fill="062B48"/>
          </w:tcPr>
          <w:p>
            <w:pPr>
              <w:spacing w:after="0"/>
              <w:rPr>
                <w:sz w:val="8"/>
                <w:szCs w:val="8"/>
                <w:color w:val="auto"/>
              </w:rPr>
            </w:pPr>
          </w:p>
        </w:tc>
        <w:tc>
          <w:tcPr>
            <w:tcW w:w="480" w:type="dxa"/>
            <w:vAlign w:val="bottom"/>
            <w:shd w:val="clear" w:color="auto" w:fill="062B48"/>
          </w:tcPr>
          <w:p>
            <w:pPr>
              <w:spacing w:after="0"/>
              <w:rPr>
                <w:sz w:val="8"/>
                <w:szCs w:val="8"/>
                <w:color w:val="auto"/>
              </w:rPr>
            </w:pPr>
          </w:p>
        </w:tc>
        <w:tc>
          <w:tcPr>
            <w:tcW w:w="1540" w:type="dxa"/>
            <w:vAlign w:val="bottom"/>
            <w:vMerge w:val="restart"/>
            <w:shd w:val="clear" w:color="auto" w:fill="062B48"/>
          </w:tcPr>
          <w:p>
            <w:pPr>
              <w:jc w:val="right"/>
              <w:ind w:right="529"/>
              <w:spacing w:after="0"/>
              <w:rPr>
                <w:sz w:val="20"/>
                <w:szCs w:val="20"/>
                <w:color w:val="auto"/>
              </w:rPr>
            </w:pPr>
            <w:r>
              <w:rPr>
                <w:rFonts w:ascii="Calibri" w:cs="Calibri" w:eastAsia="Calibri" w:hAnsi="Calibri"/>
                <w:sz w:val="14"/>
                <w:szCs w:val="14"/>
                <w:b w:val="1"/>
                <w:bCs w:val="1"/>
                <w:color w:val="FFFFFF"/>
              </w:rPr>
              <w:t>DISABILITY</w:t>
            </w:r>
          </w:p>
        </w:tc>
        <w:tc>
          <w:tcPr>
            <w:tcW w:w="1800" w:type="dxa"/>
            <w:vAlign w:val="bottom"/>
            <w:gridSpan w:val="2"/>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6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80" w:type="dxa"/>
            <w:vAlign w:val="bottom"/>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1580" w:type="dxa"/>
            <w:vAlign w:val="bottom"/>
            <w:shd w:val="clear" w:color="auto" w:fill="062B48"/>
          </w:tcPr>
          <w:p>
            <w:pPr>
              <w:spacing w:after="0"/>
              <w:rPr>
                <w:sz w:val="6"/>
                <w:szCs w:val="6"/>
                <w:color w:val="auto"/>
              </w:rPr>
            </w:pPr>
          </w:p>
        </w:tc>
        <w:tc>
          <w:tcPr>
            <w:tcW w:w="2300" w:type="dxa"/>
            <w:vAlign w:val="bottom"/>
            <w:shd w:val="clear" w:color="auto" w:fill="062B48"/>
          </w:tcPr>
          <w:p>
            <w:pPr>
              <w:spacing w:after="0"/>
              <w:rPr>
                <w:sz w:val="6"/>
                <w:szCs w:val="6"/>
                <w:color w:val="auto"/>
              </w:rPr>
            </w:pPr>
          </w:p>
        </w:tc>
        <w:tc>
          <w:tcPr>
            <w:tcW w:w="480" w:type="dxa"/>
            <w:vAlign w:val="bottom"/>
            <w:shd w:val="clear" w:color="auto" w:fill="062B48"/>
          </w:tcPr>
          <w:p>
            <w:pPr>
              <w:spacing w:after="0"/>
              <w:rPr>
                <w:sz w:val="6"/>
                <w:szCs w:val="6"/>
                <w:color w:val="auto"/>
              </w:rPr>
            </w:pPr>
          </w:p>
        </w:tc>
        <w:tc>
          <w:tcPr>
            <w:tcW w:w="1540" w:type="dxa"/>
            <w:vAlign w:val="bottom"/>
            <w:vMerge w:val="continue"/>
            <w:shd w:val="clear" w:color="auto" w:fill="062B48"/>
          </w:tcPr>
          <w:p>
            <w:pPr>
              <w:spacing w:after="0"/>
              <w:rPr>
                <w:sz w:val="6"/>
                <w:szCs w:val="6"/>
                <w:color w:val="auto"/>
              </w:rPr>
            </w:pPr>
          </w:p>
        </w:tc>
        <w:tc>
          <w:tcPr>
            <w:tcW w:w="640" w:type="dxa"/>
            <w:vAlign w:val="bottom"/>
            <w:shd w:val="clear" w:color="auto" w:fill="062B48"/>
          </w:tcPr>
          <w:p>
            <w:pPr>
              <w:spacing w:after="0"/>
              <w:rPr>
                <w:sz w:val="6"/>
                <w:szCs w:val="6"/>
                <w:color w:val="auto"/>
              </w:rPr>
            </w:pPr>
          </w:p>
        </w:tc>
        <w:tc>
          <w:tcPr>
            <w:tcW w:w="1160" w:type="dxa"/>
            <w:vAlign w:val="bottom"/>
            <w:shd w:val="clear" w:color="auto" w:fill="062B48"/>
          </w:tcPr>
          <w:p>
            <w:pPr>
              <w:spacing w:after="0"/>
              <w:rPr>
                <w:sz w:val="6"/>
                <w:szCs w:val="6"/>
                <w:color w:val="auto"/>
              </w:rPr>
            </w:pPr>
          </w:p>
        </w:tc>
        <w:tc>
          <w:tcPr>
            <w:tcW w:w="200" w:type="dxa"/>
            <w:vAlign w:val="bottom"/>
            <w:shd w:val="clear" w:color="auto" w:fill="062B48"/>
          </w:tcPr>
          <w:p>
            <w:pPr>
              <w:spacing w:after="0"/>
              <w:rPr>
                <w:sz w:val="6"/>
                <w:szCs w:val="6"/>
                <w:color w:val="auto"/>
              </w:rPr>
            </w:pPr>
          </w:p>
        </w:tc>
        <w:tc>
          <w:tcPr>
            <w:tcW w:w="1560" w:type="dxa"/>
            <w:vAlign w:val="bottom"/>
            <w:vMerge w:val="restart"/>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EXECUTIVE FOR GOOD</w:t>
            </w:r>
          </w:p>
        </w:tc>
        <w:tc>
          <w:tcPr>
            <w:tcW w:w="200" w:type="dxa"/>
            <w:vAlign w:val="bottom"/>
            <w:shd w:val="clear" w:color="auto" w:fill="062B48"/>
          </w:tcPr>
          <w:p>
            <w:pPr>
              <w:spacing w:after="0"/>
              <w:rPr>
                <w:sz w:val="6"/>
                <w:szCs w:val="6"/>
                <w:color w:val="auto"/>
              </w:rPr>
            </w:pPr>
          </w:p>
        </w:tc>
        <w:tc>
          <w:tcPr>
            <w:tcW w:w="1580" w:type="dxa"/>
            <w:vAlign w:val="bottom"/>
            <w:vMerge w:val="restart"/>
            <w:shd w:val="clear" w:color="auto" w:fill="062B48"/>
          </w:tcPr>
          <w:p>
            <w:pPr>
              <w:jc w:val="center"/>
              <w:ind w:right="109"/>
              <w:spacing w:after="0"/>
              <w:rPr>
                <w:sz w:val="20"/>
                <w:szCs w:val="20"/>
                <w:color w:val="auto"/>
              </w:rPr>
            </w:pPr>
            <w:r>
              <w:rPr>
                <w:rFonts w:ascii="Calibri" w:cs="Calibri" w:eastAsia="Calibri" w:hAnsi="Calibri"/>
                <w:sz w:val="14"/>
                <w:szCs w:val="14"/>
                <w:b w:val="1"/>
                <w:bCs w:val="1"/>
                <w:color w:val="FFFFFF"/>
              </w:rPr>
              <w:t>EXECUTIVE FOR GOOD</w:t>
            </w:r>
          </w:p>
        </w:tc>
        <w:tc>
          <w:tcPr>
            <w:tcW w:w="0" w:type="dxa"/>
            <w:vAlign w:val="bottom"/>
          </w:tcPr>
          <w:p>
            <w:pPr>
              <w:spacing w:after="0"/>
              <w:rPr>
                <w:sz w:val="1"/>
                <w:szCs w:val="1"/>
                <w:color w:val="auto"/>
              </w:rPr>
            </w:pPr>
          </w:p>
        </w:tc>
      </w:tr>
      <w:tr>
        <w:trPr>
          <w:trHeight w:val="93"/>
        </w:trPr>
        <w:tc>
          <w:tcPr>
            <w:tcW w:w="1580" w:type="dxa"/>
            <w:vAlign w:val="bottom"/>
            <w:shd w:val="clear" w:color="auto" w:fill="062B48"/>
          </w:tcPr>
          <w:p>
            <w:pPr>
              <w:spacing w:after="0"/>
              <w:rPr>
                <w:sz w:val="8"/>
                <w:szCs w:val="8"/>
                <w:color w:val="auto"/>
              </w:rPr>
            </w:pPr>
          </w:p>
        </w:tc>
        <w:tc>
          <w:tcPr>
            <w:tcW w:w="2300" w:type="dxa"/>
            <w:vAlign w:val="bottom"/>
            <w:shd w:val="clear" w:color="auto" w:fill="062B48"/>
          </w:tcPr>
          <w:p>
            <w:pPr>
              <w:spacing w:after="0"/>
              <w:rPr>
                <w:sz w:val="8"/>
                <w:szCs w:val="8"/>
                <w:color w:val="auto"/>
              </w:rPr>
            </w:pPr>
          </w:p>
        </w:tc>
        <w:tc>
          <w:tcPr>
            <w:tcW w:w="480" w:type="dxa"/>
            <w:vAlign w:val="bottom"/>
            <w:shd w:val="clear" w:color="auto" w:fill="062B48"/>
          </w:tcPr>
          <w:p>
            <w:pPr>
              <w:spacing w:after="0"/>
              <w:rPr>
                <w:sz w:val="8"/>
                <w:szCs w:val="8"/>
                <w:color w:val="auto"/>
              </w:rPr>
            </w:pPr>
          </w:p>
        </w:tc>
        <w:tc>
          <w:tcPr>
            <w:tcW w:w="1540" w:type="dxa"/>
            <w:vAlign w:val="bottom"/>
            <w:shd w:val="clear" w:color="auto" w:fill="062B48"/>
          </w:tcPr>
          <w:p>
            <w:pPr>
              <w:spacing w:after="0"/>
              <w:rPr>
                <w:sz w:val="8"/>
                <w:szCs w:val="8"/>
                <w:color w:val="auto"/>
              </w:rPr>
            </w:pPr>
          </w:p>
        </w:tc>
        <w:tc>
          <w:tcPr>
            <w:tcW w:w="640" w:type="dxa"/>
            <w:vAlign w:val="bottom"/>
            <w:shd w:val="clear" w:color="auto" w:fill="062B48"/>
          </w:tcPr>
          <w:p>
            <w:pPr>
              <w:spacing w:after="0"/>
              <w:rPr>
                <w:sz w:val="8"/>
                <w:szCs w:val="8"/>
                <w:color w:val="auto"/>
              </w:rPr>
            </w:pPr>
          </w:p>
        </w:tc>
        <w:tc>
          <w:tcPr>
            <w:tcW w:w="1160" w:type="dxa"/>
            <w:vAlign w:val="bottom"/>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6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1580" w:type="dxa"/>
            <w:vAlign w:val="bottom"/>
            <w:vMerge w:val="continue"/>
            <w:shd w:val="clear" w:color="auto" w:fill="062B48"/>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580" w:type="dxa"/>
            <w:vAlign w:val="bottom"/>
            <w:shd w:val="clear" w:color="auto" w:fill="062B48"/>
          </w:tcPr>
          <w:p>
            <w:pPr>
              <w:spacing w:after="0"/>
              <w:rPr>
                <w:sz w:val="15"/>
                <w:szCs w:val="15"/>
                <w:color w:val="auto"/>
              </w:rPr>
            </w:pPr>
          </w:p>
        </w:tc>
        <w:tc>
          <w:tcPr>
            <w:tcW w:w="2300" w:type="dxa"/>
            <w:vAlign w:val="bottom"/>
            <w:shd w:val="clear" w:color="auto" w:fill="062B48"/>
          </w:tcPr>
          <w:p>
            <w:pPr>
              <w:spacing w:after="0"/>
              <w:rPr>
                <w:sz w:val="15"/>
                <w:szCs w:val="15"/>
                <w:color w:val="auto"/>
              </w:rPr>
            </w:pPr>
          </w:p>
        </w:tc>
        <w:tc>
          <w:tcPr>
            <w:tcW w:w="480" w:type="dxa"/>
            <w:vAlign w:val="bottom"/>
            <w:shd w:val="clear" w:color="auto" w:fill="062B48"/>
          </w:tcPr>
          <w:p>
            <w:pPr>
              <w:spacing w:after="0"/>
              <w:rPr>
                <w:sz w:val="15"/>
                <w:szCs w:val="15"/>
                <w:color w:val="auto"/>
              </w:rPr>
            </w:pPr>
          </w:p>
        </w:tc>
        <w:tc>
          <w:tcPr>
            <w:tcW w:w="1540" w:type="dxa"/>
            <w:vAlign w:val="bottom"/>
            <w:shd w:val="clear" w:color="auto" w:fill="062B48"/>
          </w:tcPr>
          <w:p>
            <w:pPr>
              <w:spacing w:after="0"/>
              <w:rPr>
                <w:sz w:val="15"/>
                <w:szCs w:val="15"/>
                <w:color w:val="auto"/>
              </w:rPr>
            </w:pPr>
          </w:p>
        </w:tc>
        <w:tc>
          <w:tcPr>
            <w:tcW w:w="640" w:type="dxa"/>
            <w:vAlign w:val="bottom"/>
            <w:shd w:val="clear" w:color="auto" w:fill="062B48"/>
          </w:tcPr>
          <w:p>
            <w:pPr>
              <w:spacing w:after="0"/>
              <w:rPr>
                <w:sz w:val="15"/>
                <w:szCs w:val="15"/>
                <w:color w:val="auto"/>
              </w:rPr>
            </w:pPr>
          </w:p>
        </w:tc>
        <w:tc>
          <w:tcPr>
            <w:tcW w:w="1160" w:type="dxa"/>
            <w:vAlign w:val="bottom"/>
            <w:shd w:val="clear" w:color="auto" w:fill="062B48"/>
          </w:tcPr>
          <w:p>
            <w:pPr>
              <w:spacing w:after="0"/>
              <w:rPr>
                <w:sz w:val="15"/>
                <w:szCs w:val="15"/>
                <w:color w:val="auto"/>
              </w:rPr>
            </w:pPr>
          </w:p>
        </w:tc>
        <w:tc>
          <w:tcPr>
            <w:tcW w:w="1760" w:type="dxa"/>
            <w:vAlign w:val="bottom"/>
            <w:gridSpan w:val="2"/>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REASON - NO CHANGE IN</w:t>
            </w:r>
          </w:p>
        </w:tc>
        <w:tc>
          <w:tcPr>
            <w:tcW w:w="200" w:type="dxa"/>
            <w:vAlign w:val="bottom"/>
            <w:shd w:val="clear" w:color="auto" w:fill="062B48"/>
          </w:tcPr>
          <w:p>
            <w:pPr>
              <w:spacing w:after="0"/>
              <w:rPr>
                <w:sz w:val="15"/>
                <w:szCs w:val="15"/>
                <w:color w:val="auto"/>
              </w:rPr>
            </w:pPr>
          </w:p>
        </w:tc>
        <w:tc>
          <w:tcPr>
            <w:tcW w:w="1580" w:type="dxa"/>
            <w:vAlign w:val="bottom"/>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REASON - CHANGE IN</w:t>
            </w:r>
          </w:p>
        </w:tc>
        <w:tc>
          <w:tcPr>
            <w:tcW w:w="0" w:type="dxa"/>
            <w:vAlign w:val="bottom"/>
          </w:tcPr>
          <w:p>
            <w:pPr>
              <w:spacing w:after="0"/>
              <w:rPr>
                <w:sz w:val="1"/>
                <w:szCs w:val="1"/>
                <w:color w:val="auto"/>
              </w:rPr>
            </w:pPr>
          </w:p>
        </w:tc>
      </w:tr>
      <w:tr>
        <w:trPr>
          <w:trHeight w:val="186"/>
        </w:trPr>
        <w:tc>
          <w:tcPr>
            <w:tcW w:w="1580" w:type="dxa"/>
            <w:vAlign w:val="bottom"/>
            <w:tcBorders>
              <w:bottom w:val="single" w:sz="8" w:color="062B48"/>
            </w:tcBorders>
            <w:shd w:val="clear" w:color="auto" w:fill="062B48"/>
          </w:tcPr>
          <w:p>
            <w:pPr>
              <w:spacing w:after="0"/>
              <w:rPr>
                <w:sz w:val="16"/>
                <w:szCs w:val="16"/>
                <w:color w:val="auto"/>
              </w:rPr>
            </w:pPr>
          </w:p>
        </w:tc>
        <w:tc>
          <w:tcPr>
            <w:tcW w:w="2300" w:type="dxa"/>
            <w:vAlign w:val="bottom"/>
            <w:tcBorders>
              <w:bottom w:val="single" w:sz="8" w:color="062B48"/>
            </w:tcBorders>
            <w:shd w:val="clear" w:color="auto" w:fill="062B48"/>
          </w:tcPr>
          <w:p>
            <w:pPr>
              <w:spacing w:after="0"/>
              <w:rPr>
                <w:sz w:val="16"/>
                <w:szCs w:val="16"/>
                <w:color w:val="auto"/>
              </w:rPr>
            </w:pPr>
          </w:p>
        </w:tc>
        <w:tc>
          <w:tcPr>
            <w:tcW w:w="480" w:type="dxa"/>
            <w:vAlign w:val="bottom"/>
            <w:tcBorders>
              <w:bottom w:val="single" w:sz="8" w:color="062B48"/>
            </w:tcBorders>
            <w:shd w:val="clear" w:color="auto" w:fill="062B48"/>
          </w:tcPr>
          <w:p>
            <w:pPr>
              <w:spacing w:after="0"/>
              <w:rPr>
                <w:sz w:val="16"/>
                <w:szCs w:val="16"/>
                <w:color w:val="auto"/>
              </w:rPr>
            </w:pPr>
          </w:p>
        </w:tc>
        <w:tc>
          <w:tcPr>
            <w:tcW w:w="1540" w:type="dxa"/>
            <w:vAlign w:val="bottom"/>
            <w:tcBorders>
              <w:bottom w:val="single" w:sz="8" w:color="062B48"/>
            </w:tcBorders>
            <w:shd w:val="clear" w:color="auto" w:fill="062B48"/>
          </w:tcPr>
          <w:p>
            <w:pPr>
              <w:spacing w:after="0"/>
              <w:rPr>
                <w:sz w:val="16"/>
                <w:szCs w:val="16"/>
                <w:color w:val="auto"/>
              </w:rPr>
            </w:pPr>
          </w:p>
        </w:tc>
        <w:tc>
          <w:tcPr>
            <w:tcW w:w="640" w:type="dxa"/>
            <w:vAlign w:val="bottom"/>
            <w:tcBorders>
              <w:bottom w:val="single" w:sz="8" w:color="062B48"/>
            </w:tcBorders>
            <w:shd w:val="clear" w:color="auto" w:fill="062B48"/>
          </w:tcPr>
          <w:p>
            <w:pPr>
              <w:spacing w:after="0"/>
              <w:rPr>
                <w:sz w:val="16"/>
                <w:szCs w:val="16"/>
                <w:color w:val="auto"/>
              </w:rPr>
            </w:pPr>
          </w:p>
        </w:tc>
        <w:tc>
          <w:tcPr>
            <w:tcW w:w="1160" w:type="dxa"/>
            <w:vAlign w:val="bottom"/>
            <w:tcBorders>
              <w:bottom w:val="single" w:sz="8" w:color="062B48"/>
            </w:tcBorders>
            <w:shd w:val="clear" w:color="auto" w:fill="062B48"/>
          </w:tcPr>
          <w:p>
            <w:pPr>
              <w:spacing w:after="0"/>
              <w:rPr>
                <w:sz w:val="16"/>
                <w:szCs w:val="16"/>
                <w:color w:val="auto"/>
              </w:rPr>
            </w:pPr>
          </w:p>
        </w:tc>
        <w:tc>
          <w:tcPr>
            <w:tcW w:w="200" w:type="dxa"/>
            <w:vAlign w:val="bottom"/>
            <w:tcBorders>
              <w:bottom w:val="single" w:sz="8" w:color="062B48"/>
            </w:tcBorders>
            <w:shd w:val="clear" w:color="auto" w:fill="062B48"/>
          </w:tcPr>
          <w:p>
            <w:pPr>
              <w:spacing w:after="0"/>
              <w:rPr>
                <w:sz w:val="16"/>
                <w:szCs w:val="16"/>
                <w:color w:val="auto"/>
              </w:rPr>
            </w:pPr>
          </w:p>
        </w:tc>
        <w:tc>
          <w:tcPr>
            <w:tcW w:w="1560" w:type="dxa"/>
            <w:vAlign w:val="bottom"/>
            <w:tcBorders>
              <w:bottom w:val="single" w:sz="8" w:color="062B48"/>
            </w:tcBorders>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w w:val="99"/>
              </w:rPr>
              <w:t>CONTROL</w:t>
            </w:r>
          </w:p>
        </w:tc>
        <w:tc>
          <w:tcPr>
            <w:tcW w:w="200" w:type="dxa"/>
            <w:vAlign w:val="bottom"/>
            <w:tcBorders>
              <w:bottom w:val="single" w:sz="8" w:color="062B48"/>
            </w:tcBorders>
            <w:shd w:val="clear" w:color="auto" w:fill="062B48"/>
          </w:tcPr>
          <w:p>
            <w:pPr>
              <w:spacing w:after="0"/>
              <w:rPr>
                <w:sz w:val="16"/>
                <w:szCs w:val="16"/>
                <w:color w:val="auto"/>
              </w:rPr>
            </w:pPr>
          </w:p>
        </w:tc>
        <w:tc>
          <w:tcPr>
            <w:tcW w:w="1580" w:type="dxa"/>
            <w:vAlign w:val="bottom"/>
            <w:tcBorders>
              <w:bottom w:val="single" w:sz="8" w:color="062B48"/>
            </w:tcBorders>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CONTROL</w:t>
            </w:r>
          </w:p>
        </w:tc>
        <w:tc>
          <w:tcPr>
            <w:tcW w:w="0" w:type="dxa"/>
            <w:vAlign w:val="bottom"/>
          </w:tcPr>
          <w:p>
            <w:pPr>
              <w:spacing w:after="0"/>
              <w:rPr>
                <w:sz w:val="1"/>
                <w:szCs w:val="1"/>
                <w:color w:val="auto"/>
              </w:rPr>
            </w:pPr>
          </w:p>
        </w:tc>
      </w:tr>
      <w:tr>
        <w:trPr>
          <w:trHeight w:val="169"/>
        </w:trPr>
        <w:tc>
          <w:tcPr>
            <w:tcW w:w="1580" w:type="dxa"/>
            <w:vAlign w:val="bottom"/>
          </w:tcPr>
          <w:p>
            <w:pPr>
              <w:ind w:left="160"/>
              <w:spacing w:after="0" w:line="169" w:lineRule="exact"/>
              <w:rPr>
                <w:sz w:val="20"/>
                <w:szCs w:val="20"/>
                <w:color w:val="auto"/>
              </w:rPr>
            </w:pPr>
            <w:r>
              <w:rPr>
                <w:rFonts w:ascii="Calibri" w:cs="Calibri" w:eastAsia="Calibri" w:hAnsi="Calibri"/>
                <w:sz w:val="14"/>
                <w:szCs w:val="14"/>
                <w:color w:val="auto"/>
              </w:rPr>
              <w:t>Kate A. Lorenson</w:t>
            </w:r>
          </w:p>
        </w:tc>
        <w:tc>
          <w:tcPr>
            <w:tcW w:w="2300" w:type="dxa"/>
            <w:vAlign w:val="bottom"/>
          </w:tcPr>
          <w:p>
            <w:pPr>
              <w:spacing w:after="0" w:line="169" w:lineRule="exact"/>
              <w:rPr>
                <w:sz w:val="20"/>
                <w:szCs w:val="20"/>
                <w:color w:val="auto"/>
              </w:rPr>
            </w:pPr>
            <w:r>
              <w:rPr>
                <w:rFonts w:ascii="Calibri" w:cs="Calibri" w:eastAsia="Calibri" w:hAnsi="Calibri"/>
                <w:sz w:val="14"/>
                <w:szCs w:val="14"/>
                <w:color w:val="auto"/>
              </w:rPr>
              <w:t>Cash Severance</w:t>
            </w:r>
          </w:p>
        </w:tc>
        <w:tc>
          <w:tcPr>
            <w:tcW w:w="4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1,937,500</w:t>
            </w:r>
          </w:p>
        </w:tc>
        <w:tc>
          <w:tcPr>
            <w:tcW w:w="640" w:type="dxa"/>
            <w:vAlign w:val="bottom"/>
          </w:tcPr>
          <w:p>
            <w:pPr>
              <w:jc w:val="right"/>
              <w:ind w:right="389"/>
              <w:spacing w:after="0" w:line="169"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9" w:lineRule="exact"/>
              <w:rPr>
                <w:sz w:val="20"/>
                <w:szCs w:val="20"/>
                <w:color w:val="auto"/>
              </w:rPr>
            </w:pPr>
            <w:r>
              <w:rPr>
                <w:rFonts w:ascii="Calibri" w:cs="Calibri" w:eastAsia="Calibri" w:hAnsi="Calibri"/>
                <w:sz w:val="14"/>
                <w:szCs w:val="14"/>
                <w:color w:val="auto"/>
              </w:rPr>
              <w:t>1,937,500</w:t>
            </w:r>
          </w:p>
        </w:tc>
        <w:tc>
          <w:tcPr>
            <w:tcW w:w="2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1,937,500</w:t>
            </w:r>
          </w:p>
        </w:tc>
        <w:tc>
          <w:tcPr>
            <w:tcW w:w="2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2,896,563</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Contnuaton of Insurance Benefts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23,608</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23,608</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23,608</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23,608</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Acceleraton of Stock Awards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1,235,785</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1,235,785</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1,235,785</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1,235,785</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Total</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3,196,893</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3,196,893</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3,196,893</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4,155,956</w:t>
            </w:r>
          </w:p>
        </w:tc>
        <w:tc>
          <w:tcPr>
            <w:tcW w:w="0" w:type="dxa"/>
            <w:vAlign w:val="bottom"/>
          </w:tcPr>
          <w:p>
            <w:pPr>
              <w:spacing w:after="0"/>
              <w:rPr>
                <w:sz w:val="1"/>
                <w:szCs w:val="1"/>
                <w:color w:val="auto"/>
              </w:rPr>
            </w:pPr>
          </w:p>
        </w:tc>
      </w:tr>
      <w:tr>
        <w:trPr>
          <w:trHeight w:val="31"/>
        </w:trPr>
        <w:tc>
          <w:tcPr>
            <w:tcW w:w="1580" w:type="dxa"/>
            <w:vAlign w:val="bottom"/>
            <w:tcBorders>
              <w:bottom w:val="single" w:sz="8" w:color="1AB2D2"/>
            </w:tcBorders>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60"/>
              <w:spacing w:after="0" w:line="162" w:lineRule="exact"/>
              <w:rPr>
                <w:sz w:val="20"/>
                <w:szCs w:val="20"/>
                <w:color w:val="auto"/>
              </w:rPr>
            </w:pPr>
            <w:r>
              <w:rPr>
                <w:rFonts w:ascii="Calibri" w:cs="Calibri" w:eastAsia="Calibri" w:hAnsi="Calibri"/>
                <w:sz w:val="14"/>
                <w:szCs w:val="14"/>
                <w:color w:val="auto"/>
              </w:rPr>
              <w:t>Alan A. Villalon</w:t>
            </w: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Cash Severance</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504,000</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504,000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504,000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1,008,000</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Contnuaton of Insurance Benefts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24,992</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24,992</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24,992</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24,992</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Acceleraton of Stock Awards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426,867</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426,867</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426,867</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426,867</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Total</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955,859</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955,859</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955,859</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1,459,859</w:t>
            </w:r>
          </w:p>
        </w:tc>
        <w:tc>
          <w:tcPr>
            <w:tcW w:w="0" w:type="dxa"/>
            <w:vAlign w:val="bottom"/>
          </w:tcPr>
          <w:p>
            <w:pPr>
              <w:spacing w:after="0"/>
              <w:rPr>
                <w:sz w:val="1"/>
                <w:szCs w:val="1"/>
                <w:color w:val="auto"/>
              </w:rPr>
            </w:pPr>
          </w:p>
        </w:tc>
      </w:tr>
      <w:tr>
        <w:trPr>
          <w:trHeight w:val="31"/>
        </w:trPr>
        <w:tc>
          <w:tcPr>
            <w:tcW w:w="1580" w:type="dxa"/>
            <w:vAlign w:val="bottom"/>
            <w:tcBorders>
              <w:bottom w:val="single" w:sz="8" w:color="1AB2D2"/>
            </w:tcBorders>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60"/>
              <w:spacing w:after="0" w:line="162" w:lineRule="exact"/>
              <w:rPr>
                <w:sz w:val="20"/>
                <w:szCs w:val="20"/>
                <w:color w:val="auto"/>
              </w:rPr>
            </w:pPr>
            <w:r>
              <w:rPr>
                <w:rFonts w:ascii="Calibri" w:cs="Calibri" w:eastAsia="Calibri" w:hAnsi="Calibri"/>
                <w:sz w:val="14"/>
                <w:szCs w:val="14"/>
                <w:color w:val="auto"/>
              </w:rPr>
              <w:t>Jim R. Collins</w:t>
            </w: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Cash Severance</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651,000</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651,000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651,000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1,302,000</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Contnuaton of Insurance Benefts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23,608</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23,608</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23,608</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23,608</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Acceleraton of Stock Awards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528,522</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528,522</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528,522</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528,522</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Total</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1,203,130</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1,203,130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1,203,130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1,854,130</w:t>
            </w:r>
          </w:p>
        </w:tc>
        <w:tc>
          <w:tcPr>
            <w:tcW w:w="0" w:type="dxa"/>
            <w:vAlign w:val="bottom"/>
          </w:tcPr>
          <w:p>
            <w:pPr>
              <w:spacing w:after="0"/>
              <w:rPr>
                <w:sz w:val="1"/>
                <w:szCs w:val="1"/>
                <w:color w:val="auto"/>
              </w:rPr>
            </w:pPr>
          </w:p>
        </w:tc>
      </w:tr>
      <w:tr>
        <w:trPr>
          <w:trHeight w:val="31"/>
        </w:trPr>
        <w:tc>
          <w:tcPr>
            <w:tcW w:w="1580" w:type="dxa"/>
            <w:vAlign w:val="bottom"/>
            <w:tcBorders>
              <w:bottom w:val="single" w:sz="8" w:color="1AB2D2"/>
            </w:tcBorders>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60"/>
              <w:spacing w:after="0" w:line="162" w:lineRule="exact"/>
              <w:rPr>
                <w:sz w:val="20"/>
                <w:szCs w:val="20"/>
                <w:color w:val="auto"/>
              </w:rPr>
            </w:pPr>
            <w:r>
              <w:rPr>
                <w:rFonts w:ascii="Calibri" w:cs="Calibri" w:eastAsia="Calibri" w:hAnsi="Calibri"/>
                <w:sz w:val="14"/>
                <w:szCs w:val="14"/>
                <w:color w:val="auto"/>
              </w:rPr>
              <w:t>Karin M. Taylor</w:t>
            </w: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Cash Severance</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567,000</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567,000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567,000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1,134,000</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Contnuaton of Insurance Benefts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15,776</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15,776</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15,776</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15,776</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Acceleraton of Stock Awards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520,257</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520,257</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271,456</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520,257</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Total</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1,103,033</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1,103,033</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854,232</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1,670,033</w:t>
            </w:r>
          </w:p>
        </w:tc>
        <w:tc>
          <w:tcPr>
            <w:tcW w:w="0" w:type="dxa"/>
            <w:vAlign w:val="bottom"/>
          </w:tcPr>
          <w:p>
            <w:pPr>
              <w:spacing w:after="0"/>
              <w:rPr>
                <w:sz w:val="1"/>
                <w:szCs w:val="1"/>
                <w:color w:val="auto"/>
              </w:rPr>
            </w:pPr>
          </w:p>
        </w:tc>
      </w:tr>
      <w:tr>
        <w:trPr>
          <w:trHeight w:val="31"/>
        </w:trPr>
        <w:tc>
          <w:tcPr>
            <w:tcW w:w="1580" w:type="dxa"/>
            <w:vAlign w:val="bottom"/>
            <w:tcBorders>
              <w:bottom w:val="single" w:sz="8" w:color="1AB2D2"/>
            </w:tcBorders>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60"/>
              <w:spacing w:after="0" w:line="162" w:lineRule="exact"/>
              <w:rPr>
                <w:sz w:val="20"/>
                <w:szCs w:val="20"/>
                <w:color w:val="auto"/>
              </w:rPr>
            </w:pPr>
            <w:r>
              <w:rPr>
                <w:rFonts w:ascii="Calibri" w:cs="Calibri" w:eastAsia="Calibri" w:hAnsi="Calibri"/>
                <w:sz w:val="14"/>
                <w:szCs w:val="14"/>
                <w:color w:val="auto"/>
              </w:rPr>
              <w:t>Forrest R. Wilson</w:t>
            </w: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Cash Severance</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546,000</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546,000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546,000</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1,092,000</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Contnuaton of Insurance Benefts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23,608</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23,608</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23,608</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23,608</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Acceleraton of Stock Awards</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437,271</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437,271</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437,271</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437,271</w:t>
            </w: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580" w:type="dxa"/>
            <w:vAlign w:val="bottom"/>
          </w:tcPr>
          <w:p>
            <w:pPr>
              <w:spacing w:after="0"/>
              <w:rPr>
                <w:sz w:val="14"/>
                <w:szCs w:val="14"/>
                <w:color w:val="auto"/>
              </w:rPr>
            </w:pPr>
          </w:p>
        </w:tc>
        <w:tc>
          <w:tcPr>
            <w:tcW w:w="2300" w:type="dxa"/>
            <w:vAlign w:val="bottom"/>
          </w:tcPr>
          <w:p>
            <w:pPr>
              <w:spacing w:after="0" w:line="162" w:lineRule="exact"/>
              <w:rPr>
                <w:sz w:val="20"/>
                <w:szCs w:val="20"/>
                <w:color w:val="auto"/>
              </w:rPr>
            </w:pPr>
            <w:r>
              <w:rPr>
                <w:rFonts w:ascii="Calibri" w:cs="Calibri" w:eastAsia="Calibri" w:hAnsi="Calibri"/>
                <w:sz w:val="14"/>
                <w:szCs w:val="14"/>
                <w:color w:val="auto"/>
              </w:rPr>
              <w:t>Total</w:t>
            </w:r>
          </w:p>
        </w:tc>
        <w:tc>
          <w:tcPr>
            <w:tcW w:w="4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w:t>
            </w:r>
          </w:p>
        </w:tc>
        <w:tc>
          <w:tcPr>
            <w:tcW w:w="154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1,006,879</w:t>
            </w:r>
          </w:p>
        </w:tc>
        <w:tc>
          <w:tcPr>
            <w:tcW w:w="640" w:type="dxa"/>
            <w:vAlign w:val="bottom"/>
          </w:tcPr>
          <w:p>
            <w:pPr>
              <w:jc w:val="right"/>
              <w:ind w:right="389"/>
              <w:spacing w:after="0" w:line="162" w:lineRule="exact"/>
              <w:rPr>
                <w:sz w:val="20"/>
                <w:szCs w:val="20"/>
                <w:color w:val="auto"/>
              </w:rPr>
            </w:pPr>
            <w:r>
              <w:rPr>
                <w:rFonts w:ascii="Calibri" w:cs="Calibri" w:eastAsia="Calibri" w:hAnsi="Calibri"/>
                <w:sz w:val="14"/>
                <w:szCs w:val="14"/>
                <w:color w:val="auto"/>
              </w:rPr>
              <w:t>$</w:t>
            </w:r>
          </w:p>
        </w:tc>
        <w:tc>
          <w:tcPr>
            <w:tcW w:w="1160" w:type="dxa"/>
            <w:vAlign w:val="bottom"/>
          </w:tcPr>
          <w:p>
            <w:pPr>
              <w:jc w:val="right"/>
              <w:ind w:right="49"/>
              <w:spacing w:after="0" w:line="162" w:lineRule="exact"/>
              <w:rPr>
                <w:sz w:val="20"/>
                <w:szCs w:val="20"/>
                <w:color w:val="auto"/>
              </w:rPr>
            </w:pPr>
            <w:r>
              <w:rPr>
                <w:rFonts w:ascii="Calibri" w:cs="Calibri" w:eastAsia="Calibri" w:hAnsi="Calibri"/>
                <w:sz w:val="14"/>
                <w:szCs w:val="14"/>
                <w:color w:val="auto"/>
              </w:rPr>
              <w:t>1,006,879</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6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1,006,879</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58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1,552,879</w:t>
            </w:r>
          </w:p>
        </w:tc>
        <w:tc>
          <w:tcPr>
            <w:tcW w:w="0" w:type="dxa"/>
            <w:vAlign w:val="bottom"/>
          </w:tcPr>
          <w:p>
            <w:pPr>
              <w:spacing w:after="0"/>
              <w:rPr>
                <w:sz w:val="1"/>
                <w:szCs w:val="1"/>
                <w:color w:val="auto"/>
              </w:rPr>
            </w:pPr>
          </w:p>
        </w:tc>
      </w:tr>
      <w:tr>
        <w:trPr>
          <w:trHeight w:val="31"/>
        </w:trPr>
        <w:tc>
          <w:tcPr>
            <w:tcW w:w="1580" w:type="dxa"/>
            <w:vAlign w:val="bottom"/>
            <w:tcBorders>
              <w:bottom w:val="single" w:sz="8" w:color="1AB2D2"/>
            </w:tcBorders>
          </w:tcPr>
          <w:p>
            <w:pPr>
              <w:spacing w:after="0"/>
              <w:rPr>
                <w:sz w:val="2"/>
                <w:szCs w:val="2"/>
                <w:color w:val="auto"/>
              </w:rPr>
            </w:pPr>
          </w:p>
        </w:tc>
        <w:tc>
          <w:tcPr>
            <w:tcW w:w="2300" w:type="dxa"/>
            <w:vAlign w:val="bottom"/>
            <w:tcBorders>
              <w:bottom w:val="single" w:sz="8" w:color="1AB2D2"/>
            </w:tcBorders>
          </w:tcPr>
          <w:p>
            <w:pPr>
              <w:spacing w:after="0"/>
              <w:rPr>
                <w:sz w:val="2"/>
                <w:szCs w:val="2"/>
                <w:color w:val="auto"/>
              </w:rPr>
            </w:pPr>
          </w:p>
        </w:tc>
        <w:tc>
          <w:tcPr>
            <w:tcW w:w="480" w:type="dxa"/>
            <w:vAlign w:val="bottom"/>
            <w:tcBorders>
              <w:bottom w:val="single" w:sz="8" w:color="1AB2D2"/>
            </w:tcBorders>
          </w:tcPr>
          <w:p>
            <w:pPr>
              <w:spacing w:after="0"/>
              <w:rPr>
                <w:sz w:val="2"/>
                <w:szCs w:val="2"/>
                <w:color w:val="auto"/>
              </w:rPr>
            </w:pPr>
          </w:p>
        </w:tc>
        <w:tc>
          <w:tcPr>
            <w:tcW w:w="1540" w:type="dxa"/>
            <w:vAlign w:val="bottom"/>
            <w:tcBorders>
              <w:bottom w:val="single" w:sz="8" w:color="1AB2D2"/>
            </w:tcBorders>
          </w:tcPr>
          <w:p>
            <w:pPr>
              <w:spacing w:after="0"/>
              <w:rPr>
                <w:sz w:val="2"/>
                <w:szCs w:val="2"/>
                <w:color w:val="auto"/>
              </w:rPr>
            </w:pPr>
          </w:p>
        </w:tc>
        <w:tc>
          <w:tcPr>
            <w:tcW w:w="640" w:type="dxa"/>
            <w:vAlign w:val="bottom"/>
            <w:tcBorders>
              <w:bottom w:val="single" w:sz="8" w:color="1AB2D2"/>
            </w:tcBorders>
          </w:tcPr>
          <w:p>
            <w:pPr>
              <w:spacing w:after="0"/>
              <w:rPr>
                <w:sz w:val="2"/>
                <w:szCs w:val="2"/>
                <w:color w:val="auto"/>
              </w:rPr>
            </w:pPr>
          </w:p>
        </w:tc>
        <w:tc>
          <w:tcPr>
            <w:tcW w:w="11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6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58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062B48"/>
        </w:rPr>
        <w:t>CEO Pay Ratio</w:t>
      </w:r>
    </w:p>
    <w:p>
      <w:pPr>
        <w:spacing w:after="0" w:line="243"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As required by Section 953(b) of the Dodd-Frank Act, and Item 402(u) of Regulation S-K, we are providing information about the relationship of the annual total compensation of Katie A. Lorenson, our President and Chief Executive Officer, to the total compensation of our median employee.</w:t>
      </w:r>
    </w:p>
    <w:p>
      <w:pPr>
        <w:spacing w:after="0" w:line="161"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To determine the median employee, a list of all active full- and part-time employees as of December 31, 2025, excluding Ms. Lorenson, was prepared. The measure of "total cash compensation" was used, which is defined as the sum of base salary, bonus, incentives, holiday, paid time off, and overtime pay, as reflected in our payroll records. We believe this is a reasonable measure of total compensation. Our employee population consisted of 863 employees as of December 31, 2025. Compensation was annualized for any full-time or part-time individual not employed for the full calendar year of 2025. Annual compensation was ranked from lowest to highest, and the median employee was selected from the list.</w:t>
      </w:r>
    </w:p>
    <w:p>
      <w:pPr>
        <w:spacing w:after="0" w:line="182"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Ms. Lorenson had total compensation of $1,630,180 in 2025, as reflected in the SCT included in this Proxy Statement. The median employee annual total compensation for 2025, using the methodology that was used to calculate Ms. Lorenson's compensation in the SCT, was $78,830. As a result, the CEO pay ratio is 21 to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593090" cy="1187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34</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37" w:name="page38"/>
    <w:bookmarkEnd w:id="37"/>
    <w:p>
      <w:pPr>
        <w:ind w:right="280"/>
        <w:spacing w:after="0" w:line="255" w:lineRule="auto"/>
        <w:rPr>
          <w:sz w:val="20"/>
          <w:szCs w:val="20"/>
          <w:color w:val="auto"/>
        </w:rPr>
      </w:pPr>
      <w:r>
        <w:rPr>
          <w:rFonts w:ascii="Arial" w:cs="Arial" w:eastAsia="Arial" w:hAnsi="Arial"/>
          <w:sz w:val="16"/>
          <w:szCs w:val="16"/>
          <w:color w:val="auto"/>
        </w:rPr>
        <w:t>The SEC rules for identifying the median employee and calculating the pay ratio allow companies to adopt a variety of methodologies, apply certain exclusions, and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062B48"/>
        </w:rPr>
        <w:t>Pay Versus Performance</w:t>
      </w:r>
    </w:p>
    <w:p>
      <w:pPr>
        <w:spacing w:after="0" w:line="243"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Pursuant to Section 953(a) of the Dodd-Frank Act and Item 402(v) of SEC Regulation S-K, we are providing the following information about the relationship between “compensation actually paid” (“</w:t>
      </w:r>
      <w:r>
        <w:rPr>
          <w:rFonts w:ascii="Arial" w:cs="Arial" w:eastAsia="Arial" w:hAnsi="Arial"/>
          <w:sz w:val="16"/>
          <w:szCs w:val="16"/>
          <w:b w:val="1"/>
          <w:bCs w:val="1"/>
          <w:color w:val="auto"/>
        </w:rPr>
        <w:t>CAP</w:t>
      </w:r>
      <w:r>
        <w:rPr>
          <w:rFonts w:ascii="Arial" w:cs="Arial" w:eastAsia="Arial" w:hAnsi="Arial"/>
          <w:sz w:val="16"/>
          <w:szCs w:val="16"/>
          <w:color w:val="auto"/>
        </w:rPr>
        <w:t>”) to the Company’s principal executive officer (“</w:t>
      </w:r>
      <w:r>
        <w:rPr>
          <w:rFonts w:ascii="Arial" w:cs="Arial" w:eastAsia="Arial" w:hAnsi="Arial"/>
          <w:sz w:val="16"/>
          <w:szCs w:val="16"/>
          <w:b w:val="1"/>
          <w:bCs w:val="1"/>
          <w:color w:val="auto"/>
        </w:rPr>
        <w:t>PEO</w:t>
      </w:r>
      <w:r>
        <w:rPr>
          <w:rFonts w:ascii="Arial" w:cs="Arial" w:eastAsia="Arial" w:hAnsi="Arial"/>
          <w:sz w:val="16"/>
          <w:szCs w:val="16"/>
          <w:color w:val="auto"/>
        </w:rPr>
        <w:t>”) and the Company's non-PEO named executive officers (the “</w:t>
      </w:r>
      <w:r>
        <w:rPr>
          <w:rFonts w:ascii="Arial" w:cs="Arial" w:eastAsia="Arial" w:hAnsi="Arial"/>
          <w:sz w:val="16"/>
          <w:szCs w:val="16"/>
          <w:b w:val="1"/>
          <w:bCs w:val="1"/>
          <w:color w:val="auto"/>
        </w:rPr>
        <w:t>Non-PEO NEOs</w:t>
      </w:r>
      <w:r>
        <w:rPr>
          <w:rFonts w:ascii="Arial" w:cs="Arial" w:eastAsia="Arial" w:hAnsi="Arial"/>
          <w:sz w:val="16"/>
          <w:szCs w:val="16"/>
          <w:color w:val="auto"/>
        </w:rPr>
        <w:t>”) and certain aspects of the financial performance of the Company. The Compensation Committee does not utilize CAP as a basis for making compensation decisions. For further information concerning our compensation philosophy and how we align executive compensation with our performance, please see the Compensation Discussion &amp; Analysis section of this Proxy Statement.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alibri" w:cs="Calibri" w:eastAsia="Calibri" w:hAnsi="Calibri"/>
          <w:sz w:val="16"/>
          <w:szCs w:val="16"/>
          <w:color w:val="1AB2D2"/>
        </w:rPr>
        <w:t>PAY VERSUS PERFORMANCE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36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2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22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240" w:type="dxa"/>
            <w:vAlign w:val="bottom"/>
            <w:shd w:val="clear" w:color="auto" w:fill="062B48"/>
          </w:tcPr>
          <w:p>
            <w:pPr>
              <w:spacing w:after="0"/>
              <w:rPr>
                <w:sz w:val="14"/>
                <w:szCs w:val="14"/>
                <w:color w:val="auto"/>
              </w:rPr>
            </w:pPr>
          </w:p>
        </w:tc>
        <w:tc>
          <w:tcPr>
            <w:tcW w:w="2080" w:type="dxa"/>
            <w:vAlign w:val="bottom"/>
            <w:gridSpan w:val="3"/>
            <w:shd w:val="clear" w:color="auto" w:fill="062B48"/>
          </w:tcPr>
          <w:p>
            <w:pPr>
              <w:jc w:val="right"/>
              <w:ind w:right="170"/>
              <w:spacing w:after="0"/>
              <w:rPr>
                <w:sz w:val="20"/>
                <w:szCs w:val="20"/>
                <w:color w:val="auto"/>
              </w:rPr>
            </w:pPr>
            <w:r>
              <w:rPr>
                <w:rFonts w:ascii="Calibri" w:cs="Calibri" w:eastAsia="Calibri" w:hAnsi="Calibri"/>
                <w:sz w:val="14"/>
                <w:szCs w:val="14"/>
                <w:b w:val="1"/>
                <w:bCs w:val="1"/>
                <w:color w:val="FFFFFF"/>
              </w:rPr>
              <w:t>VALUE OF INITIAL FIXED $100</w:t>
            </w:r>
          </w:p>
        </w:tc>
        <w:tc>
          <w:tcPr>
            <w:tcW w:w="120" w:type="dxa"/>
            <w:vAlign w:val="bottom"/>
            <w:shd w:val="clear" w:color="auto" w:fill="062B48"/>
          </w:tcPr>
          <w:p>
            <w:pPr>
              <w:spacing w:after="0"/>
              <w:rPr>
                <w:sz w:val="14"/>
                <w:szCs w:val="14"/>
                <w:color w:val="auto"/>
              </w:rPr>
            </w:pPr>
          </w:p>
        </w:tc>
        <w:tc>
          <w:tcPr>
            <w:tcW w:w="240" w:type="dxa"/>
            <w:vAlign w:val="bottom"/>
            <w:shd w:val="clear" w:color="auto" w:fill="062B48"/>
          </w:tcPr>
          <w:p>
            <w:pPr>
              <w:spacing w:after="0"/>
              <w:rPr>
                <w:sz w:val="14"/>
                <w:szCs w:val="14"/>
                <w:color w:val="auto"/>
              </w:rPr>
            </w:pPr>
          </w:p>
        </w:tc>
        <w:tc>
          <w:tcPr>
            <w:tcW w:w="1040" w:type="dxa"/>
            <w:vAlign w:val="bottom"/>
            <w:shd w:val="clear" w:color="auto" w:fill="062B48"/>
          </w:tcPr>
          <w:p>
            <w:pPr>
              <w:spacing w:after="0"/>
              <w:rPr>
                <w:sz w:val="14"/>
                <w:szCs w:val="14"/>
                <w:color w:val="auto"/>
              </w:rPr>
            </w:pPr>
          </w:p>
        </w:tc>
        <w:tc>
          <w:tcPr>
            <w:tcW w:w="114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36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2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26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220" w:type="dxa"/>
            <w:vAlign w:val="bottom"/>
            <w:shd w:val="clear" w:color="auto" w:fill="062B48"/>
          </w:tcPr>
          <w:p>
            <w:pPr>
              <w:spacing w:after="0"/>
              <w:rPr>
                <w:sz w:val="14"/>
                <w:szCs w:val="14"/>
                <w:color w:val="auto"/>
              </w:rPr>
            </w:pPr>
          </w:p>
        </w:tc>
        <w:tc>
          <w:tcPr>
            <w:tcW w:w="1000" w:type="dxa"/>
            <w:vAlign w:val="bottom"/>
            <w:shd w:val="clear" w:color="auto" w:fill="062B48"/>
          </w:tcPr>
          <w:p>
            <w:pPr>
              <w:spacing w:after="0"/>
              <w:rPr>
                <w:sz w:val="14"/>
                <w:szCs w:val="14"/>
                <w:color w:val="auto"/>
              </w:rPr>
            </w:pPr>
          </w:p>
        </w:tc>
        <w:tc>
          <w:tcPr>
            <w:tcW w:w="240" w:type="dxa"/>
            <w:vAlign w:val="bottom"/>
            <w:shd w:val="clear" w:color="auto" w:fill="062B48"/>
          </w:tcPr>
          <w:p>
            <w:pPr>
              <w:spacing w:after="0"/>
              <w:rPr>
                <w:sz w:val="14"/>
                <w:szCs w:val="14"/>
                <w:color w:val="auto"/>
              </w:rPr>
            </w:pPr>
          </w:p>
        </w:tc>
        <w:tc>
          <w:tcPr>
            <w:tcW w:w="2080" w:type="dxa"/>
            <w:vAlign w:val="bottom"/>
            <w:gridSpan w:val="3"/>
            <w:shd w:val="clear" w:color="auto" w:fill="062B48"/>
          </w:tcPr>
          <w:p>
            <w:pPr>
              <w:jc w:val="right"/>
              <w:ind w:right="310"/>
              <w:spacing w:after="0" w:line="169" w:lineRule="exact"/>
              <w:rPr>
                <w:sz w:val="20"/>
                <w:szCs w:val="20"/>
                <w:color w:val="auto"/>
              </w:rPr>
            </w:pPr>
            <w:r>
              <w:rPr>
                <w:rFonts w:ascii="Calibri" w:cs="Calibri" w:eastAsia="Calibri" w:hAnsi="Calibri"/>
                <w:sz w:val="14"/>
                <w:szCs w:val="14"/>
                <w:b w:val="1"/>
                <w:bCs w:val="1"/>
                <w:color w:val="FFFFFF"/>
              </w:rPr>
              <w:t>INVESTMENT BASED ON:</w:t>
            </w:r>
          </w:p>
        </w:tc>
        <w:tc>
          <w:tcPr>
            <w:tcW w:w="120" w:type="dxa"/>
            <w:vAlign w:val="bottom"/>
            <w:shd w:val="clear" w:color="auto" w:fill="062B48"/>
          </w:tcPr>
          <w:p>
            <w:pPr>
              <w:spacing w:after="0"/>
              <w:rPr>
                <w:sz w:val="14"/>
                <w:szCs w:val="14"/>
                <w:color w:val="auto"/>
              </w:rPr>
            </w:pPr>
          </w:p>
        </w:tc>
        <w:tc>
          <w:tcPr>
            <w:tcW w:w="240" w:type="dxa"/>
            <w:vAlign w:val="bottom"/>
            <w:shd w:val="clear" w:color="auto" w:fill="062B48"/>
          </w:tcPr>
          <w:p>
            <w:pPr>
              <w:spacing w:after="0"/>
              <w:rPr>
                <w:sz w:val="14"/>
                <w:szCs w:val="14"/>
                <w:color w:val="auto"/>
              </w:rPr>
            </w:pPr>
          </w:p>
        </w:tc>
        <w:tc>
          <w:tcPr>
            <w:tcW w:w="1040" w:type="dxa"/>
            <w:vAlign w:val="bottom"/>
            <w:shd w:val="clear" w:color="auto" w:fill="062B48"/>
          </w:tcPr>
          <w:p>
            <w:pPr>
              <w:spacing w:after="0"/>
              <w:rPr>
                <w:sz w:val="14"/>
                <w:szCs w:val="14"/>
                <w:color w:val="auto"/>
              </w:rPr>
            </w:pPr>
          </w:p>
        </w:tc>
        <w:tc>
          <w:tcPr>
            <w:tcW w:w="1140" w:type="dxa"/>
            <w:vAlign w:val="bottom"/>
            <w:shd w:val="clear" w:color="auto" w:fill="062B48"/>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360" w:type="dxa"/>
            <w:vAlign w:val="bottom"/>
            <w:shd w:val="clear" w:color="auto" w:fill="062B48"/>
          </w:tcPr>
          <w:p>
            <w:pPr>
              <w:spacing w:after="0"/>
              <w:rPr>
                <w:sz w:val="17"/>
                <w:szCs w:val="17"/>
                <w:color w:val="auto"/>
              </w:rPr>
            </w:pPr>
          </w:p>
        </w:tc>
        <w:tc>
          <w:tcPr>
            <w:tcW w:w="260" w:type="dxa"/>
            <w:vAlign w:val="bottom"/>
            <w:shd w:val="clear" w:color="auto" w:fill="062B48"/>
          </w:tcPr>
          <w:p>
            <w:pPr>
              <w:spacing w:after="0"/>
              <w:rPr>
                <w:sz w:val="17"/>
                <w:szCs w:val="17"/>
                <w:color w:val="auto"/>
              </w:rPr>
            </w:pPr>
          </w:p>
        </w:tc>
        <w:tc>
          <w:tcPr>
            <w:tcW w:w="1020" w:type="dxa"/>
            <w:vAlign w:val="bottom"/>
            <w:shd w:val="clear" w:color="auto" w:fill="062B48"/>
          </w:tcPr>
          <w:p>
            <w:pPr>
              <w:spacing w:after="0"/>
              <w:rPr>
                <w:sz w:val="17"/>
                <w:szCs w:val="17"/>
                <w:color w:val="auto"/>
              </w:rPr>
            </w:pPr>
          </w:p>
        </w:tc>
        <w:tc>
          <w:tcPr>
            <w:tcW w:w="260" w:type="dxa"/>
            <w:vAlign w:val="bottom"/>
            <w:shd w:val="clear" w:color="auto" w:fill="062B48"/>
          </w:tcPr>
          <w:p>
            <w:pPr>
              <w:spacing w:after="0"/>
              <w:rPr>
                <w:sz w:val="17"/>
                <w:szCs w:val="17"/>
                <w:color w:val="auto"/>
              </w:rPr>
            </w:pPr>
          </w:p>
        </w:tc>
        <w:tc>
          <w:tcPr>
            <w:tcW w:w="1000" w:type="dxa"/>
            <w:vAlign w:val="bottom"/>
            <w:shd w:val="clear" w:color="auto" w:fill="062B48"/>
          </w:tcPr>
          <w:p>
            <w:pPr>
              <w:spacing w:after="0"/>
              <w:rPr>
                <w:sz w:val="17"/>
                <w:szCs w:val="17"/>
                <w:color w:val="auto"/>
              </w:rPr>
            </w:pPr>
          </w:p>
        </w:tc>
        <w:tc>
          <w:tcPr>
            <w:tcW w:w="260" w:type="dxa"/>
            <w:vAlign w:val="bottom"/>
            <w:shd w:val="clear" w:color="auto" w:fill="062B48"/>
          </w:tcPr>
          <w:p>
            <w:pPr>
              <w:spacing w:after="0"/>
              <w:rPr>
                <w:sz w:val="17"/>
                <w:szCs w:val="17"/>
                <w:color w:val="auto"/>
              </w:rPr>
            </w:pPr>
          </w:p>
        </w:tc>
        <w:tc>
          <w:tcPr>
            <w:tcW w:w="1000" w:type="dxa"/>
            <w:vAlign w:val="bottom"/>
            <w:shd w:val="clear" w:color="auto" w:fill="062B48"/>
          </w:tcPr>
          <w:p>
            <w:pPr>
              <w:jc w:val="center"/>
              <w:ind w:right="169"/>
              <w:spacing w:after="0"/>
              <w:rPr>
                <w:sz w:val="20"/>
                <w:szCs w:val="20"/>
                <w:color w:val="auto"/>
              </w:rPr>
            </w:pPr>
            <w:r>
              <w:rPr>
                <w:rFonts w:ascii="Calibri" w:cs="Calibri" w:eastAsia="Calibri" w:hAnsi="Calibri"/>
                <w:sz w:val="14"/>
                <w:szCs w:val="14"/>
                <w:b w:val="1"/>
                <w:bCs w:val="1"/>
                <w:color w:val="FFFFFF"/>
              </w:rPr>
              <w:t>AVERAGE</w:t>
            </w:r>
          </w:p>
        </w:tc>
        <w:tc>
          <w:tcPr>
            <w:tcW w:w="220" w:type="dxa"/>
            <w:vAlign w:val="bottom"/>
            <w:shd w:val="clear" w:color="auto" w:fill="062B48"/>
          </w:tcPr>
          <w:p>
            <w:pPr>
              <w:spacing w:after="0"/>
              <w:rPr>
                <w:sz w:val="17"/>
                <w:szCs w:val="17"/>
                <w:color w:val="auto"/>
              </w:rPr>
            </w:pPr>
          </w:p>
        </w:tc>
        <w:tc>
          <w:tcPr>
            <w:tcW w:w="1000" w:type="dxa"/>
            <w:vAlign w:val="bottom"/>
            <w:vMerge w:val="restart"/>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AVERAGE</w:t>
            </w:r>
          </w:p>
        </w:tc>
        <w:tc>
          <w:tcPr>
            <w:tcW w:w="240" w:type="dxa"/>
            <w:vAlign w:val="bottom"/>
            <w:shd w:val="clear" w:color="auto" w:fill="062B48"/>
          </w:tcPr>
          <w:p>
            <w:pPr>
              <w:spacing w:after="0"/>
              <w:rPr>
                <w:sz w:val="17"/>
                <w:szCs w:val="17"/>
                <w:color w:val="auto"/>
              </w:rPr>
            </w:pPr>
          </w:p>
        </w:tc>
        <w:tc>
          <w:tcPr>
            <w:tcW w:w="980" w:type="dxa"/>
            <w:vAlign w:val="bottom"/>
            <w:shd w:val="clear" w:color="auto" w:fill="062B48"/>
          </w:tcPr>
          <w:p>
            <w:pPr>
              <w:spacing w:after="0"/>
              <w:rPr>
                <w:sz w:val="17"/>
                <w:szCs w:val="17"/>
                <w:color w:val="auto"/>
              </w:rPr>
            </w:pPr>
          </w:p>
        </w:tc>
        <w:tc>
          <w:tcPr>
            <w:tcW w:w="200" w:type="dxa"/>
            <w:vAlign w:val="bottom"/>
            <w:shd w:val="clear" w:color="auto" w:fill="062B48"/>
          </w:tcPr>
          <w:p>
            <w:pPr>
              <w:spacing w:after="0"/>
              <w:rPr>
                <w:sz w:val="17"/>
                <w:szCs w:val="17"/>
                <w:color w:val="auto"/>
              </w:rPr>
            </w:pPr>
          </w:p>
        </w:tc>
        <w:tc>
          <w:tcPr>
            <w:tcW w:w="900" w:type="dxa"/>
            <w:vAlign w:val="bottom"/>
            <w:shd w:val="clear" w:color="auto" w:fill="062B48"/>
          </w:tcPr>
          <w:p>
            <w:pPr>
              <w:spacing w:after="0"/>
              <w:rPr>
                <w:sz w:val="17"/>
                <w:szCs w:val="17"/>
                <w:color w:val="auto"/>
              </w:rPr>
            </w:pPr>
          </w:p>
        </w:tc>
        <w:tc>
          <w:tcPr>
            <w:tcW w:w="120" w:type="dxa"/>
            <w:vAlign w:val="bottom"/>
            <w:shd w:val="clear" w:color="auto" w:fill="062B48"/>
          </w:tcPr>
          <w:p>
            <w:pPr>
              <w:spacing w:after="0"/>
              <w:rPr>
                <w:sz w:val="17"/>
                <w:szCs w:val="17"/>
                <w:color w:val="auto"/>
              </w:rPr>
            </w:pPr>
          </w:p>
        </w:tc>
        <w:tc>
          <w:tcPr>
            <w:tcW w:w="240" w:type="dxa"/>
            <w:vAlign w:val="bottom"/>
            <w:shd w:val="clear" w:color="auto" w:fill="062B48"/>
          </w:tcPr>
          <w:p>
            <w:pPr>
              <w:spacing w:after="0"/>
              <w:rPr>
                <w:sz w:val="17"/>
                <w:szCs w:val="17"/>
                <w:color w:val="auto"/>
              </w:rPr>
            </w:pPr>
          </w:p>
        </w:tc>
        <w:tc>
          <w:tcPr>
            <w:tcW w:w="1040" w:type="dxa"/>
            <w:vAlign w:val="bottom"/>
            <w:shd w:val="clear" w:color="auto" w:fill="062B48"/>
          </w:tcPr>
          <w:p>
            <w:pPr>
              <w:spacing w:after="0"/>
              <w:rPr>
                <w:sz w:val="17"/>
                <w:szCs w:val="17"/>
                <w:color w:val="auto"/>
              </w:rPr>
            </w:pPr>
          </w:p>
        </w:tc>
        <w:tc>
          <w:tcPr>
            <w:tcW w:w="1140" w:type="dxa"/>
            <w:vAlign w:val="bottom"/>
            <w:vMerge w:val="restart"/>
            <w:shd w:val="clear" w:color="auto" w:fill="062B48"/>
          </w:tcPr>
          <w:p>
            <w:pPr>
              <w:jc w:val="center"/>
              <w:ind w:right="9"/>
              <w:spacing w:after="0"/>
              <w:rPr>
                <w:sz w:val="20"/>
                <w:szCs w:val="20"/>
                <w:color w:val="auto"/>
              </w:rPr>
            </w:pPr>
            <w:r>
              <w:rPr>
                <w:rFonts w:ascii="Calibri" w:cs="Calibri" w:eastAsia="Calibri" w:hAnsi="Calibri"/>
                <w:sz w:val="14"/>
                <w:szCs w:val="14"/>
                <w:b w:val="1"/>
                <w:bCs w:val="1"/>
                <w:color w:val="FFFFFF"/>
              </w:rPr>
              <w:t>COMPANY</w:t>
            </w:r>
          </w:p>
        </w:tc>
        <w:tc>
          <w:tcPr>
            <w:tcW w:w="0" w:type="dxa"/>
            <w:vAlign w:val="bottom"/>
          </w:tcPr>
          <w:p>
            <w:pPr>
              <w:spacing w:after="0"/>
              <w:rPr>
                <w:sz w:val="1"/>
                <w:szCs w:val="1"/>
                <w:color w:val="auto"/>
              </w:rPr>
            </w:pPr>
          </w:p>
        </w:tc>
      </w:tr>
      <w:tr>
        <w:trPr>
          <w:trHeight w:val="80"/>
        </w:trPr>
        <w:tc>
          <w:tcPr>
            <w:tcW w:w="1360" w:type="dxa"/>
            <w:vAlign w:val="bottom"/>
            <w:shd w:val="clear" w:color="auto" w:fill="062B48"/>
          </w:tcPr>
          <w:p>
            <w:pPr>
              <w:spacing w:after="0"/>
              <w:rPr>
                <w:sz w:val="6"/>
                <w:szCs w:val="6"/>
                <w:color w:val="auto"/>
              </w:rPr>
            </w:pPr>
          </w:p>
        </w:tc>
        <w:tc>
          <w:tcPr>
            <w:tcW w:w="260" w:type="dxa"/>
            <w:vAlign w:val="bottom"/>
            <w:shd w:val="clear" w:color="auto" w:fill="062B48"/>
          </w:tcPr>
          <w:p>
            <w:pPr>
              <w:spacing w:after="0"/>
              <w:rPr>
                <w:sz w:val="6"/>
                <w:szCs w:val="6"/>
                <w:color w:val="auto"/>
              </w:rPr>
            </w:pPr>
          </w:p>
        </w:tc>
        <w:tc>
          <w:tcPr>
            <w:tcW w:w="1020" w:type="dxa"/>
            <w:vAlign w:val="bottom"/>
            <w:vMerge w:val="restart"/>
            <w:shd w:val="clear" w:color="auto" w:fill="062B48"/>
          </w:tcPr>
          <w:p>
            <w:pPr>
              <w:jc w:val="center"/>
              <w:ind w:right="193"/>
              <w:spacing w:after="0"/>
              <w:rPr>
                <w:sz w:val="20"/>
                <w:szCs w:val="20"/>
                <w:color w:val="auto"/>
              </w:rPr>
            </w:pPr>
            <w:r>
              <w:rPr>
                <w:rFonts w:ascii="Calibri" w:cs="Calibri" w:eastAsia="Calibri" w:hAnsi="Calibri"/>
                <w:sz w:val="14"/>
                <w:szCs w:val="14"/>
                <w:b w:val="1"/>
                <w:bCs w:val="1"/>
                <w:color w:val="FFFFFF"/>
              </w:rPr>
              <w:t>SUMMARY</w:t>
            </w:r>
          </w:p>
        </w:tc>
        <w:tc>
          <w:tcPr>
            <w:tcW w:w="260" w:type="dxa"/>
            <w:vAlign w:val="bottom"/>
            <w:shd w:val="clear" w:color="auto" w:fill="062B48"/>
          </w:tcPr>
          <w:p>
            <w:pPr>
              <w:spacing w:after="0"/>
              <w:rPr>
                <w:sz w:val="6"/>
                <w:szCs w:val="6"/>
                <w:color w:val="auto"/>
              </w:rPr>
            </w:pPr>
          </w:p>
        </w:tc>
        <w:tc>
          <w:tcPr>
            <w:tcW w:w="1000" w:type="dxa"/>
            <w:vAlign w:val="bottom"/>
            <w:shd w:val="clear" w:color="auto" w:fill="062B48"/>
          </w:tcPr>
          <w:p>
            <w:pPr>
              <w:spacing w:after="0"/>
              <w:rPr>
                <w:sz w:val="6"/>
                <w:szCs w:val="6"/>
                <w:color w:val="auto"/>
              </w:rPr>
            </w:pPr>
          </w:p>
        </w:tc>
        <w:tc>
          <w:tcPr>
            <w:tcW w:w="260" w:type="dxa"/>
            <w:vAlign w:val="bottom"/>
            <w:shd w:val="clear" w:color="auto" w:fill="062B48"/>
          </w:tcPr>
          <w:p>
            <w:pPr>
              <w:spacing w:after="0"/>
              <w:rPr>
                <w:sz w:val="6"/>
                <w:szCs w:val="6"/>
                <w:color w:val="auto"/>
              </w:rPr>
            </w:pPr>
          </w:p>
        </w:tc>
        <w:tc>
          <w:tcPr>
            <w:tcW w:w="1000" w:type="dxa"/>
            <w:vAlign w:val="bottom"/>
            <w:vMerge w:val="restart"/>
            <w:shd w:val="clear" w:color="auto" w:fill="062B48"/>
          </w:tcPr>
          <w:p>
            <w:pPr>
              <w:jc w:val="center"/>
              <w:ind w:right="169"/>
              <w:spacing w:after="0"/>
              <w:rPr>
                <w:sz w:val="20"/>
                <w:szCs w:val="20"/>
                <w:color w:val="auto"/>
              </w:rPr>
            </w:pPr>
            <w:r>
              <w:rPr>
                <w:rFonts w:ascii="Calibri" w:cs="Calibri" w:eastAsia="Calibri" w:hAnsi="Calibri"/>
                <w:sz w:val="14"/>
                <w:szCs w:val="14"/>
                <w:b w:val="1"/>
                <w:bCs w:val="1"/>
                <w:color w:val="FFFFFF"/>
              </w:rPr>
              <w:t>SUMMARY</w:t>
            </w:r>
          </w:p>
        </w:tc>
        <w:tc>
          <w:tcPr>
            <w:tcW w:w="220" w:type="dxa"/>
            <w:vAlign w:val="bottom"/>
            <w:shd w:val="clear" w:color="auto" w:fill="062B48"/>
          </w:tcPr>
          <w:p>
            <w:pPr>
              <w:spacing w:after="0"/>
              <w:rPr>
                <w:sz w:val="6"/>
                <w:szCs w:val="6"/>
                <w:color w:val="auto"/>
              </w:rPr>
            </w:pPr>
          </w:p>
        </w:tc>
        <w:tc>
          <w:tcPr>
            <w:tcW w:w="1000" w:type="dxa"/>
            <w:vAlign w:val="bottom"/>
            <w:vMerge w:val="continue"/>
            <w:shd w:val="clear" w:color="auto" w:fill="062B48"/>
          </w:tcPr>
          <w:p>
            <w:pPr>
              <w:spacing w:after="0"/>
              <w:rPr>
                <w:sz w:val="6"/>
                <w:szCs w:val="6"/>
                <w:color w:val="auto"/>
              </w:rPr>
            </w:pPr>
          </w:p>
        </w:tc>
        <w:tc>
          <w:tcPr>
            <w:tcW w:w="240" w:type="dxa"/>
            <w:vAlign w:val="bottom"/>
            <w:shd w:val="clear" w:color="auto" w:fill="062B48"/>
          </w:tcPr>
          <w:p>
            <w:pPr>
              <w:spacing w:after="0"/>
              <w:rPr>
                <w:sz w:val="6"/>
                <w:szCs w:val="6"/>
                <w:color w:val="auto"/>
              </w:rPr>
            </w:pPr>
          </w:p>
        </w:tc>
        <w:tc>
          <w:tcPr>
            <w:tcW w:w="980" w:type="dxa"/>
            <w:vAlign w:val="bottom"/>
            <w:vMerge w:val="restart"/>
            <w:shd w:val="clear" w:color="auto" w:fill="062B48"/>
          </w:tcPr>
          <w:p>
            <w:pPr>
              <w:jc w:val="center"/>
              <w:ind w:right="170"/>
              <w:spacing w:after="0"/>
              <w:rPr>
                <w:sz w:val="20"/>
                <w:szCs w:val="20"/>
                <w:color w:val="auto"/>
              </w:rPr>
            </w:pPr>
            <w:r>
              <w:rPr>
                <w:rFonts w:ascii="Calibri" w:cs="Calibri" w:eastAsia="Calibri" w:hAnsi="Calibri"/>
                <w:sz w:val="14"/>
                <w:szCs w:val="14"/>
                <w:b w:val="1"/>
                <w:bCs w:val="1"/>
                <w:color w:val="FFFFFF"/>
              </w:rPr>
              <w:t>COMPANY</w:t>
            </w:r>
          </w:p>
        </w:tc>
        <w:tc>
          <w:tcPr>
            <w:tcW w:w="200" w:type="dxa"/>
            <w:vAlign w:val="bottom"/>
            <w:shd w:val="clear" w:color="auto" w:fill="062B48"/>
          </w:tcPr>
          <w:p>
            <w:pPr>
              <w:spacing w:after="0"/>
              <w:rPr>
                <w:sz w:val="6"/>
                <w:szCs w:val="6"/>
                <w:color w:val="auto"/>
              </w:rPr>
            </w:pPr>
          </w:p>
        </w:tc>
        <w:tc>
          <w:tcPr>
            <w:tcW w:w="900" w:type="dxa"/>
            <w:vAlign w:val="bottom"/>
            <w:vMerge w:val="restart"/>
            <w:shd w:val="clear" w:color="auto" w:fill="062B48"/>
          </w:tcPr>
          <w:p>
            <w:pPr>
              <w:jc w:val="center"/>
              <w:ind w:right="30"/>
              <w:spacing w:after="0"/>
              <w:rPr>
                <w:sz w:val="20"/>
                <w:szCs w:val="20"/>
                <w:color w:val="auto"/>
              </w:rPr>
            </w:pPr>
            <w:r>
              <w:rPr>
                <w:rFonts w:ascii="Calibri" w:cs="Calibri" w:eastAsia="Calibri" w:hAnsi="Calibri"/>
                <w:sz w:val="14"/>
                <w:szCs w:val="14"/>
                <w:b w:val="1"/>
                <w:bCs w:val="1"/>
                <w:color w:val="FFFFFF"/>
              </w:rPr>
              <w:t>PEER GROUP</w:t>
            </w:r>
          </w:p>
        </w:tc>
        <w:tc>
          <w:tcPr>
            <w:tcW w:w="120" w:type="dxa"/>
            <w:vAlign w:val="bottom"/>
            <w:shd w:val="clear" w:color="auto" w:fill="062B48"/>
          </w:tcPr>
          <w:p>
            <w:pPr>
              <w:spacing w:after="0"/>
              <w:rPr>
                <w:sz w:val="6"/>
                <w:szCs w:val="6"/>
                <w:color w:val="auto"/>
              </w:rPr>
            </w:pPr>
          </w:p>
        </w:tc>
        <w:tc>
          <w:tcPr>
            <w:tcW w:w="240" w:type="dxa"/>
            <w:vAlign w:val="bottom"/>
            <w:shd w:val="clear" w:color="auto" w:fill="062B48"/>
          </w:tcPr>
          <w:p>
            <w:pPr>
              <w:spacing w:after="0"/>
              <w:rPr>
                <w:sz w:val="6"/>
                <w:szCs w:val="6"/>
                <w:color w:val="auto"/>
              </w:rPr>
            </w:pPr>
          </w:p>
        </w:tc>
        <w:tc>
          <w:tcPr>
            <w:tcW w:w="1040" w:type="dxa"/>
            <w:vAlign w:val="bottom"/>
            <w:shd w:val="clear" w:color="auto" w:fill="062B48"/>
          </w:tcPr>
          <w:p>
            <w:pPr>
              <w:spacing w:after="0"/>
              <w:rPr>
                <w:sz w:val="6"/>
                <w:szCs w:val="6"/>
                <w:color w:val="auto"/>
              </w:rPr>
            </w:pPr>
          </w:p>
        </w:tc>
        <w:tc>
          <w:tcPr>
            <w:tcW w:w="1140" w:type="dxa"/>
            <w:vAlign w:val="bottom"/>
            <w:vMerge w:val="continue"/>
            <w:shd w:val="clear" w:color="auto" w:fill="062B48"/>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1360" w:type="dxa"/>
            <w:vAlign w:val="bottom"/>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20" w:type="dxa"/>
            <w:vAlign w:val="bottom"/>
            <w:vMerge w:val="continue"/>
            <w:shd w:val="clear" w:color="auto" w:fill="062B48"/>
          </w:tcPr>
          <w:p>
            <w:pPr>
              <w:spacing w:after="0"/>
              <w:rPr>
                <w:sz w:val="8"/>
                <w:szCs w:val="8"/>
                <w:color w:val="auto"/>
              </w:rPr>
            </w:pPr>
          </w:p>
        </w:tc>
        <w:tc>
          <w:tcPr>
            <w:tcW w:w="126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COMPENSATION</w:t>
            </w:r>
          </w:p>
        </w:tc>
        <w:tc>
          <w:tcPr>
            <w:tcW w:w="260" w:type="dxa"/>
            <w:vAlign w:val="bottom"/>
            <w:shd w:val="clear" w:color="auto" w:fill="062B48"/>
          </w:tcPr>
          <w:p>
            <w:pPr>
              <w:spacing w:after="0"/>
              <w:rPr>
                <w:sz w:val="8"/>
                <w:szCs w:val="8"/>
                <w:color w:val="auto"/>
              </w:rPr>
            </w:pPr>
          </w:p>
        </w:tc>
        <w:tc>
          <w:tcPr>
            <w:tcW w:w="1000" w:type="dxa"/>
            <w:vAlign w:val="bottom"/>
            <w:vMerge w:val="continue"/>
            <w:shd w:val="clear" w:color="auto" w:fill="062B48"/>
          </w:tcPr>
          <w:p>
            <w:pPr>
              <w:spacing w:after="0"/>
              <w:rPr>
                <w:sz w:val="8"/>
                <w:szCs w:val="8"/>
                <w:color w:val="auto"/>
              </w:rPr>
            </w:pPr>
          </w:p>
        </w:tc>
        <w:tc>
          <w:tcPr>
            <w:tcW w:w="1220" w:type="dxa"/>
            <w:vAlign w:val="bottom"/>
            <w:gridSpan w:val="2"/>
            <w:vMerge w:val="restart"/>
            <w:shd w:val="clear" w:color="auto" w:fill="062B48"/>
          </w:tcPr>
          <w:p>
            <w:pPr>
              <w:ind w:left="140"/>
              <w:spacing w:after="0"/>
              <w:rPr>
                <w:sz w:val="20"/>
                <w:szCs w:val="20"/>
                <w:color w:val="auto"/>
              </w:rPr>
            </w:pPr>
            <w:r>
              <w:rPr>
                <w:rFonts w:ascii="Calibri" w:cs="Calibri" w:eastAsia="Calibri" w:hAnsi="Calibri"/>
                <w:sz w:val="14"/>
                <w:szCs w:val="14"/>
                <w:b w:val="1"/>
                <w:bCs w:val="1"/>
                <w:color w:val="FFFFFF"/>
              </w:rPr>
              <w:t>COMPENSATION</w:t>
            </w:r>
          </w:p>
        </w:tc>
        <w:tc>
          <w:tcPr>
            <w:tcW w:w="240" w:type="dxa"/>
            <w:vAlign w:val="bottom"/>
            <w:shd w:val="clear" w:color="auto" w:fill="062B48"/>
          </w:tcPr>
          <w:p>
            <w:pPr>
              <w:spacing w:after="0"/>
              <w:rPr>
                <w:sz w:val="8"/>
                <w:szCs w:val="8"/>
                <w:color w:val="auto"/>
              </w:rPr>
            </w:pPr>
          </w:p>
        </w:tc>
        <w:tc>
          <w:tcPr>
            <w:tcW w:w="98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900" w:type="dxa"/>
            <w:vAlign w:val="bottom"/>
            <w:vMerge w:val="continue"/>
            <w:shd w:val="clear" w:color="auto" w:fill="062B48"/>
          </w:tcPr>
          <w:p>
            <w:pPr>
              <w:spacing w:after="0"/>
              <w:rPr>
                <w:sz w:val="8"/>
                <w:szCs w:val="8"/>
                <w:color w:val="auto"/>
              </w:rPr>
            </w:pPr>
          </w:p>
        </w:tc>
        <w:tc>
          <w:tcPr>
            <w:tcW w:w="120" w:type="dxa"/>
            <w:vAlign w:val="bottom"/>
            <w:shd w:val="clear" w:color="auto" w:fill="062B48"/>
          </w:tcPr>
          <w:p>
            <w:pPr>
              <w:spacing w:after="0"/>
              <w:rPr>
                <w:sz w:val="8"/>
                <w:szCs w:val="8"/>
                <w:color w:val="auto"/>
              </w:rPr>
            </w:pPr>
          </w:p>
        </w:tc>
        <w:tc>
          <w:tcPr>
            <w:tcW w:w="240" w:type="dxa"/>
            <w:vAlign w:val="bottom"/>
            <w:shd w:val="clear" w:color="auto" w:fill="062B48"/>
          </w:tcPr>
          <w:p>
            <w:pPr>
              <w:spacing w:after="0"/>
              <w:rPr>
                <w:sz w:val="8"/>
                <w:szCs w:val="8"/>
                <w:color w:val="auto"/>
              </w:rPr>
            </w:pPr>
          </w:p>
        </w:tc>
        <w:tc>
          <w:tcPr>
            <w:tcW w:w="1040" w:type="dxa"/>
            <w:vAlign w:val="bottom"/>
            <w:vMerge w:val="restart"/>
            <w:shd w:val="clear" w:color="auto" w:fill="062B48"/>
          </w:tcPr>
          <w:p>
            <w:pPr>
              <w:jc w:val="center"/>
              <w:ind w:right="251"/>
              <w:spacing w:after="0"/>
              <w:rPr>
                <w:sz w:val="20"/>
                <w:szCs w:val="20"/>
                <w:color w:val="auto"/>
              </w:rPr>
            </w:pPr>
            <w:r>
              <w:rPr>
                <w:rFonts w:ascii="Calibri" w:cs="Calibri" w:eastAsia="Calibri" w:hAnsi="Calibri"/>
                <w:sz w:val="14"/>
                <w:szCs w:val="14"/>
                <w:b w:val="1"/>
                <w:bCs w:val="1"/>
                <w:color w:val="FFFFFF"/>
              </w:rPr>
              <w:t>GAAP NET</w:t>
            </w:r>
          </w:p>
        </w:tc>
        <w:tc>
          <w:tcPr>
            <w:tcW w:w="1140" w:type="dxa"/>
            <w:vAlign w:val="bottom"/>
            <w:vMerge w:val="restart"/>
            <w:shd w:val="clear" w:color="auto" w:fill="062B48"/>
          </w:tcPr>
          <w:p>
            <w:pPr>
              <w:jc w:val="center"/>
              <w:ind w:right="9"/>
              <w:spacing w:after="0"/>
              <w:rPr>
                <w:sz w:val="20"/>
                <w:szCs w:val="20"/>
                <w:color w:val="auto"/>
              </w:rPr>
            </w:pPr>
            <w:r>
              <w:rPr>
                <w:rFonts w:ascii="Calibri" w:cs="Calibri" w:eastAsia="Calibri" w:hAnsi="Calibri"/>
                <w:sz w:val="14"/>
                <w:szCs w:val="14"/>
                <w:b w:val="1"/>
                <w:bCs w:val="1"/>
                <w:color w:val="FFFFFF"/>
              </w:rPr>
              <w:t>SELECTED</w:t>
            </w:r>
          </w:p>
        </w:tc>
        <w:tc>
          <w:tcPr>
            <w:tcW w:w="0" w:type="dxa"/>
            <w:vAlign w:val="bottom"/>
          </w:tcPr>
          <w:p>
            <w:pPr>
              <w:spacing w:after="0"/>
              <w:rPr>
                <w:sz w:val="1"/>
                <w:szCs w:val="1"/>
                <w:color w:val="auto"/>
              </w:rPr>
            </w:pPr>
          </w:p>
        </w:tc>
      </w:tr>
      <w:tr>
        <w:trPr>
          <w:trHeight w:val="85"/>
        </w:trPr>
        <w:tc>
          <w:tcPr>
            <w:tcW w:w="1360" w:type="dxa"/>
            <w:vAlign w:val="bottom"/>
            <w:vMerge w:val="restart"/>
            <w:shd w:val="clear" w:color="auto" w:fill="062B48"/>
          </w:tcPr>
          <w:p>
            <w:pPr>
              <w:ind w:left="160"/>
              <w:spacing w:after="0" w:line="256" w:lineRule="exact"/>
              <w:rPr>
                <w:sz w:val="20"/>
                <w:szCs w:val="20"/>
                <w:color w:val="auto"/>
              </w:rPr>
            </w:pPr>
            <w:r>
              <w:rPr>
                <w:rFonts w:ascii="Calibri" w:cs="Calibri" w:eastAsia="Calibri" w:hAnsi="Calibri"/>
                <w:sz w:val="14"/>
                <w:szCs w:val="14"/>
                <w:b w:val="1"/>
                <w:bCs w:val="1"/>
                <w:color w:val="FFFFFF"/>
              </w:rPr>
              <w:t>FISCAL YEAR</w:t>
            </w:r>
            <w:r>
              <w:rPr>
                <w:rFonts w:ascii="Calibri" w:cs="Calibri" w:eastAsia="Calibri" w:hAnsi="Calibri"/>
                <w:sz w:val="23"/>
                <w:szCs w:val="23"/>
                <w:b w:val="1"/>
                <w:bCs w:val="1"/>
                <w:color w:val="FFFFFF"/>
                <w:vertAlign w:val="superscript"/>
              </w:rPr>
              <w:t>(1)</w:t>
            </w:r>
          </w:p>
        </w:tc>
        <w:tc>
          <w:tcPr>
            <w:tcW w:w="128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8"/>
              </w:rPr>
              <w:t>COMPENSATION</w:t>
            </w:r>
          </w:p>
        </w:tc>
        <w:tc>
          <w:tcPr>
            <w:tcW w:w="1260" w:type="dxa"/>
            <w:vAlign w:val="bottom"/>
            <w:gridSpan w:val="2"/>
            <w:vMerge w:val="continue"/>
            <w:shd w:val="clear" w:color="auto" w:fill="062B48"/>
          </w:tcPr>
          <w:p>
            <w:pPr>
              <w:spacing w:after="0"/>
              <w:rPr>
                <w:sz w:val="7"/>
                <w:szCs w:val="7"/>
                <w:color w:val="auto"/>
              </w:rPr>
            </w:pPr>
          </w:p>
        </w:tc>
        <w:tc>
          <w:tcPr>
            <w:tcW w:w="126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8"/>
              </w:rPr>
              <w:t>COMPENSATION</w:t>
            </w:r>
          </w:p>
        </w:tc>
        <w:tc>
          <w:tcPr>
            <w:tcW w:w="1220" w:type="dxa"/>
            <w:vAlign w:val="bottom"/>
            <w:gridSpan w:val="2"/>
            <w:vMerge w:val="continue"/>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980" w:type="dxa"/>
            <w:vAlign w:val="bottom"/>
            <w:vMerge w:val="restart"/>
            <w:shd w:val="clear" w:color="auto" w:fill="062B48"/>
          </w:tcPr>
          <w:p>
            <w:pPr>
              <w:jc w:val="center"/>
              <w:ind w:right="170"/>
              <w:spacing w:after="0"/>
              <w:rPr>
                <w:sz w:val="20"/>
                <w:szCs w:val="20"/>
                <w:color w:val="auto"/>
              </w:rPr>
            </w:pPr>
            <w:r>
              <w:rPr>
                <w:rFonts w:ascii="Calibri" w:cs="Calibri" w:eastAsia="Calibri" w:hAnsi="Calibri"/>
                <w:sz w:val="14"/>
                <w:szCs w:val="14"/>
                <w:b w:val="1"/>
                <w:bCs w:val="1"/>
                <w:color w:val="FFFFFF"/>
              </w:rPr>
              <w:t>TOTAL</w:t>
            </w:r>
          </w:p>
        </w:tc>
        <w:tc>
          <w:tcPr>
            <w:tcW w:w="200" w:type="dxa"/>
            <w:vAlign w:val="bottom"/>
            <w:shd w:val="clear" w:color="auto" w:fill="062B48"/>
          </w:tcPr>
          <w:p>
            <w:pPr>
              <w:spacing w:after="0"/>
              <w:rPr>
                <w:sz w:val="7"/>
                <w:szCs w:val="7"/>
                <w:color w:val="auto"/>
              </w:rPr>
            </w:pPr>
          </w:p>
        </w:tc>
        <w:tc>
          <w:tcPr>
            <w:tcW w:w="900" w:type="dxa"/>
            <w:vAlign w:val="bottom"/>
            <w:vMerge w:val="restart"/>
            <w:shd w:val="clear" w:color="auto" w:fill="062B48"/>
          </w:tcPr>
          <w:p>
            <w:pPr>
              <w:jc w:val="center"/>
              <w:ind w:right="30"/>
              <w:spacing w:after="0"/>
              <w:rPr>
                <w:sz w:val="20"/>
                <w:szCs w:val="20"/>
                <w:color w:val="auto"/>
              </w:rPr>
            </w:pPr>
            <w:r>
              <w:rPr>
                <w:rFonts w:ascii="Calibri" w:cs="Calibri" w:eastAsia="Calibri" w:hAnsi="Calibri"/>
                <w:sz w:val="14"/>
                <w:szCs w:val="14"/>
                <w:b w:val="1"/>
                <w:bCs w:val="1"/>
                <w:color w:val="FFFFFF"/>
                <w:w w:val="95"/>
              </w:rPr>
              <w:t>TOTAL</w:t>
            </w:r>
          </w:p>
        </w:tc>
        <w:tc>
          <w:tcPr>
            <w:tcW w:w="120" w:type="dxa"/>
            <w:vAlign w:val="bottom"/>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1040" w:type="dxa"/>
            <w:vAlign w:val="bottom"/>
            <w:vMerge w:val="continue"/>
            <w:shd w:val="clear" w:color="auto" w:fill="062B48"/>
          </w:tcPr>
          <w:p>
            <w:pPr>
              <w:spacing w:after="0"/>
              <w:rPr>
                <w:sz w:val="7"/>
                <w:szCs w:val="7"/>
                <w:color w:val="auto"/>
              </w:rPr>
            </w:pPr>
          </w:p>
        </w:tc>
        <w:tc>
          <w:tcPr>
            <w:tcW w:w="1140" w:type="dxa"/>
            <w:vAlign w:val="bottom"/>
            <w:vMerge w:val="continue"/>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60" w:type="dxa"/>
            <w:vAlign w:val="bottom"/>
            <w:vMerge w:val="continue"/>
            <w:shd w:val="clear" w:color="auto" w:fill="062B48"/>
          </w:tcPr>
          <w:p>
            <w:pPr>
              <w:spacing w:after="0"/>
              <w:rPr>
                <w:sz w:val="7"/>
                <w:szCs w:val="7"/>
                <w:color w:val="auto"/>
              </w:rPr>
            </w:pPr>
          </w:p>
        </w:tc>
        <w:tc>
          <w:tcPr>
            <w:tcW w:w="1280" w:type="dxa"/>
            <w:vAlign w:val="bottom"/>
            <w:gridSpan w:val="2"/>
            <w:vMerge w:val="continue"/>
            <w:shd w:val="clear" w:color="auto" w:fill="062B48"/>
          </w:tcPr>
          <w:p>
            <w:pPr>
              <w:spacing w:after="0"/>
              <w:rPr>
                <w:sz w:val="7"/>
                <w:szCs w:val="7"/>
                <w:color w:val="auto"/>
              </w:rPr>
            </w:pPr>
          </w:p>
        </w:tc>
        <w:tc>
          <w:tcPr>
            <w:tcW w:w="1260" w:type="dxa"/>
            <w:vAlign w:val="bottom"/>
            <w:gridSpan w:val="2"/>
            <w:vMerge w:val="restart"/>
            <w:shd w:val="clear" w:color="auto" w:fill="062B48"/>
          </w:tcPr>
          <w:p>
            <w:pPr>
              <w:jc w:val="center"/>
              <w:spacing w:after="0" w:line="169" w:lineRule="exact"/>
              <w:rPr>
                <w:sz w:val="20"/>
                <w:szCs w:val="20"/>
                <w:color w:val="auto"/>
              </w:rPr>
            </w:pPr>
            <w:r>
              <w:rPr>
                <w:rFonts w:ascii="Calibri" w:cs="Calibri" w:eastAsia="Calibri" w:hAnsi="Calibri"/>
                <w:sz w:val="14"/>
                <w:szCs w:val="14"/>
                <w:b w:val="1"/>
                <w:bCs w:val="1"/>
                <w:color w:val="FFFFFF"/>
                <w:w w:val="98"/>
              </w:rPr>
              <w:t>ACTUALLY PAID</w:t>
            </w:r>
          </w:p>
        </w:tc>
        <w:tc>
          <w:tcPr>
            <w:tcW w:w="1260" w:type="dxa"/>
            <w:vAlign w:val="bottom"/>
            <w:gridSpan w:val="2"/>
            <w:vMerge w:val="continue"/>
            <w:shd w:val="clear" w:color="auto" w:fill="062B48"/>
          </w:tcPr>
          <w:p>
            <w:pPr>
              <w:spacing w:after="0"/>
              <w:rPr>
                <w:sz w:val="7"/>
                <w:szCs w:val="7"/>
                <w:color w:val="auto"/>
              </w:rPr>
            </w:pPr>
          </w:p>
        </w:tc>
        <w:tc>
          <w:tcPr>
            <w:tcW w:w="1220" w:type="dxa"/>
            <w:vAlign w:val="bottom"/>
            <w:gridSpan w:val="2"/>
            <w:vMerge w:val="restart"/>
            <w:shd w:val="clear" w:color="auto" w:fill="062B48"/>
          </w:tcPr>
          <w:p>
            <w:pPr>
              <w:jc w:val="center"/>
              <w:spacing w:after="0" w:line="169" w:lineRule="exact"/>
              <w:rPr>
                <w:sz w:val="20"/>
                <w:szCs w:val="20"/>
                <w:color w:val="auto"/>
              </w:rPr>
            </w:pPr>
            <w:r>
              <w:rPr>
                <w:rFonts w:ascii="Calibri" w:cs="Calibri" w:eastAsia="Calibri" w:hAnsi="Calibri"/>
                <w:sz w:val="14"/>
                <w:szCs w:val="14"/>
                <w:b w:val="1"/>
                <w:bCs w:val="1"/>
                <w:color w:val="FFFFFF"/>
                <w:w w:val="98"/>
              </w:rPr>
              <w:t>ACTUALLY PAID</w:t>
            </w:r>
          </w:p>
        </w:tc>
        <w:tc>
          <w:tcPr>
            <w:tcW w:w="240" w:type="dxa"/>
            <w:vAlign w:val="bottom"/>
            <w:shd w:val="clear" w:color="auto" w:fill="062B48"/>
          </w:tcPr>
          <w:p>
            <w:pPr>
              <w:spacing w:after="0"/>
              <w:rPr>
                <w:sz w:val="7"/>
                <w:szCs w:val="7"/>
                <w:color w:val="auto"/>
              </w:rPr>
            </w:pPr>
          </w:p>
        </w:tc>
        <w:tc>
          <w:tcPr>
            <w:tcW w:w="980" w:type="dxa"/>
            <w:vAlign w:val="bottom"/>
            <w:vMerge w:val="continue"/>
            <w:shd w:val="clear" w:color="auto" w:fill="062B48"/>
          </w:tcPr>
          <w:p>
            <w:pPr>
              <w:spacing w:after="0"/>
              <w:rPr>
                <w:sz w:val="7"/>
                <w:szCs w:val="7"/>
                <w:color w:val="auto"/>
              </w:rPr>
            </w:pPr>
          </w:p>
        </w:tc>
        <w:tc>
          <w:tcPr>
            <w:tcW w:w="200" w:type="dxa"/>
            <w:vAlign w:val="bottom"/>
            <w:shd w:val="clear" w:color="auto" w:fill="062B48"/>
          </w:tcPr>
          <w:p>
            <w:pPr>
              <w:spacing w:after="0"/>
              <w:rPr>
                <w:sz w:val="7"/>
                <w:szCs w:val="7"/>
                <w:color w:val="auto"/>
              </w:rPr>
            </w:pPr>
          </w:p>
        </w:tc>
        <w:tc>
          <w:tcPr>
            <w:tcW w:w="900" w:type="dxa"/>
            <w:vAlign w:val="bottom"/>
            <w:vMerge w:val="continue"/>
            <w:shd w:val="clear" w:color="auto" w:fill="062B48"/>
          </w:tcPr>
          <w:p>
            <w:pPr>
              <w:spacing w:after="0"/>
              <w:rPr>
                <w:sz w:val="7"/>
                <w:szCs w:val="7"/>
                <w:color w:val="auto"/>
              </w:rPr>
            </w:pPr>
          </w:p>
        </w:tc>
        <w:tc>
          <w:tcPr>
            <w:tcW w:w="120" w:type="dxa"/>
            <w:vAlign w:val="bottom"/>
            <w:shd w:val="clear" w:color="auto" w:fill="062B48"/>
          </w:tcPr>
          <w:p>
            <w:pPr>
              <w:spacing w:after="0"/>
              <w:rPr>
                <w:sz w:val="7"/>
                <w:szCs w:val="7"/>
                <w:color w:val="auto"/>
              </w:rPr>
            </w:pPr>
          </w:p>
        </w:tc>
        <w:tc>
          <w:tcPr>
            <w:tcW w:w="1280" w:type="dxa"/>
            <w:vAlign w:val="bottom"/>
            <w:gridSpan w:val="2"/>
            <w:vMerge w:val="restart"/>
            <w:shd w:val="clear" w:color="auto" w:fill="062B48"/>
          </w:tcPr>
          <w:p>
            <w:pPr>
              <w:jc w:val="center"/>
              <w:ind w:right="11"/>
              <w:spacing w:after="0"/>
              <w:rPr>
                <w:sz w:val="20"/>
                <w:szCs w:val="20"/>
                <w:color w:val="auto"/>
              </w:rPr>
            </w:pPr>
            <w:r>
              <w:rPr>
                <w:rFonts w:ascii="Calibri" w:cs="Calibri" w:eastAsia="Calibri" w:hAnsi="Calibri"/>
                <w:sz w:val="14"/>
                <w:szCs w:val="14"/>
                <w:b w:val="1"/>
                <w:bCs w:val="1"/>
                <w:color w:val="FFFFFF"/>
              </w:rPr>
              <w:t>INCOME ($mil.)</w:t>
            </w:r>
          </w:p>
        </w:tc>
        <w:tc>
          <w:tcPr>
            <w:tcW w:w="1140" w:type="dxa"/>
            <w:vAlign w:val="bottom"/>
            <w:vMerge w:val="restart"/>
            <w:shd w:val="clear" w:color="auto" w:fill="062B48"/>
          </w:tcPr>
          <w:p>
            <w:pPr>
              <w:jc w:val="center"/>
              <w:ind w:right="9"/>
              <w:spacing w:after="0" w:line="169" w:lineRule="exact"/>
              <w:rPr>
                <w:sz w:val="20"/>
                <w:szCs w:val="20"/>
                <w:color w:val="auto"/>
              </w:rPr>
            </w:pPr>
            <w:r>
              <w:rPr>
                <w:rFonts w:ascii="Calibri" w:cs="Calibri" w:eastAsia="Calibri" w:hAnsi="Calibri"/>
                <w:sz w:val="14"/>
                <w:szCs w:val="14"/>
                <w:b w:val="1"/>
                <w:bCs w:val="1"/>
                <w:color w:val="FFFFFF"/>
              </w:rPr>
              <w:t>MEASURE:</w:t>
            </w:r>
          </w:p>
        </w:tc>
        <w:tc>
          <w:tcPr>
            <w:tcW w:w="0" w:type="dxa"/>
            <w:vAlign w:val="bottom"/>
          </w:tcPr>
          <w:p>
            <w:pPr>
              <w:spacing w:after="0"/>
              <w:rPr>
                <w:sz w:val="1"/>
                <w:szCs w:val="1"/>
                <w:color w:val="auto"/>
              </w:rPr>
            </w:pPr>
          </w:p>
        </w:tc>
      </w:tr>
      <w:tr>
        <w:trPr>
          <w:trHeight w:val="82"/>
        </w:trPr>
        <w:tc>
          <w:tcPr>
            <w:tcW w:w="1360" w:type="dxa"/>
            <w:vAlign w:val="bottom"/>
            <w:vMerge w:val="continue"/>
            <w:shd w:val="clear" w:color="auto" w:fill="062B48"/>
          </w:tcPr>
          <w:p>
            <w:pPr>
              <w:spacing w:after="0"/>
              <w:rPr>
                <w:sz w:val="7"/>
                <w:szCs w:val="7"/>
                <w:color w:val="auto"/>
              </w:rPr>
            </w:pPr>
          </w:p>
        </w:tc>
        <w:tc>
          <w:tcPr>
            <w:tcW w:w="1280" w:type="dxa"/>
            <w:vAlign w:val="bottom"/>
            <w:gridSpan w:val="2"/>
            <w:vMerge w:val="restart"/>
            <w:shd w:val="clear" w:color="auto" w:fill="062B48"/>
          </w:tcPr>
          <w:p>
            <w:pPr>
              <w:ind w:left="120"/>
              <w:spacing w:after="0"/>
              <w:rPr>
                <w:sz w:val="20"/>
                <w:szCs w:val="20"/>
                <w:color w:val="auto"/>
              </w:rPr>
            </w:pPr>
            <w:r>
              <w:rPr>
                <w:rFonts w:ascii="Calibri" w:cs="Calibri" w:eastAsia="Calibri" w:hAnsi="Calibri"/>
                <w:sz w:val="14"/>
                <w:szCs w:val="14"/>
                <w:b w:val="1"/>
                <w:bCs w:val="1"/>
                <w:color w:val="FFFFFF"/>
              </w:rPr>
              <w:t>TABLE TOTAL FOR</w:t>
            </w:r>
          </w:p>
        </w:tc>
        <w:tc>
          <w:tcPr>
            <w:tcW w:w="1260" w:type="dxa"/>
            <w:vAlign w:val="bottom"/>
            <w:gridSpan w:val="2"/>
            <w:vMerge w:val="continue"/>
            <w:shd w:val="clear" w:color="auto" w:fill="062B48"/>
          </w:tcPr>
          <w:p>
            <w:pPr>
              <w:spacing w:after="0"/>
              <w:rPr>
                <w:sz w:val="7"/>
                <w:szCs w:val="7"/>
                <w:color w:val="auto"/>
              </w:rPr>
            </w:pPr>
          </w:p>
        </w:tc>
        <w:tc>
          <w:tcPr>
            <w:tcW w:w="126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w w:val="98"/>
              </w:rPr>
              <w:t>TABLE TOTAL FOR</w:t>
            </w:r>
          </w:p>
        </w:tc>
        <w:tc>
          <w:tcPr>
            <w:tcW w:w="1220" w:type="dxa"/>
            <w:vAlign w:val="bottom"/>
            <w:gridSpan w:val="2"/>
            <w:vMerge w:val="continue"/>
            <w:shd w:val="clear" w:color="auto" w:fill="062B48"/>
          </w:tcPr>
          <w:p>
            <w:pPr>
              <w:spacing w:after="0"/>
              <w:rPr>
                <w:sz w:val="7"/>
                <w:szCs w:val="7"/>
                <w:color w:val="auto"/>
              </w:rPr>
            </w:pPr>
          </w:p>
        </w:tc>
        <w:tc>
          <w:tcPr>
            <w:tcW w:w="1220" w:type="dxa"/>
            <w:vAlign w:val="bottom"/>
            <w:gridSpan w:val="2"/>
            <w:vMerge w:val="restart"/>
            <w:shd w:val="clear" w:color="auto" w:fill="062B48"/>
          </w:tcPr>
          <w:p>
            <w:pPr>
              <w:jc w:val="center"/>
              <w:spacing w:after="0"/>
              <w:rPr>
                <w:sz w:val="20"/>
                <w:szCs w:val="20"/>
                <w:color w:val="auto"/>
              </w:rPr>
            </w:pPr>
            <w:r>
              <w:rPr>
                <w:rFonts w:ascii="Calibri" w:cs="Calibri" w:eastAsia="Calibri" w:hAnsi="Calibri"/>
                <w:sz w:val="14"/>
                <w:szCs w:val="14"/>
                <w:b w:val="1"/>
                <w:bCs w:val="1"/>
                <w:color w:val="FFFFFF"/>
              </w:rPr>
              <w:t>STOCKHOLDER</w:t>
            </w:r>
          </w:p>
        </w:tc>
        <w:tc>
          <w:tcPr>
            <w:tcW w:w="1100" w:type="dxa"/>
            <w:vAlign w:val="bottom"/>
            <w:gridSpan w:val="2"/>
            <w:vMerge w:val="restart"/>
            <w:shd w:val="clear" w:color="auto" w:fill="062B48"/>
          </w:tcPr>
          <w:p>
            <w:pPr>
              <w:jc w:val="center"/>
              <w:ind w:left="49"/>
              <w:spacing w:after="0"/>
              <w:rPr>
                <w:sz w:val="20"/>
                <w:szCs w:val="20"/>
                <w:color w:val="auto"/>
              </w:rPr>
            </w:pPr>
            <w:r>
              <w:rPr>
                <w:rFonts w:ascii="Calibri" w:cs="Calibri" w:eastAsia="Calibri" w:hAnsi="Calibri"/>
                <w:sz w:val="14"/>
                <w:szCs w:val="14"/>
                <w:b w:val="1"/>
                <w:bCs w:val="1"/>
                <w:color w:val="FFFFFF"/>
              </w:rPr>
              <w:t>STOCKHOLDER</w:t>
            </w:r>
          </w:p>
        </w:tc>
        <w:tc>
          <w:tcPr>
            <w:tcW w:w="120" w:type="dxa"/>
            <w:vAlign w:val="bottom"/>
            <w:shd w:val="clear" w:color="auto" w:fill="062B48"/>
          </w:tcPr>
          <w:p>
            <w:pPr>
              <w:spacing w:after="0"/>
              <w:rPr>
                <w:sz w:val="7"/>
                <w:szCs w:val="7"/>
                <w:color w:val="auto"/>
              </w:rPr>
            </w:pPr>
          </w:p>
        </w:tc>
        <w:tc>
          <w:tcPr>
            <w:tcW w:w="1280" w:type="dxa"/>
            <w:vAlign w:val="bottom"/>
            <w:gridSpan w:val="2"/>
            <w:vMerge w:val="continue"/>
            <w:shd w:val="clear" w:color="auto" w:fill="062B48"/>
          </w:tcPr>
          <w:p>
            <w:pPr>
              <w:spacing w:after="0"/>
              <w:rPr>
                <w:sz w:val="7"/>
                <w:szCs w:val="7"/>
                <w:color w:val="auto"/>
              </w:rPr>
            </w:pPr>
          </w:p>
        </w:tc>
        <w:tc>
          <w:tcPr>
            <w:tcW w:w="1140" w:type="dxa"/>
            <w:vAlign w:val="bottom"/>
            <w:vMerge w:val="continue"/>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360" w:type="dxa"/>
            <w:vAlign w:val="bottom"/>
            <w:shd w:val="clear" w:color="auto" w:fill="062B48"/>
          </w:tcPr>
          <w:p>
            <w:pPr>
              <w:spacing w:after="0"/>
              <w:rPr>
                <w:sz w:val="7"/>
                <w:szCs w:val="7"/>
                <w:color w:val="auto"/>
              </w:rPr>
            </w:pPr>
          </w:p>
        </w:tc>
        <w:tc>
          <w:tcPr>
            <w:tcW w:w="1280" w:type="dxa"/>
            <w:vAlign w:val="bottom"/>
            <w:gridSpan w:val="2"/>
            <w:vMerge w:val="continue"/>
            <w:shd w:val="clear" w:color="auto" w:fill="062B48"/>
          </w:tcPr>
          <w:p>
            <w:pPr>
              <w:spacing w:after="0"/>
              <w:rPr>
                <w:sz w:val="7"/>
                <w:szCs w:val="7"/>
                <w:color w:val="auto"/>
              </w:rPr>
            </w:pPr>
          </w:p>
        </w:tc>
        <w:tc>
          <w:tcPr>
            <w:tcW w:w="260" w:type="dxa"/>
            <w:vAlign w:val="bottom"/>
            <w:shd w:val="clear" w:color="auto" w:fill="062B48"/>
          </w:tcPr>
          <w:p>
            <w:pPr>
              <w:spacing w:after="0"/>
              <w:rPr>
                <w:sz w:val="7"/>
                <w:szCs w:val="7"/>
                <w:color w:val="auto"/>
              </w:rPr>
            </w:pPr>
          </w:p>
        </w:tc>
        <w:tc>
          <w:tcPr>
            <w:tcW w:w="1000" w:type="dxa"/>
            <w:vAlign w:val="bottom"/>
            <w:vMerge w:val="restart"/>
            <w:shd w:val="clear" w:color="auto" w:fill="062B48"/>
          </w:tcPr>
          <w:p>
            <w:pPr>
              <w:jc w:val="center"/>
              <w:ind w:right="191"/>
              <w:spacing w:after="0" w:line="174" w:lineRule="exact"/>
              <w:rPr>
                <w:sz w:val="20"/>
                <w:szCs w:val="20"/>
                <w:color w:val="auto"/>
              </w:rPr>
            </w:pPr>
            <w:r>
              <w:rPr>
                <w:rFonts w:ascii="Calibri" w:cs="Calibri" w:eastAsia="Calibri" w:hAnsi="Calibri"/>
                <w:sz w:val="12"/>
                <w:szCs w:val="12"/>
                <w:b w:val="1"/>
                <w:bCs w:val="1"/>
                <w:color w:val="FFFFFF"/>
              </w:rPr>
              <w:t>TO PEO</w:t>
            </w:r>
            <w:r>
              <w:rPr>
                <w:rFonts w:ascii="Calibri" w:cs="Calibri" w:eastAsia="Calibri" w:hAnsi="Calibri"/>
                <w:sz w:val="18"/>
                <w:szCs w:val="18"/>
                <w:b w:val="1"/>
                <w:bCs w:val="1"/>
                <w:color w:val="FFFFFF"/>
                <w:vertAlign w:val="superscript"/>
              </w:rPr>
              <w:t>(3)</w:t>
            </w:r>
          </w:p>
        </w:tc>
        <w:tc>
          <w:tcPr>
            <w:tcW w:w="1260" w:type="dxa"/>
            <w:vAlign w:val="bottom"/>
            <w:gridSpan w:val="2"/>
            <w:vMerge w:val="continue"/>
            <w:shd w:val="clear" w:color="auto" w:fill="062B48"/>
          </w:tcPr>
          <w:p>
            <w:pPr>
              <w:spacing w:after="0"/>
              <w:rPr>
                <w:sz w:val="7"/>
                <w:szCs w:val="7"/>
                <w:color w:val="auto"/>
              </w:rPr>
            </w:pPr>
          </w:p>
        </w:tc>
        <w:tc>
          <w:tcPr>
            <w:tcW w:w="220" w:type="dxa"/>
            <w:vAlign w:val="bottom"/>
            <w:shd w:val="clear" w:color="auto" w:fill="062B48"/>
          </w:tcPr>
          <w:p>
            <w:pPr>
              <w:spacing w:after="0"/>
              <w:rPr>
                <w:sz w:val="7"/>
                <w:szCs w:val="7"/>
                <w:color w:val="auto"/>
              </w:rPr>
            </w:pPr>
          </w:p>
        </w:tc>
        <w:tc>
          <w:tcPr>
            <w:tcW w:w="1000" w:type="dxa"/>
            <w:vAlign w:val="bottom"/>
            <w:vMerge w:val="restart"/>
            <w:shd w:val="clear" w:color="auto" w:fill="062B48"/>
          </w:tcPr>
          <w:p>
            <w:pPr>
              <w:jc w:val="center"/>
              <w:ind w:right="129"/>
              <w:spacing w:after="0"/>
              <w:rPr>
                <w:sz w:val="20"/>
                <w:szCs w:val="20"/>
                <w:color w:val="auto"/>
              </w:rPr>
            </w:pPr>
            <w:r>
              <w:rPr>
                <w:rFonts w:ascii="Calibri" w:cs="Calibri" w:eastAsia="Calibri" w:hAnsi="Calibri"/>
                <w:sz w:val="14"/>
                <w:szCs w:val="14"/>
                <w:b w:val="1"/>
                <w:bCs w:val="1"/>
                <w:color w:val="FFFFFF"/>
              </w:rPr>
              <w:t>TO NON-PEO</w:t>
            </w:r>
          </w:p>
        </w:tc>
        <w:tc>
          <w:tcPr>
            <w:tcW w:w="1220" w:type="dxa"/>
            <w:vAlign w:val="bottom"/>
            <w:gridSpan w:val="2"/>
            <w:vMerge w:val="continue"/>
            <w:shd w:val="clear" w:color="auto" w:fill="062B48"/>
          </w:tcPr>
          <w:p>
            <w:pPr>
              <w:spacing w:after="0"/>
              <w:rPr>
                <w:sz w:val="7"/>
                <w:szCs w:val="7"/>
                <w:color w:val="auto"/>
              </w:rPr>
            </w:pPr>
          </w:p>
        </w:tc>
        <w:tc>
          <w:tcPr>
            <w:tcW w:w="1100" w:type="dxa"/>
            <w:vAlign w:val="bottom"/>
            <w:gridSpan w:val="2"/>
            <w:vMerge w:val="continue"/>
            <w:shd w:val="clear" w:color="auto" w:fill="062B48"/>
          </w:tcPr>
          <w:p>
            <w:pPr>
              <w:spacing w:after="0"/>
              <w:rPr>
                <w:sz w:val="7"/>
                <w:szCs w:val="7"/>
                <w:color w:val="auto"/>
              </w:rPr>
            </w:pPr>
          </w:p>
        </w:tc>
        <w:tc>
          <w:tcPr>
            <w:tcW w:w="120" w:type="dxa"/>
            <w:vAlign w:val="bottom"/>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1040" w:type="dxa"/>
            <w:vAlign w:val="bottom"/>
            <w:vMerge w:val="restart"/>
            <w:shd w:val="clear" w:color="auto" w:fill="062B48"/>
          </w:tcPr>
          <w:p>
            <w:pPr>
              <w:jc w:val="center"/>
              <w:ind w:right="251"/>
              <w:spacing w:after="0"/>
              <w:rPr>
                <w:sz w:val="20"/>
                <w:szCs w:val="20"/>
                <w:color w:val="auto"/>
              </w:rPr>
            </w:pPr>
            <w:r>
              <w:rPr>
                <w:rFonts w:ascii="Calibri" w:cs="Calibri" w:eastAsia="Calibri" w:hAnsi="Calibri"/>
                <w:sz w:val="12"/>
                <w:szCs w:val="12"/>
                <w:b w:val="1"/>
                <w:bCs w:val="1"/>
                <w:color w:val="FFFFFF"/>
                <w:w w:val="88"/>
              </w:rPr>
              <w:t>(6)</w:t>
            </w:r>
          </w:p>
        </w:tc>
        <w:tc>
          <w:tcPr>
            <w:tcW w:w="1140" w:type="dxa"/>
            <w:vAlign w:val="bottom"/>
            <w:vMerge w:val="restart"/>
            <w:shd w:val="clear" w:color="auto" w:fill="062B48"/>
          </w:tcPr>
          <w:p>
            <w:pPr>
              <w:jc w:val="center"/>
              <w:ind w:right="9"/>
              <w:spacing w:after="0"/>
              <w:rPr>
                <w:sz w:val="20"/>
                <w:szCs w:val="20"/>
                <w:color w:val="auto"/>
              </w:rPr>
            </w:pPr>
            <w:r>
              <w:rPr>
                <w:rFonts w:ascii="Calibri" w:cs="Calibri" w:eastAsia="Calibri" w:hAnsi="Calibri"/>
                <w:sz w:val="14"/>
                <w:szCs w:val="14"/>
                <w:b w:val="1"/>
                <w:bCs w:val="1"/>
                <w:color w:val="FFFFFF"/>
              </w:rPr>
              <w:t>RETURN ON</w:t>
            </w:r>
          </w:p>
        </w:tc>
        <w:tc>
          <w:tcPr>
            <w:tcW w:w="0" w:type="dxa"/>
            <w:vAlign w:val="bottom"/>
          </w:tcPr>
          <w:p>
            <w:pPr>
              <w:spacing w:after="0"/>
              <w:rPr>
                <w:sz w:val="1"/>
                <w:szCs w:val="1"/>
                <w:color w:val="auto"/>
              </w:rPr>
            </w:pPr>
          </w:p>
        </w:tc>
      </w:tr>
      <w:tr>
        <w:trPr>
          <w:trHeight w:val="82"/>
        </w:trPr>
        <w:tc>
          <w:tcPr>
            <w:tcW w:w="1360" w:type="dxa"/>
            <w:vAlign w:val="bottom"/>
            <w:shd w:val="clear" w:color="auto" w:fill="062B48"/>
          </w:tcPr>
          <w:p>
            <w:pPr>
              <w:spacing w:after="0"/>
              <w:rPr>
                <w:sz w:val="7"/>
                <w:szCs w:val="7"/>
                <w:color w:val="auto"/>
              </w:rPr>
            </w:pPr>
          </w:p>
        </w:tc>
        <w:tc>
          <w:tcPr>
            <w:tcW w:w="260" w:type="dxa"/>
            <w:vAlign w:val="bottom"/>
            <w:shd w:val="clear" w:color="auto" w:fill="062B48"/>
          </w:tcPr>
          <w:p>
            <w:pPr>
              <w:spacing w:after="0"/>
              <w:rPr>
                <w:sz w:val="7"/>
                <w:szCs w:val="7"/>
                <w:color w:val="auto"/>
              </w:rPr>
            </w:pPr>
          </w:p>
        </w:tc>
        <w:tc>
          <w:tcPr>
            <w:tcW w:w="1020" w:type="dxa"/>
            <w:vAlign w:val="bottom"/>
            <w:vMerge w:val="restart"/>
            <w:shd w:val="clear" w:color="auto" w:fill="062B48"/>
          </w:tcPr>
          <w:p>
            <w:pPr>
              <w:jc w:val="center"/>
              <w:ind w:right="193"/>
              <w:spacing w:after="0" w:line="175" w:lineRule="exact"/>
              <w:rPr>
                <w:sz w:val="20"/>
                <w:szCs w:val="20"/>
                <w:color w:val="auto"/>
              </w:rPr>
            </w:pPr>
            <w:r>
              <w:rPr>
                <w:rFonts w:ascii="Calibri" w:cs="Calibri" w:eastAsia="Calibri" w:hAnsi="Calibri"/>
                <w:sz w:val="19"/>
                <w:szCs w:val="19"/>
                <w:b w:val="1"/>
                <w:bCs w:val="1"/>
                <w:color w:val="FFFFFF"/>
                <w:vertAlign w:val="subscript"/>
              </w:rPr>
              <w:t>PEO</w:t>
            </w:r>
            <w:r>
              <w:rPr>
                <w:rFonts w:ascii="Calibri" w:cs="Calibri" w:eastAsia="Calibri" w:hAnsi="Calibri"/>
                <w:sz w:val="9"/>
                <w:szCs w:val="9"/>
                <w:b w:val="1"/>
                <w:bCs w:val="1"/>
                <w:color w:val="FFFFFF"/>
              </w:rPr>
              <w:t>(2)</w:t>
            </w:r>
          </w:p>
        </w:tc>
        <w:tc>
          <w:tcPr>
            <w:tcW w:w="260" w:type="dxa"/>
            <w:vAlign w:val="bottom"/>
            <w:shd w:val="clear" w:color="auto" w:fill="062B48"/>
          </w:tcPr>
          <w:p>
            <w:pPr>
              <w:spacing w:after="0"/>
              <w:rPr>
                <w:sz w:val="7"/>
                <w:szCs w:val="7"/>
                <w:color w:val="auto"/>
              </w:rPr>
            </w:pPr>
          </w:p>
        </w:tc>
        <w:tc>
          <w:tcPr>
            <w:tcW w:w="1000" w:type="dxa"/>
            <w:vAlign w:val="bottom"/>
            <w:vMerge w:val="continue"/>
            <w:shd w:val="clear" w:color="auto" w:fill="062B48"/>
          </w:tcPr>
          <w:p>
            <w:pPr>
              <w:spacing w:after="0"/>
              <w:rPr>
                <w:sz w:val="7"/>
                <w:szCs w:val="7"/>
                <w:color w:val="auto"/>
              </w:rPr>
            </w:pPr>
          </w:p>
        </w:tc>
        <w:tc>
          <w:tcPr>
            <w:tcW w:w="260" w:type="dxa"/>
            <w:vAlign w:val="bottom"/>
            <w:shd w:val="clear" w:color="auto" w:fill="062B48"/>
          </w:tcPr>
          <w:p>
            <w:pPr>
              <w:spacing w:after="0"/>
              <w:rPr>
                <w:sz w:val="7"/>
                <w:szCs w:val="7"/>
                <w:color w:val="auto"/>
              </w:rPr>
            </w:pPr>
          </w:p>
        </w:tc>
        <w:tc>
          <w:tcPr>
            <w:tcW w:w="1000" w:type="dxa"/>
            <w:vAlign w:val="bottom"/>
            <w:vMerge w:val="restart"/>
            <w:shd w:val="clear" w:color="auto" w:fill="062B48"/>
          </w:tcPr>
          <w:p>
            <w:pPr>
              <w:jc w:val="center"/>
              <w:ind w:right="169"/>
              <w:spacing w:after="0"/>
              <w:rPr>
                <w:sz w:val="20"/>
                <w:szCs w:val="20"/>
                <w:color w:val="auto"/>
              </w:rPr>
            </w:pPr>
            <w:r>
              <w:rPr>
                <w:rFonts w:ascii="Calibri" w:cs="Calibri" w:eastAsia="Calibri" w:hAnsi="Calibri"/>
                <w:sz w:val="14"/>
                <w:szCs w:val="14"/>
                <w:b w:val="1"/>
                <w:bCs w:val="1"/>
                <w:color w:val="FFFFFF"/>
              </w:rPr>
              <w:t>NON-PEO</w:t>
            </w:r>
          </w:p>
        </w:tc>
        <w:tc>
          <w:tcPr>
            <w:tcW w:w="220" w:type="dxa"/>
            <w:vAlign w:val="bottom"/>
            <w:shd w:val="clear" w:color="auto" w:fill="062B48"/>
          </w:tcPr>
          <w:p>
            <w:pPr>
              <w:spacing w:after="0"/>
              <w:rPr>
                <w:sz w:val="7"/>
                <w:szCs w:val="7"/>
                <w:color w:val="auto"/>
              </w:rPr>
            </w:pPr>
          </w:p>
        </w:tc>
        <w:tc>
          <w:tcPr>
            <w:tcW w:w="1000" w:type="dxa"/>
            <w:vAlign w:val="bottom"/>
            <w:vMerge w:val="continue"/>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980" w:type="dxa"/>
            <w:vAlign w:val="bottom"/>
            <w:vMerge w:val="restart"/>
            <w:shd w:val="clear" w:color="auto" w:fill="062B48"/>
          </w:tcPr>
          <w:p>
            <w:pPr>
              <w:jc w:val="center"/>
              <w:ind w:right="170"/>
              <w:spacing w:after="0" w:line="175" w:lineRule="exact"/>
              <w:rPr>
                <w:sz w:val="20"/>
                <w:szCs w:val="20"/>
                <w:color w:val="auto"/>
              </w:rPr>
            </w:pPr>
            <w:r>
              <w:rPr>
                <w:rFonts w:ascii="Calibri" w:cs="Calibri" w:eastAsia="Calibri" w:hAnsi="Calibri"/>
                <w:sz w:val="12"/>
                <w:szCs w:val="12"/>
                <w:b w:val="1"/>
                <w:bCs w:val="1"/>
                <w:color w:val="FFFFFF"/>
              </w:rPr>
              <w:t>RETURN</w:t>
            </w:r>
            <w:r>
              <w:rPr>
                <w:rFonts w:ascii="Calibri" w:cs="Calibri" w:eastAsia="Calibri" w:hAnsi="Calibri"/>
                <w:sz w:val="19"/>
                <w:szCs w:val="19"/>
                <w:b w:val="1"/>
                <w:bCs w:val="1"/>
                <w:color w:val="FFFFFF"/>
                <w:vertAlign w:val="superscript"/>
              </w:rPr>
              <w:t>(4)</w:t>
            </w:r>
          </w:p>
        </w:tc>
        <w:tc>
          <w:tcPr>
            <w:tcW w:w="200" w:type="dxa"/>
            <w:vAlign w:val="bottom"/>
            <w:shd w:val="clear" w:color="auto" w:fill="062B48"/>
          </w:tcPr>
          <w:p>
            <w:pPr>
              <w:spacing w:after="0"/>
              <w:rPr>
                <w:sz w:val="7"/>
                <w:szCs w:val="7"/>
                <w:color w:val="auto"/>
              </w:rPr>
            </w:pPr>
          </w:p>
        </w:tc>
        <w:tc>
          <w:tcPr>
            <w:tcW w:w="900" w:type="dxa"/>
            <w:vAlign w:val="bottom"/>
            <w:vMerge w:val="restart"/>
            <w:shd w:val="clear" w:color="auto" w:fill="062B48"/>
          </w:tcPr>
          <w:p>
            <w:pPr>
              <w:jc w:val="center"/>
              <w:ind w:right="10"/>
              <w:spacing w:after="0" w:line="175" w:lineRule="exact"/>
              <w:rPr>
                <w:sz w:val="20"/>
                <w:szCs w:val="20"/>
                <w:color w:val="auto"/>
              </w:rPr>
            </w:pPr>
            <w:r>
              <w:rPr>
                <w:rFonts w:ascii="Calibri" w:cs="Calibri" w:eastAsia="Calibri" w:hAnsi="Calibri"/>
                <w:sz w:val="12"/>
                <w:szCs w:val="12"/>
                <w:b w:val="1"/>
                <w:bCs w:val="1"/>
                <w:color w:val="FFFFFF"/>
              </w:rPr>
              <w:t>RETURN</w:t>
            </w:r>
            <w:r>
              <w:rPr>
                <w:rFonts w:ascii="Calibri" w:cs="Calibri" w:eastAsia="Calibri" w:hAnsi="Calibri"/>
                <w:sz w:val="19"/>
                <w:szCs w:val="19"/>
                <w:b w:val="1"/>
                <w:bCs w:val="1"/>
                <w:color w:val="FFFFFF"/>
                <w:vertAlign w:val="superscript"/>
              </w:rPr>
              <w:t>(5)</w:t>
            </w:r>
          </w:p>
        </w:tc>
        <w:tc>
          <w:tcPr>
            <w:tcW w:w="120" w:type="dxa"/>
            <w:vAlign w:val="bottom"/>
            <w:shd w:val="clear" w:color="auto" w:fill="062B48"/>
          </w:tcPr>
          <w:p>
            <w:pPr>
              <w:spacing w:after="0"/>
              <w:rPr>
                <w:sz w:val="7"/>
                <w:szCs w:val="7"/>
                <w:color w:val="auto"/>
              </w:rPr>
            </w:pPr>
          </w:p>
        </w:tc>
        <w:tc>
          <w:tcPr>
            <w:tcW w:w="240" w:type="dxa"/>
            <w:vAlign w:val="bottom"/>
            <w:shd w:val="clear" w:color="auto" w:fill="062B48"/>
          </w:tcPr>
          <w:p>
            <w:pPr>
              <w:spacing w:after="0"/>
              <w:rPr>
                <w:sz w:val="7"/>
                <w:szCs w:val="7"/>
                <w:color w:val="auto"/>
              </w:rPr>
            </w:pPr>
          </w:p>
        </w:tc>
        <w:tc>
          <w:tcPr>
            <w:tcW w:w="1040" w:type="dxa"/>
            <w:vAlign w:val="bottom"/>
            <w:vMerge w:val="continue"/>
            <w:shd w:val="clear" w:color="auto" w:fill="062B48"/>
          </w:tcPr>
          <w:p>
            <w:pPr>
              <w:spacing w:after="0"/>
              <w:rPr>
                <w:sz w:val="7"/>
                <w:szCs w:val="7"/>
                <w:color w:val="auto"/>
              </w:rPr>
            </w:pPr>
          </w:p>
        </w:tc>
        <w:tc>
          <w:tcPr>
            <w:tcW w:w="1140" w:type="dxa"/>
            <w:vAlign w:val="bottom"/>
            <w:vMerge w:val="continue"/>
            <w:shd w:val="clear" w:color="auto" w:fill="062B48"/>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60" w:type="dxa"/>
            <w:vAlign w:val="bottom"/>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20" w:type="dxa"/>
            <w:vAlign w:val="bottom"/>
            <w:vMerge w:val="continue"/>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00" w:type="dxa"/>
            <w:vAlign w:val="bottom"/>
            <w:shd w:val="clear" w:color="auto" w:fill="062B48"/>
          </w:tcPr>
          <w:p>
            <w:pPr>
              <w:spacing w:after="0"/>
              <w:rPr>
                <w:sz w:val="8"/>
                <w:szCs w:val="8"/>
                <w:color w:val="auto"/>
              </w:rPr>
            </w:pPr>
          </w:p>
        </w:tc>
        <w:tc>
          <w:tcPr>
            <w:tcW w:w="260" w:type="dxa"/>
            <w:vAlign w:val="bottom"/>
            <w:shd w:val="clear" w:color="auto" w:fill="062B48"/>
          </w:tcPr>
          <w:p>
            <w:pPr>
              <w:spacing w:after="0"/>
              <w:rPr>
                <w:sz w:val="8"/>
                <w:szCs w:val="8"/>
                <w:color w:val="auto"/>
              </w:rPr>
            </w:pPr>
          </w:p>
        </w:tc>
        <w:tc>
          <w:tcPr>
            <w:tcW w:w="1000" w:type="dxa"/>
            <w:vAlign w:val="bottom"/>
            <w:vMerge w:val="continue"/>
            <w:shd w:val="clear" w:color="auto" w:fill="062B48"/>
          </w:tcPr>
          <w:p>
            <w:pPr>
              <w:spacing w:after="0"/>
              <w:rPr>
                <w:sz w:val="8"/>
                <w:szCs w:val="8"/>
                <w:color w:val="auto"/>
              </w:rPr>
            </w:pPr>
          </w:p>
        </w:tc>
        <w:tc>
          <w:tcPr>
            <w:tcW w:w="220" w:type="dxa"/>
            <w:vAlign w:val="bottom"/>
            <w:shd w:val="clear" w:color="auto" w:fill="062B48"/>
          </w:tcPr>
          <w:p>
            <w:pPr>
              <w:spacing w:after="0"/>
              <w:rPr>
                <w:sz w:val="8"/>
                <w:szCs w:val="8"/>
                <w:color w:val="auto"/>
              </w:rPr>
            </w:pPr>
          </w:p>
        </w:tc>
        <w:tc>
          <w:tcPr>
            <w:tcW w:w="1000" w:type="dxa"/>
            <w:vAlign w:val="bottom"/>
            <w:vMerge w:val="restart"/>
            <w:shd w:val="clear" w:color="auto" w:fill="062B48"/>
          </w:tcPr>
          <w:p>
            <w:pPr>
              <w:jc w:val="center"/>
              <w:ind w:right="129"/>
              <w:spacing w:after="0" w:line="231" w:lineRule="exact"/>
              <w:rPr>
                <w:sz w:val="20"/>
                <w:szCs w:val="20"/>
                <w:color w:val="auto"/>
              </w:rPr>
            </w:pPr>
            <w:r>
              <w:rPr>
                <w:rFonts w:ascii="Calibri" w:cs="Calibri" w:eastAsia="Calibri" w:hAnsi="Calibri"/>
                <w:sz w:val="14"/>
                <w:szCs w:val="14"/>
                <w:b w:val="1"/>
                <w:bCs w:val="1"/>
                <w:color w:val="FFFFFF"/>
                <w:w w:val="90"/>
              </w:rPr>
              <w:t>NEOs</w:t>
            </w:r>
            <w:r>
              <w:rPr>
                <w:rFonts w:ascii="Calibri" w:cs="Calibri" w:eastAsia="Calibri" w:hAnsi="Calibri"/>
                <w:sz w:val="23"/>
                <w:szCs w:val="23"/>
                <w:b w:val="1"/>
                <w:bCs w:val="1"/>
                <w:color w:val="FFFFFF"/>
                <w:w w:val="90"/>
                <w:vertAlign w:val="superscript"/>
              </w:rPr>
              <w:t>(3)</w:t>
            </w:r>
          </w:p>
        </w:tc>
        <w:tc>
          <w:tcPr>
            <w:tcW w:w="240" w:type="dxa"/>
            <w:vAlign w:val="bottom"/>
            <w:shd w:val="clear" w:color="auto" w:fill="062B48"/>
          </w:tcPr>
          <w:p>
            <w:pPr>
              <w:spacing w:after="0"/>
              <w:rPr>
                <w:sz w:val="8"/>
                <w:szCs w:val="8"/>
                <w:color w:val="auto"/>
              </w:rPr>
            </w:pPr>
          </w:p>
        </w:tc>
        <w:tc>
          <w:tcPr>
            <w:tcW w:w="980" w:type="dxa"/>
            <w:vAlign w:val="bottom"/>
            <w:vMerge w:val="continue"/>
            <w:shd w:val="clear" w:color="auto" w:fill="062B48"/>
          </w:tcPr>
          <w:p>
            <w:pPr>
              <w:spacing w:after="0"/>
              <w:rPr>
                <w:sz w:val="8"/>
                <w:szCs w:val="8"/>
                <w:color w:val="auto"/>
              </w:rPr>
            </w:pPr>
          </w:p>
        </w:tc>
        <w:tc>
          <w:tcPr>
            <w:tcW w:w="200" w:type="dxa"/>
            <w:vAlign w:val="bottom"/>
            <w:shd w:val="clear" w:color="auto" w:fill="062B48"/>
          </w:tcPr>
          <w:p>
            <w:pPr>
              <w:spacing w:after="0"/>
              <w:rPr>
                <w:sz w:val="8"/>
                <w:szCs w:val="8"/>
                <w:color w:val="auto"/>
              </w:rPr>
            </w:pPr>
          </w:p>
        </w:tc>
        <w:tc>
          <w:tcPr>
            <w:tcW w:w="900" w:type="dxa"/>
            <w:vAlign w:val="bottom"/>
            <w:vMerge w:val="continue"/>
            <w:shd w:val="clear" w:color="auto" w:fill="062B48"/>
          </w:tcPr>
          <w:p>
            <w:pPr>
              <w:spacing w:after="0"/>
              <w:rPr>
                <w:sz w:val="8"/>
                <w:szCs w:val="8"/>
                <w:color w:val="auto"/>
              </w:rPr>
            </w:pPr>
          </w:p>
        </w:tc>
        <w:tc>
          <w:tcPr>
            <w:tcW w:w="120" w:type="dxa"/>
            <w:vAlign w:val="bottom"/>
            <w:shd w:val="clear" w:color="auto" w:fill="062B48"/>
          </w:tcPr>
          <w:p>
            <w:pPr>
              <w:spacing w:after="0"/>
              <w:rPr>
                <w:sz w:val="8"/>
                <w:szCs w:val="8"/>
                <w:color w:val="auto"/>
              </w:rPr>
            </w:pPr>
          </w:p>
        </w:tc>
        <w:tc>
          <w:tcPr>
            <w:tcW w:w="240" w:type="dxa"/>
            <w:vAlign w:val="bottom"/>
            <w:shd w:val="clear" w:color="auto" w:fill="062B48"/>
          </w:tcPr>
          <w:p>
            <w:pPr>
              <w:spacing w:after="0"/>
              <w:rPr>
                <w:sz w:val="8"/>
                <w:szCs w:val="8"/>
                <w:color w:val="auto"/>
              </w:rPr>
            </w:pPr>
          </w:p>
        </w:tc>
        <w:tc>
          <w:tcPr>
            <w:tcW w:w="1040" w:type="dxa"/>
            <w:vAlign w:val="bottom"/>
            <w:shd w:val="clear" w:color="auto" w:fill="062B48"/>
          </w:tcPr>
          <w:p>
            <w:pPr>
              <w:spacing w:after="0"/>
              <w:rPr>
                <w:sz w:val="8"/>
                <w:szCs w:val="8"/>
                <w:color w:val="auto"/>
              </w:rPr>
            </w:pPr>
          </w:p>
        </w:tc>
        <w:tc>
          <w:tcPr>
            <w:tcW w:w="1140" w:type="dxa"/>
            <w:vAlign w:val="bottom"/>
            <w:vMerge w:val="restart"/>
            <w:shd w:val="clear" w:color="auto" w:fill="062B48"/>
          </w:tcPr>
          <w:p>
            <w:pPr>
              <w:jc w:val="center"/>
              <w:ind w:right="9"/>
              <w:spacing w:after="0" w:line="231" w:lineRule="exact"/>
              <w:rPr>
                <w:sz w:val="20"/>
                <w:szCs w:val="20"/>
                <w:color w:val="auto"/>
              </w:rPr>
            </w:pPr>
            <w:r>
              <w:rPr>
                <w:rFonts w:ascii="Calibri" w:cs="Calibri" w:eastAsia="Calibri" w:hAnsi="Calibri"/>
                <w:sz w:val="14"/>
                <w:szCs w:val="14"/>
                <w:b w:val="1"/>
                <w:bCs w:val="1"/>
                <w:color w:val="FFFFFF"/>
                <w:w w:val="95"/>
              </w:rPr>
              <w:t>EQUITY</w:t>
            </w:r>
            <w:r>
              <w:rPr>
                <w:rFonts w:ascii="Calibri" w:cs="Calibri" w:eastAsia="Calibri" w:hAnsi="Calibri"/>
                <w:sz w:val="23"/>
                <w:szCs w:val="23"/>
                <w:b w:val="1"/>
                <w:bCs w:val="1"/>
                <w:color w:val="FFFFFF"/>
                <w:w w:val="95"/>
                <w:vertAlign w:val="superscript"/>
              </w:rPr>
              <w:t>(7)</w:t>
            </w:r>
          </w:p>
        </w:tc>
        <w:tc>
          <w:tcPr>
            <w:tcW w:w="0" w:type="dxa"/>
            <w:vAlign w:val="bottom"/>
          </w:tcPr>
          <w:p>
            <w:pPr>
              <w:spacing w:after="0"/>
              <w:rPr>
                <w:sz w:val="1"/>
                <w:szCs w:val="1"/>
                <w:color w:val="auto"/>
              </w:rPr>
            </w:pPr>
          </w:p>
        </w:tc>
      </w:tr>
      <w:tr>
        <w:trPr>
          <w:trHeight w:val="138"/>
        </w:trPr>
        <w:tc>
          <w:tcPr>
            <w:tcW w:w="1360" w:type="dxa"/>
            <w:vAlign w:val="bottom"/>
            <w:shd w:val="clear" w:color="auto" w:fill="062B48"/>
          </w:tcPr>
          <w:p>
            <w:pPr>
              <w:spacing w:after="0"/>
              <w:rPr>
                <w:sz w:val="11"/>
                <w:szCs w:val="11"/>
                <w:color w:val="auto"/>
              </w:rPr>
            </w:pPr>
          </w:p>
        </w:tc>
        <w:tc>
          <w:tcPr>
            <w:tcW w:w="260" w:type="dxa"/>
            <w:vAlign w:val="bottom"/>
            <w:shd w:val="clear" w:color="auto" w:fill="062B48"/>
          </w:tcPr>
          <w:p>
            <w:pPr>
              <w:spacing w:after="0"/>
              <w:rPr>
                <w:sz w:val="11"/>
                <w:szCs w:val="11"/>
                <w:color w:val="auto"/>
              </w:rPr>
            </w:pPr>
          </w:p>
        </w:tc>
        <w:tc>
          <w:tcPr>
            <w:tcW w:w="1020" w:type="dxa"/>
            <w:vAlign w:val="bottom"/>
            <w:shd w:val="clear" w:color="auto" w:fill="062B48"/>
          </w:tcPr>
          <w:p>
            <w:pPr>
              <w:spacing w:after="0"/>
              <w:rPr>
                <w:sz w:val="11"/>
                <w:szCs w:val="11"/>
                <w:color w:val="auto"/>
              </w:rPr>
            </w:pPr>
          </w:p>
        </w:tc>
        <w:tc>
          <w:tcPr>
            <w:tcW w:w="260" w:type="dxa"/>
            <w:vAlign w:val="bottom"/>
            <w:shd w:val="clear" w:color="auto" w:fill="062B48"/>
          </w:tcPr>
          <w:p>
            <w:pPr>
              <w:spacing w:after="0"/>
              <w:rPr>
                <w:sz w:val="11"/>
                <w:szCs w:val="11"/>
                <w:color w:val="auto"/>
              </w:rPr>
            </w:pPr>
          </w:p>
        </w:tc>
        <w:tc>
          <w:tcPr>
            <w:tcW w:w="1000" w:type="dxa"/>
            <w:vAlign w:val="bottom"/>
            <w:shd w:val="clear" w:color="auto" w:fill="062B48"/>
          </w:tcPr>
          <w:p>
            <w:pPr>
              <w:spacing w:after="0"/>
              <w:rPr>
                <w:sz w:val="11"/>
                <w:szCs w:val="11"/>
                <w:color w:val="auto"/>
              </w:rPr>
            </w:pPr>
          </w:p>
        </w:tc>
        <w:tc>
          <w:tcPr>
            <w:tcW w:w="260" w:type="dxa"/>
            <w:vAlign w:val="bottom"/>
            <w:shd w:val="clear" w:color="auto" w:fill="062B48"/>
          </w:tcPr>
          <w:p>
            <w:pPr>
              <w:spacing w:after="0"/>
              <w:rPr>
                <w:sz w:val="11"/>
                <w:szCs w:val="11"/>
                <w:color w:val="auto"/>
              </w:rPr>
            </w:pPr>
          </w:p>
        </w:tc>
        <w:tc>
          <w:tcPr>
            <w:tcW w:w="1000" w:type="dxa"/>
            <w:vAlign w:val="bottom"/>
            <w:vMerge w:val="restart"/>
            <w:shd w:val="clear" w:color="auto" w:fill="062B48"/>
          </w:tcPr>
          <w:p>
            <w:pPr>
              <w:jc w:val="center"/>
              <w:ind w:right="169"/>
              <w:spacing w:after="0" w:line="204" w:lineRule="exact"/>
              <w:rPr>
                <w:sz w:val="20"/>
                <w:szCs w:val="20"/>
                <w:color w:val="auto"/>
              </w:rPr>
            </w:pPr>
            <w:r>
              <w:rPr>
                <w:rFonts w:ascii="Calibri" w:cs="Calibri" w:eastAsia="Calibri" w:hAnsi="Calibri"/>
                <w:sz w:val="14"/>
                <w:szCs w:val="14"/>
                <w:b w:val="1"/>
                <w:bCs w:val="1"/>
                <w:color w:val="FFFFFF"/>
                <w:w w:val="92"/>
              </w:rPr>
              <w:t>NEOs</w:t>
            </w:r>
            <w:r>
              <w:rPr>
                <w:rFonts w:ascii="Calibri" w:cs="Calibri" w:eastAsia="Calibri" w:hAnsi="Calibri"/>
                <w:sz w:val="22"/>
                <w:szCs w:val="22"/>
                <w:b w:val="1"/>
                <w:bCs w:val="1"/>
                <w:color w:val="FFFFFF"/>
                <w:w w:val="92"/>
                <w:vertAlign w:val="superscript"/>
              </w:rPr>
              <w:t>(2)</w:t>
            </w:r>
          </w:p>
        </w:tc>
        <w:tc>
          <w:tcPr>
            <w:tcW w:w="220" w:type="dxa"/>
            <w:vAlign w:val="bottom"/>
            <w:shd w:val="clear" w:color="auto" w:fill="062B48"/>
          </w:tcPr>
          <w:p>
            <w:pPr>
              <w:spacing w:after="0"/>
              <w:rPr>
                <w:sz w:val="11"/>
                <w:szCs w:val="11"/>
                <w:color w:val="auto"/>
              </w:rPr>
            </w:pPr>
          </w:p>
        </w:tc>
        <w:tc>
          <w:tcPr>
            <w:tcW w:w="1000" w:type="dxa"/>
            <w:vAlign w:val="bottom"/>
            <w:vMerge w:val="continue"/>
            <w:shd w:val="clear" w:color="auto" w:fill="062B48"/>
          </w:tcPr>
          <w:p>
            <w:pPr>
              <w:spacing w:after="0"/>
              <w:rPr>
                <w:sz w:val="11"/>
                <w:szCs w:val="11"/>
                <w:color w:val="auto"/>
              </w:rPr>
            </w:pPr>
          </w:p>
        </w:tc>
        <w:tc>
          <w:tcPr>
            <w:tcW w:w="240" w:type="dxa"/>
            <w:vAlign w:val="bottom"/>
            <w:shd w:val="clear" w:color="auto" w:fill="062B48"/>
          </w:tcPr>
          <w:p>
            <w:pPr>
              <w:spacing w:after="0"/>
              <w:rPr>
                <w:sz w:val="11"/>
                <w:szCs w:val="11"/>
                <w:color w:val="auto"/>
              </w:rPr>
            </w:pPr>
          </w:p>
        </w:tc>
        <w:tc>
          <w:tcPr>
            <w:tcW w:w="980" w:type="dxa"/>
            <w:vAlign w:val="bottom"/>
            <w:shd w:val="clear" w:color="auto" w:fill="062B48"/>
          </w:tcPr>
          <w:p>
            <w:pPr>
              <w:spacing w:after="0"/>
              <w:rPr>
                <w:sz w:val="11"/>
                <w:szCs w:val="11"/>
                <w:color w:val="auto"/>
              </w:rPr>
            </w:pPr>
          </w:p>
        </w:tc>
        <w:tc>
          <w:tcPr>
            <w:tcW w:w="200" w:type="dxa"/>
            <w:vAlign w:val="bottom"/>
            <w:shd w:val="clear" w:color="auto" w:fill="062B48"/>
          </w:tcPr>
          <w:p>
            <w:pPr>
              <w:spacing w:after="0"/>
              <w:rPr>
                <w:sz w:val="11"/>
                <w:szCs w:val="11"/>
                <w:color w:val="auto"/>
              </w:rPr>
            </w:pPr>
          </w:p>
        </w:tc>
        <w:tc>
          <w:tcPr>
            <w:tcW w:w="900" w:type="dxa"/>
            <w:vAlign w:val="bottom"/>
            <w:shd w:val="clear" w:color="auto" w:fill="062B48"/>
          </w:tcPr>
          <w:p>
            <w:pPr>
              <w:spacing w:after="0"/>
              <w:rPr>
                <w:sz w:val="11"/>
                <w:szCs w:val="11"/>
                <w:color w:val="auto"/>
              </w:rPr>
            </w:pPr>
          </w:p>
        </w:tc>
        <w:tc>
          <w:tcPr>
            <w:tcW w:w="120" w:type="dxa"/>
            <w:vAlign w:val="bottom"/>
            <w:shd w:val="clear" w:color="auto" w:fill="062B48"/>
          </w:tcPr>
          <w:p>
            <w:pPr>
              <w:spacing w:after="0"/>
              <w:rPr>
                <w:sz w:val="11"/>
                <w:szCs w:val="11"/>
                <w:color w:val="auto"/>
              </w:rPr>
            </w:pPr>
          </w:p>
        </w:tc>
        <w:tc>
          <w:tcPr>
            <w:tcW w:w="240" w:type="dxa"/>
            <w:vAlign w:val="bottom"/>
            <w:shd w:val="clear" w:color="auto" w:fill="062B48"/>
          </w:tcPr>
          <w:p>
            <w:pPr>
              <w:spacing w:after="0"/>
              <w:rPr>
                <w:sz w:val="11"/>
                <w:szCs w:val="11"/>
                <w:color w:val="auto"/>
              </w:rPr>
            </w:pPr>
          </w:p>
        </w:tc>
        <w:tc>
          <w:tcPr>
            <w:tcW w:w="1040" w:type="dxa"/>
            <w:vAlign w:val="bottom"/>
            <w:shd w:val="clear" w:color="auto" w:fill="062B48"/>
          </w:tcPr>
          <w:p>
            <w:pPr>
              <w:spacing w:after="0"/>
              <w:rPr>
                <w:sz w:val="11"/>
                <w:szCs w:val="11"/>
                <w:color w:val="auto"/>
              </w:rPr>
            </w:pPr>
          </w:p>
        </w:tc>
        <w:tc>
          <w:tcPr>
            <w:tcW w:w="1140" w:type="dxa"/>
            <w:vAlign w:val="bottom"/>
            <w:vMerge w:val="continue"/>
            <w:shd w:val="clear" w:color="auto" w:fill="062B48"/>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360" w:type="dxa"/>
            <w:vAlign w:val="bottom"/>
            <w:shd w:val="clear" w:color="auto" w:fill="062B48"/>
          </w:tcPr>
          <w:p>
            <w:pPr>
              <w:spacing w:after="0"/>
              <w:rPr>
                <w:sz w:val="5"/>
                <w:szCs w:val="5"/>
                <w:color w:val="auto"/>
              </w:rPr>
            </w:pPr>
          </w:p>
        </w:tc>
        <w:tc>
          <w:tcPr>
            <w:tcW w:w="260" w:type="dxa"/>
            <w:vAlign w:val="bottom"/>
            <w:shd w:val="clear" w:color="auto" w:fill="062B48"/>
          </w:tcPr>
          <w:p>
            <w:pPr>
              <w:spacing w:after="0"/>
              <w:rPr>
                <w:sz w:val="5"/>
                <w:szCs w:val="5"/>
                <w:color w:val="auto"/>
              </w:rPr>
            </w:pPr>
          </w:p>
        </w:tc>
        <w:tc>
          <w:tcPr>
            <w:tcW w:w="1020" w:type="dxa"/>
            <w:vAlign w:val="bottom"/>
            <w:shd w:val="clear" w:color="auto" w:fill="062B48"/>
          </w:tcPr>
          <w:p>
            <w:pPr>
              <w:spacing w:after="0"/>
              <w:rPr>
                <w:sz w:val="5"/>
                <w:szCs w:val="5"/>
                <w:color w:val="auto"/>
              </w:rPr>
            </w:pPr>
          </w:p>
        </w:tc>
        <w:tc>
          <w:tcPr>
            <w:tcW w:w="260" w:type="dxa"/>
            <w:vAlign w:val="bottom"/>
            <w:shd w:val="clear" w:color="auto" w:fill="062B48"/>
          </w:tcPr>
          <w:p>
            <w:pPr>
              <w:spacing w:after="0"/>
              <w:rPr>
                <w:sz w:val="5"/>
                <w:szCs w:val="5"/>
                <w:color w:val="auto"/>
              </w:rPr>
            </w:pPr>
          </w:p>
        </w:tc>
        <w:tc>
          <w:tcPr>
            <w:tcW w:w="1000" w:type="dxa"/>
            <w:vAlign w:val="bottom"/>
            <w:shd w:val="clear" w:color="auto" w:fill="062B48"/>
          </w:tcPr>
          <w:p>
            <w:pPr>
              <w:spacing w:after="0"/>
              <w:rPr>
                <w:sz w:val="5"/>
                <w:szCs w:val="5"/>
                <w:color w:val="auto"/>
              </w:rPr>
            </w:pPr>
          </w:p>
        </w:tc>
        <w:tc>
          <w:tcPr>
            <w:tcW w:w="260" w:type="dxa"/>
            <w:vAlign w:val="bottom"/>
            <w:shd w:val="clear" w:color="auto" w:fill="062B48"/>
          </w:tcPr>
          <w:p>
            <w:pPr>
              <w:spacing w:after="0"/>
              <w:rPr>
                <w:sz w:val="5"/>
                <w:szCs w:val="5"/>
                <w:color w:val="auto"/>
              </w:rPr>
            </w:pPr>
          </w:p>
        </w:tc>
        <w:tc>
          <w:tcPr>
            <w:tcW w:w="1000" w:type="dxa"/>
            <w:vAlign w:val="bottom"/>
            <w:vMerge w:val="continue"/>
            <w:shd w:val="clear" w:color="auto" w:fill="062B48"/>
          </w:tcPr>
          <w:p>
            <w:pPr>
              <w:spacing w:after="0"/>
              <w:rPr>
                <w:sz w:val="5"/>
                <w:szCs w:val="5"/>
                <w:color w:val="auto"/>
              </w:rPr>
            </w:pPr>
          </w:p>
        </w:tc>
        <w:tc>
          <w:tcPr>
            <w:tcW w:w="220" w:type="dxa"/>
            <w:vAlign w:val="bottom"/>
            <w:shd w:val="clear" w:color="auto" w:fill="062B48"/>
          </w:tcPr>
          <w:p>
            <w:pPr>
              <w:spacing w:after="0"/>
              <w:rPr>
                <w:sz w:val="5"/>
                <w:szCs w:val="5"/>
                <w:color w:val="auto"/>
              </w:rPr>
            </w:pPr>
          </w:p>
        </w:tc>
        <w:tc>
          <w:tcPr>
            <w:tcW w:w="1000" w:type="dxa"/>
            <w:vAlign w:val="bottom"/>
            <w:shd w:val="clear" w:color="auto" w:fill="062B48"/>
          </w:tcPr>
          <w:p>
            <w:pPr>
              <w:spacing w:after="0"/>
              <w:rPr>
                <w:sz w:val="5"/>
                <w:szCs w:val="5"/>
                <w:color w:val="auto"/>
              </w:rPr>
            </w:pPr>
          </w:p>
        </w:tc>
        <w:tc>
          <w:tcPr>
            <w:tcW w:w="240" w:type="dxa"/>
            <w:vAlign w:val="bottom"/>
            <w:shd w:val="clear" w:color="auto" w:fill="062B48"/>
          </w:tcPr>
          <w:p>
            <w:pPr>
              <w:spacing w:after="0"/>
              <w:rPr>
                <w:sz w:val="5"/>
                <w:szCs w:val="5"/>
                <w:color w:val="auto"/>
              </w:rPr>
            </w:pPr>
          </w:p>
        </w:tc>
        <w:tc>
          <w:tcPr>
            <w:tcW w:w="980" w:type="dxa"/>
            <w:vAlign w:val="bottom"/>
            <w:shd w:val="clear" w:color="auto" w:fill="062B48"/>
          </w:tcPr>
          <w:p>
            <w:pPr>
              <w:spacing w:after="0"/>
              <w:rPr>
                <w:sz w:val="5"/>
                <w:szCs w:val="5"/>
                <w:color w:val="auto"/>
              </w:rPr>
            </w:pPr>
          </w:p>
        </w:tc>
        <w:tc>
          <w:tcPr>
            <w:tcW w:w="200" w:type="dxa"/>
            <w:vAlign w:val="bottom"/>
            <w:shd w:val="clear" w:color="auto" w:fill="062B48"/>
          </w:tcPr>
          <w:p>
            <w:pPr>
              <w:spacing w:after="0"/>
              <w:rPr>
                <w:sz w:val="5"/>
                <w:szCs w:val="5"/>
                <w:color w:val="auto"/>
              </w:rPr>
            </w:pPr>
          </w:p>
        </w:tc>
        <w:tc>
          <w:tcPr>
            <w:tcW w:w="900" w:type="dxa"/>
            <w:vAlign w:val="bottom"/>
            <w:shd w:val="clear" w:color="auto" w:fill="062B48"/>
          </w:tcPr>
          <w:p>
            <w:pPr>
              <w:spacing w:after="0"/>
              <w:rPr>
                <w:sz w:val="5"/>
                <w:szCs w:val="5"/>
                <w:color w:val="auto"/>
              </w:rPr>
            </w:pPr>
          </w:p>
        </w:tc>
        <w:tc>
          <w:tcPr>
            <w:tcW w:w="120" w:type="dxa"/>
            <w:vAlign w:val="bottom"/>
            <w:shd w:val="clear" w:color="auto" w:fill="062B48"/>
          </w:tcPr>
          <w:p>
            <w:pPr>
              <w:spacing w:after="0"/>
              <w:rPr>
                <w:sz w:val="5"/>
                <w:szCs w:val="5"/>
                <w:color w:val="auto"/>
              </w:rPr>
            </w:pPr>
          </w:p>
        </w:tc>
        <w:tc>
          <w:tcPr>
            <w:tcW w:w="240" w:type="dxa"/>
            <w:vAlign w:val="bottom"/>
            <w:shd w:val="clear" w:color="auto" w:fill="062B48"/>
          </w:tcPr>
          <w:p>
            <w:pPr>
              <w:spacing w:after="0"/>
              <w:rPr>
                <w:sz w:val="5"/>
                <w:szCs w:val="5"/>
                <w:color w:val="auto"/>
              </w:rPr>
            </w:pPr>
          </w:p>
        </w:tc>
        <w:tc>
          <w:tcPr>
            <w:tcW w:w="1040" w:type="dxa"/>
            <w:vAlign w:val="bottom"/>
            <w:shd w:val="clear" w:color="auto" w:fill="062B48"/>
          </w:tcPr>
          <w:p>
            <w:pPr>
              <w:spacing w:after="0"/>
              <w:rPr>
                <w:sz w:val="5"/>
                <w:szCs w:val="5"/>
                <w:color w:val="auto"/>
              </w:rPr>
            </w:pPr>
          </w:p>
        </w:tc>
        <w:tc>
          <w:tcPr>
            <w:tcW w:w="1140" w:type="dxa"/>
            <w:vAlign w:val="bottom"/>
            <w:shd w:val="clear" w:color="auto" w:fill="062B48"/>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1360" w:type="dxa"/>
            <w:vAlign w:val="bottom"/>
          </w:tcPr>
          <w:p>
            <w:pPr>
              <w:ind w:left="160"/>
              <w:spacing w:after="0" w:line="169" w:lineRule="exact"/>
              <w:rPr>
                <w:sz w:val="20"/>
                <w:szCs w:val="20"/>
                <w:color w:val="auto"/>
              </w:rPr>
            </w:pPr>
            <w:r>
              <w:rPr>
                <w:rFonts w:ascii="Calibri" w:cs="Calibri" w:eastAsia="Calibri" w:hAnsi="Calibri"/>
                <w:sz w:val="14"/>
                <w:szCs w:val="14"/>
                <w:color w:val="auto"/>
              </w:rPr>
              <w:t>2025</w:t>
            </w:r>
          </w:p>
        </w:tc>
        <w:tc>
          <w:tcPr>
            <w:tcW w:w="260" w:type="dxa"/>
            <w:vAlign w:val="bottom"/>
          </w:tcPr>
          <w:p>
            <w:pPr>
              <w:ind w:left="120"/>
              <w:spacing w:after="0" w:line="169"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53"/>
              <w:spacing w:after="0" w:line="169" w:lineRule="exact"/>
              <w:rPr>
                <w:sz w:val="20"/>
                <w:szCs w:val="20"/>
                <w:color w:val="auto"/>
              </w:rPr>
            </w:pPr>
            <w:r>
              <w:rPr>
                <w:rFonts w:ascii="Calibri" w:cs="Calibri" w:eastAsia="Calibri" w:hAnsi="Calibri"/>
                <w:sz w:val="14"/>
                <w:szCs w:val="14"/>
                <w:color w:val="auto"/>
              </w:rPr>
              <w:t>1,630,180</w:t>
            </w:r>
          </w:p>
        </w:tc>
        <w:tc>
          <w:tcPr>
            <w:tcW w:w="260" w:type="dxa"/>
            <w:vAlign w:val="bottom"/>
          </w:tcPr>
          <w:p>
            <w:pPr>
              <w:jc w:val="right"/>
              <w:ind w:right="9"/>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51"/>
              <w:spacing w:after="0" w:line="169" w:lineRule="exact"/>
              <w:rPr>
                <w:sz w:val="20"/>
                <w:szCs w:val="20"/>
                <w:color w:val="auto"/>
              </w:rPr>
            </w:pPr>
            <w:r>
              <w:rPr>
                <w:rFonts w:ascii="Calibri" w:cs="Calibri" w:eastAsia="Calibri" w:hAnsi="Calibri"/>
                <w:sz w:val="14"/>
                <w:szCs w:val="14"/>
                <w:color w:val="auto"/>
              </w:rPr>
              <w:t>2,105,676</w:t>
            </w:r>
          </w:p>
        </w:tc>
        <w:tc>
          <w:tcPr>
            <w:tcW w:w="26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850,267</w:t>
            </w:r>
          </w:p>
        </w:tc>
        <w:tc>
          <w:tcPr>
            <w:tcW w:w="220" w:type="dxa"/>
            <w:vAlign w:val="bottom"/>
          </w:tcPr>
          <w:p>
            <w:pPr>
              <w:ind w:left="120"/>
              <w:spacing w:after="0" w:line="169"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9" w:lineRule="exact"/>
              <w:rPr>
                <w:sz w:val="20"/>
                <w:szCs w:val="20"/>
                <w:color w:val="auto"/>
              </w:rPr>
            </w:pPr>
            <w:r>
              <w:rPr>
                <w:rFonts w:ascii="Calibri" w:cs="Calibri" w:eastAsia="Calibri" w:hAnsi="Calibri"/>
                <w:sz w:val="14"/>
                <w:szCs w:val="14"/>
                <w:color w:val="auto"/>
              </w:rPr>
              <w:t>1,040,344</w:t>
            </w:r>
          </w:p>
        </w:tc>
        <w:tc>
          <w:tcPr>
            <w:tcW w:w="2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30"/>
              <w:spacing w:after="0" w:line="169" w:lineRule="exact"/>
              <w:rPr>
                <w:sz w:val="20"/>
                <w:szCs w:val="20"/>
                <w:color w:val="auto"/>
              </w:rPr>
            </w:pPr>
            <w:r>
              <w:rPr>
                <w:rFonts w:ascii="Calibri" w:cs="Calibri" w:eastAsia="Calibri" w:hAnsi="Calibri"/>
                <w:sz w:val="14"/>
                <w:szCs w:val="14"/>
                <w:color w:val="auto"/>
              </w:rPr>
              <w:t>89</w:t>
            </w:r>
          </w:p>
        </w:tc>
        <w:tc>
          <w:tcPr>
            <w:tcW w:w="20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900" w:type="dxa"/>
            <w:vAlign w:val="bottom"/>
          </w:tcPr>
          <w:p>
            <w:pPr>
              <w:jc w:val="right"/>
              <w:spacing w:after="0" w:line="169" w:lineRule="exact"/>
              <w:rPr>
                <w:sz w:val="20"/>
                <w:szCs w:val="20"/>
                <w:color w:val="auto"/>
              </w:rPr>
            </w:pPr>
            <w:r>
              <w:rPr>
                <w:rFonts w:ascii="Calibri" w:cs="Calibri" w:eastAsia="Calibri" w:hAnsi="Calibri"/>
                <w:sz w:val="14"/>
                <w:szCs w:val="14"/>
                <w:color w:val="auto"/>
              </w:rPr>
              <w:t>120</w:t>
            </w:r>
          </w:p>
        </w:tc>
        <w:tc>
          <w:tcPr>
            <w:tcW w:w="120" w:type="dxa"/>
            <w:vAlign w:val="bottom"/>
          </w:tcPr>
          <w:p>
            <w:pPr>
              <w:spacing w:after="0"/>
              <w:rPr>
                <w:sz w:val="14"/>
                <w:szCs w:val="14"/>
                <w:color w:val="auto"/>
              </w:rPr>
            </w:pPr>
          </w:p>
        </w:tc>
        <w:tc>
          <w:tcPr>
            <w:tcW w:w="240" w:type="dxa"/>
            <w:vAlign w:val="bottom"/>
          </w:tcPr>
          <w:p>
            <w:pPr>
              <w:jc w:val="right"/>
              <w:spacing w:after="0" w:line="169"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111"/>
              <w:spacing w:after="0" w:line="169" w:lineRule="exact"/>
              <w:rPr>
                <w:sz w:val="20"/>
                <w:szCs w:val="20"/>
                <w:color w:val="auto"/>
              </w:rPr>
            </w:pPr>
            <w:r>
              <w:rPr>
                <w:rFonts w:ascii="Calibri" w:cs="Calibri" w:eastAsia="Calibri" w:hAnsi="Calibri"/>
                <w:sz w:val="14"/>
                <w:szCs w:val="14"/>
                <w:color w:val="auto"/>
              </w:rPr>
              <w:t>17.4</w:t>
            </w:r>
          </w:p>
        </w:tc>
        <w:tc>
          <w:tcPr>
            <w:tcW w:w="1140" w:type="dxa"/>
            <w:vAlign w:val="bottom"/>
          </w:tcPr>
          <w:p>
            <w:pPr>
              <w:jc w:val="right"/>
              <w:spacing w:after="0" w:line="169" w:lineRule="exact"/>
              <w:rPr>
                <w:sz w:val="20"/>
                <w:szCs w:val="20"/>
                <w:color w:val="auto"/>
              </w:rPr>
            </w:pPr>
            <w:r>
              <w:rPr>
                <w:rFonts w:ascii="Calibri" w:cs="Calibri" w:eastAsia="Calibri" w:hAnsi="Calibri"/>
                <w:sz w:val="14"/>
                <w:szCs w:val="14"/>
                <w:color w:val="auto"/>
              </w:rPr>
              <w:t>13.59%</w:t>
            </w:r>
          </w:p>
        </w:tc>
        <w:tc>
          <w:tcPr>
            <w:tcW w:w="0" w:type="dxa"/>
            <w:vAlign w:val="bottom"/>
          </w:tcPr>
          <w:p>
            <w:pPr>
              <w:spacing w:after="0"/>
              <w:rPr>
                <w:sz w:val="1"/>
                <w:szCs w:val="1"/>
                <w:color w:val="auto"/>
              </w:rPr>
            </w:pPr>
          </w:p>
        </w:tc>
      </w:tr>
      <w:tr>
        <w:trPr>
          <w:trHeight w:val="31"/>
        </w:trPr>
        <w:tc>
          <w:tcPr>
            <w:tcW w:w="136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gridSpan w:val="2"/>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160"/>
              <w:spacing w:after="0" w:line="162" w:lineRule="exact"/>
              <w:rPr>
                <w:sz w:val="20"/>
                <w:szCs w:val="20"/>
                <w:color w:val="auto"/>
              </w:rPr>
            </w:pPr>
            <w:r>
              <w:rPr>
                <w:rFonts w:ascii="Calibri" w:cs="Calibri" w:eastAsia="Calibri" w:hAnsi="Calibri"/>
                <w:sz w:val="14"/>
                <w:szCs w:val="14"/>
                <w:color w:val="auto"/>
              </w:rPr>
              <w:t>2024</w:t>
            </w:r>
          </w:p>
        </w:tc>
        <w:tc>
          <w:tcPr>
            <w:tcW w:w="260" w:type="dxa"/>
            <w:vAlign w:val="bottom"/>
          </w:tcPr>
          <w:p>
            <w:pPr>
              <w:ind w:left="120"/>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53"/>
              <w:spacing w:after="0" w:line="162" w:lineRule="exact"/>
              <w:rPr>
                <w:sz w:val="20"/>
                <w:szCs w:val="20"/>
                <w:color w:val="auto"/>
              </w:rPr>
            </w:pPr>
            <w:r>
              <w:rPr>
                <w:rFonts w:ascii="Calibri" w:cs="Calibri" w:eastAsia="Calibri" w:hAnsi="Calibri"/>
                <w:sz w:val="14"/>
                <w:szCs w:val="14"/>
                <w:color w:val="auto"/>
              </w:rPr>
              <w:t>1,339,540</w:t>
            </w:r>
          </w:p>
        </w:tc>
        <w:tc>
          <w:tcPr>
            <w:tcW w:w="26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51"/>
              <w:spacing w:after="0" w:line="162" w:lineRule="exact"/>
              <w:rPr>
                <w:sz w:val="20"/>
                <w:szCs w:val="20"/>
                <w:color w:val="auto"/>
              </w:rPr>
            </w:pPr>
            <w:r>
              <w:rPr>
                <w:rFonts w:ascii="Calibri" w:cs="Calibri" w:eastAsia="Calibri" w:hAnsi="Calibri"/>
                <w:sz w:val="14"/>
                <w:szCs w:val="14"/>
                <w:color w:val="auto"/>
              </w:rPr>
              <w:t>1,456,837</w:t>
            </w:r>
          </w:p>
        </w:tc>
        <w:tc>
          <w:tcPr>
            <w:tcW w:w="2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793,567</w:t>
            </w:r>
          </w:p>
        </w:tc>
        <w:tc>
          <w:tcPr>
            <w:tcW w:w="220" w:type="dxa"/>
            <w:vAlign w:val="bottom"/>
          </w:tcPr>
          <w:p>
            <w:pPr>
              <w:ind w:left="120"/>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815,184</w:t>
            </w:r>
          </w:p>
        </w:tc>
        <w:tc>
          <w:tcPr>
            <w:tcW w:w="24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30"/>
              <w:spacing w:after="0" w:line="162" w:lineRule="exact"/>
              <w:rPr>
                <w:sz w:val="20"/>
                <w:szCs w:val="20"/>
                <w:color w:val="auto"/>
              </w:rPr>
            </w:pPr>
            <w:r>
              <w:rPr>
                <w:rFonts w:ascii="Calibri" w:cs="Calibri" w:eastAsia="Calibri" w:hAnsi="Calibri"/>
                <w:sz w:val="14"/>
                <w:szCs w:val="14"/>
                <w:color w:val="auto"/>
              </w:rPr>
              <w:t>73</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120"/>
              <w:spacing w:after="0" w:line="162" w:lineRule="exact"/>
              <w:rPr>
                <w:sz w:val="20"/>
                <w:szCs w:val="20"/>
                <w:color w:val="auto"/>
              </w:rPr>
            </w:pPr>
            <w:r>
              <w:rPr>
                <w:rFonts w:ascii="Calibri" w:cs="Calibri" w:eastAsia="Calibri" w:hAnsi="Calibri"/>
                <w:sz w:val="14"/>
                <w:szCs w:val="14"/>
                <w:color w:val="auto"/>
              </w:rPr>
              <w:t>107</w:t>
            </w:r>
          </w:p>
        </w:tc>
        <w:tc>
          <w:tcPr>
            <w:tcW w:w="24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111"/>
              <w:spacing w:after="0" w:line="162" w:lineRule="exact"/>
              <w:rPr>
                <w:sz w:val="20"/>
                <w:szCs w:val="20"/>
                <w:color w:val="auto"/>
              </w:rPr>
            </w:pPr>
            <w:r>
              <w:rPr>
                <w:rFonts w:ascii="Calibri" w:cs="Calibri" w:eastAsia="Calibri" w:hAnsi="Calibri"/>
                <w:sz w:val="14"/>
                <w:szCs w:val="14"/>
                <w:color w:val="auto"/>
              </w:rPr>
              <w:t>17.8</w:t>
            </w:r>
          </w:p>
        </w:tc>
        <w:tc>
          <w:tcPr>
            <w:tcW w:w="1140" w:type="dxa"/>
            <w:vAlign w:val="bottom"/>
          </w:tcPr>
          <w:p>
            <w:pPr>
              <w:jc w:val="right"/>
              <w:spacing w:after="0" w:line="162" w:lineRule="exact"/>
              <w:rPr>
                <w:sz w:val="20"/>
                <w:szCs w:val="20"/>
                <w:color w:val="auto"/>
              </w:rPr>
            </w:pPr>
            <w:r>
              <w:rPr>
                <w:rFonts w:ascii="Calibri" w:cs="Calibri" w:eastAsia="Calibri" w:hAnsi="Calibri"/>
                <w:sz w:val="14"/>
                <w:szCs w:val="14"/>
                <w:color w:val="auto"/>
              </w:rPr>
              <w:t>7.03%</w:t>
            </w:r>
          </w:p>
        </w:tc>
        <w:tc>
          <w:tcPr>
            <w:tcW w:w="0" w:type="dxa"/>
            <w:vAlign w:val="bottom"/>
          </w:tcPr>
          <w:p>
            <w:pPr>
              <w:spacing w:after="0"/>
              <w:rPr>
                <w:sz w:val="1"/>
                <w:szCs w:val="1"/>
                <w:color w:val="auto"/>
              </w:rPr>
            </w:pPr>
          </w:p>
        </w:tc>
      </w:tr>
      <w:tr>
        <w:trPr>
          <w:trHeight w:val="31"/>
        </w:trPr>
        <w:tc>
          <w:tcPr>
            <w:tcW w:w="136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gridSpan w:val="2"/>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160"/>
              <w:spacing w:after="0" w:line="162" w:lineRule="exact"/>
              <w:rPr>
                <w:sz w:val="20"/>
                <w:szCs w:val="20"/>
                <w:color w:val="auto"/>
              </w:rPr>
            </w:pPr>
            <w:r>
              <w:rPr>
                <w:rFonts w:ascii="Calibri" w:cs="Calibri" w:eastAsia="Calibri" w:hAnsi="Calibri"/>
                <w:sz w:val="14"/>
                <w:szCs w:val="14"/>
                <w:color w:val="auto"/>
              </w:rPr>
              <w:t>2023</w:t>
            </w:r>
          </w:p>
        </w:tc>
        <w:tc>
          <w:tcPr>
            <w:tcW w:w="260" w:type="dxa"/>
            <w:vAlign w:val="bottom"/>
          </w:tcPr>
          <w:p>
            <w:pPr>
              <w:ind w:left="120"/>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53"/>
              <w:spacing w:after="0" w:line="162" w:lineRule="exact"/>
              <w:rPr>
                <w:sz w:val="20"/>
                <w:szCs w:val="20"/>
                <w:color w:val="auto"/>
              </w:rPr>
            </w:pPr>
            <w:r>
              <w:rPr>
                <w:rFonts w:ascii="Calibri" w:cs="Calibri" w:eastAsia="Calibri" w:hAnsi="Calibri"/>
                <w:sz w:val="14"/>
                <w:szCs w:val="14"/>
                <w:color w:val="auto"/>
              </w:rPr>
              <w:t>1,093,405</w:t>
            </w:r>
          </w:p>
        </w:tc>
        <w:tc>
          <w:tcPr>
            <w:tcW w:w="26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51"/>
              <w:spacing w:after="0" w:line="162" w:lineRule="exact"/>
              <w:rPr>
                <w:sz w:val="20"/>
                <w:szCs w:val="20"/>
                <w:color w:val="auto"/>
              </w:rPr>
            </w:pPr>
            <w:r>
              <w:rPr>
                <w:rFonts w:ascii="Calibri" w:cs="Calibri" w:eastAsia="Calibri" w:hAnsi="Calibri"/>
                <w:sz w:val="14"/>
                <w:szCs w:val="14"/>
                <w:color w:val="auto"/>
              </w:rPr>
              <w:t>924,797</w:t>
            </w:r>
          </w:p>
        </w:tc>
        <w:tc>
          <w:tcPr>
            <w:tcW w:w="2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676,702</w:t>
            </w:r>
          </w:p>
        </w:tc>
        <w:tc>
          <w:tcPr>
            <w:tcW w:w="220" w:type="dxa"/>
            <w:vAlign w:val="bottom"/>
          </w:tcPr>
          <w:p>
            <w:pPr>
              <w:ind w:left="120"/>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600,014</w:t>
            </w:r>
          </w:p>
        </w:tc>
        <w:tc>
          <w:tcPr>
            <w:tcW w:w="24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30"/>
              <w:spacing w:after="0" w:line="162" w:lineRule="exact"/>
              <w:rPr>
                <w:sz w:val="20"/>
                <w:szCs w:val="20"/>
                <w:color w:val="auto"/>
              </w:rPr>
            </w:pPr>
            <w:r>
              <w:rPr>
                <w:rFonts w:ascii="Calibri" w:cs="Calibri" w:eastAsia="Calibri" w:hAnsi="Calibri"/>
                <w:sz w:val="14"/>
                <w:szCs w:val="14"/>
                <w:color w:val="auto"/>
              </w:rPr>
              <w:t>82</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120"/>
              <w:spacing w:after="0" w:line="162" w:lineRule="exact"/>
              <w:rPr>
                <w:sz w:val="20"/>
                <w:szCs w:val="20"/>
                <w:color w:val="auto"/>
              </w:rPr>
            </w:pPr>
            <w:r>
              <w:rPr>
                <w:rFonts w:ascii="Calibri" w:cs="Calibri" w:eastAsia="Calibri" w:hAnsi="Calibri"/>
                <w:sz w:val="14"/>
                <w:szCs w:val="14"/>
                <w:color w:val="auto"/>
              </w:rPr>
              <w:t>88</w:t>
            </w:r>
          </w:p>
        </w:tc>
        <w:tc>
          <w:tcPr>
            <w:tcW w:w="24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111"/>
              <w:spacing w:after="0" w:line="162" w:lineRule="exact"/>
              <w:rPr>
                <w:sz w:val="20"/>
                <w:szCs w:val="20"/>
                <w:color w:val="auto"/>
              </w:rPr>
            </w:pPr>
            <w:r>
              <w:rPr>
                <w:rFonts w:ascii="Calibri" w:cs="Calibri" w:eastAsia="Calibri" w:hAnsi="Calibri"/>
                <w:sz w:val="14"/>
                <w:szCs w:val="14"/>
                <w:color w:val="auto"/>
              </w:rPr>
              <w:t>11.7</w:t>
            </w:r>
          </w:p>
        </w:tc>
        <w:tc>
          <w:tcPr>
            <w:tcW w:w="1140" w:type="dxa"/>
            <w:vAlign w:val="bottom"/>
          </w:tcPr>
          <w:p>
            <w:pPr>
              <w:jc w:val="right"/>
              <w:spacing w:after="0" w:line="162" w:lineRule="exact"/>
              <w:rPr>
                <w:sz w:val="20"/>
                <w:szCs w:val="20"/>
                <w:color w:val="auto"/>
              </w:rPr>
            </w:pPr>
            <w:r>
              <w:rPr>
                <w:rFonts w:ascii="Calibri" w:cs="Calibri" w:eastAsia="Calibri" w:hAnsi="Calibri"/>
                <w:sz w:val="14"/>
                <w:szCs w:val="14"/>
                <w:color w:val="auto"/>
              </w:rPr>
              <w:t>9.33%</w:t>
            </w:r>
          </w:p>
        </w:tc>
        <w:tc>
          <w:tcPr>
            <w:tcW w:w="0" w:type="dxa"/>
            <w:vAlign w:val="bottom"/>
          </w:tcPr>
          <w:p>
            <w:pPr>
              <w:spacing w:after="0"/>
              <w:rPr>
                <w:sz w:val="1"/>
                <w:szCs w:val="1"/>
                <w:color w:val="auto"/>
              </w:rPr>
            </w:pPr>
          </w:p>
        </w:tc>
      </w:tr>
      <w:tr>
        <w:trPr>
          <w:trHeight w:val="31"/>
        </w:trPr>
        <w:tc>
          <w:tcPr>
            <w:tcW w:w="136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6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20" w:type="dxa"/>
            <w:vAlign w:val="bottom"/>
            <w:tcBorders>
              <w:bottom w:val="single" w:sz="8" w:color="1AB2D2"/>
            </w:tcBorders>
          </w:tcPr>
          <w:p>
            <w:pPr>
              <w:spacing w:after="0"/>
              <w:rPr>
                <w:sz w:val="2"/>
                <w:szCs w:val="2"/>
                <w:color w:val="auto"/>
              </w:rPr>
            </w:pPr>
          </w:p>
        </w:tc>
        <w:tc>
          <w:tcPr>
            <w:tcW w:w="1000" w:type="dxa"/>
            <w:vAlign w:val="bottom"/>
            <w:tcBorders>
              <w:bottom w:val="single" w:sz="8" w:color="1AB2D2"/>
            </w:tcBorders>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980" w:type="dxa"/>
            <w:vAlign w:val="bottom"/>
            <w:tcBorders>
              <w:bottom w:val="single" w:sz="8" w:color="1AB2D2"/>
            </w:tcBorders>
          </w:tcPr>
          <w:p>
            <w:pPr>
              <w:spacing w:after="0"/>
              <w:rPr>
                <w:sz w:val="2"/>
                <w:szCs w:val="2"/>
                <w:color w:val="auto"/>
              </w:rPr>
            </w:pPr>
          </w:p>
        </w:tc>
        <w:tc>
          <w:tcPr>
            <w:tcW w:w="200" w:type="dxa"/>
            <w:vAlign w:val="bottom"/>
            <w:tcBorders>
              <w:bottom w:val="single" w:sz="8" w:color="1AB2D2"/>
            </w:tcBorders>
          </w:tcPr>
          <w:p>
            <w:pPr>
              <w:spacing w:after="0"/>
              <w:rPr>
                <w:sz w:val="2"/>
                <w:szCs w:val="2"/>
                <w:color w:val="auto"/>
              </w:rPr>
            </w:pPr>
          </w:p>
        </w:tc>
        <w:tc>
          <w:tcPr>
            <w:tcW w:w="1020" w:type="dxa"/>
            <w:vAlign w:val="bottom"/>
            <w:tcBorders>
              <w:bottom w:val="single" w:sz="8" w:color="1AB2D2"/>
            </w:tcBorders>
            <w:gridSpan w:val="2"/>
          </w:tcPr>
          <w:p>
            <w:pPr>
              <w:spacing w:after="0"/>
              <w:rPr>
                <w:sz w:val="2"/>
                <w:szCs w:val="2"/>
                <w:color w:val="auto"/>
              </w:rPr>
            </w:pPr>
          </w:p>
        </w:tc>
        <w:tc>
          <w:tcPr>
            <w:tcW w:w="240" w:type="dxa"/>
            <w:vAlign w:val="bottom"/>
            <w:tcBorders>
              <w:bottom w:val="single" w:sz="8" w:color="1AB2D2"/>
            </w:tcBorders>
          </w:tcPr>
          <w:p>
            <w:pPr>
              <w:spacing w:after="0"/>
              <w:rPr>
                <w:sz w:val="2"/>
                <w:szCs w:val="2"/>
                <w:color w:val="auto"/>
              </w:rPr>
            </w:pPr>
          </w:p>
        </w:tc>
        <w:tc>
          <w:tcPr>
            <w:tcW w:w="1040" w:type="dxa"/>
            <w:vAlign w:val="bottom"/>
            <w:tcBorders>
              <w:bottom w:val="single" w:sz="8" w:color="1AB2D2"/>
            </w:tcBorders>
          </w:tcPr>
          <w:p>
            <w:pPr>
              <w:spacing w:after="0"/>
              <w:rPr>
                <w:sz w:val="2"/>
                <w:szCs w:val="2"/>
                <w:color w:val="auto"/>
              </w:rPr>
            </w:pPr>
          </w:p>
        </w:tc>
        <w:tc>
          <w:tcPr>
            <w:tcW w:w="1140" w:type="dxa"/>
            <w:vAlign w:val="bottom"/>
            <w:tcBorders>
              <w:bottom w:val="single" w:sz="8" w:color="1AB2D2"/>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360" w:type="dxa"/>
            <w:vAlign w:val="bottom"/>
          </w:tcPr>
          <w:p>
            <w:pPr>
              <w:ind w:left="160"/>
              <w:spacing w:after="0" w:line="162" w:lineRule="exact"/>
              <w:rPr>
                <w:sz w:val="20"/>
                <w:szCs w:val="20"/>
                <w:color w:val="auto"/>
              </w:rPr>
            </w:pPr>
            <w:r>
              <w:rPr>
                <w:rFonts w:ascii="Calibri" w:cs="Calibri" w:eastAsia="Calibri" w:hAnsi="Calibri"/>
                <w:sz w:val="14"/>
                <w:szCs w:val="14"/>
                <w:color w:val="auto"/>
              </w:rPr>
              <w:t>2022</w:t>
            </w:r>
          </w:p>
        </w:tc>
        <w:tc>
          <w:tcPr>
            <w:tcW w:w="260" w:type="dxa"/>
            <w:vAlign w:val="bottom"/>
          </w:tcPr>
          <w:p>
            <w:pPr>
              <w:ind w:left="120"/>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tcPr>
          <w:p>
            <w:pPr>
              <w:jc w:val="right"/>
              <w:ind w:right="53"/>
              <w:spacing w:after="0" w:line="162" w:lineRule="exact"/>
              <w:rPr>
                <w:sz w:val="20"/>
                <w:szCs w:val="20"/>
                <w:color w:val="auto"/>
              </w:rPr>
            </w:pPr>
            <w:r>
              <w:rPr>
                <w:rFonts w:ascii="Calibri" w:cs="Calibri" w:eastAsia="Calibri" w:hAnsi="Calibri"/>
                <w:sz w:val="14"/>
                <w:szCs w:val="14"/>
                <w:color w:val="auto"/>
              </w:rPr>
              <w:t>1,101,275</w:t>
            </w:r>
          </w:p>
        </w:tc>
        <w:tc>
          <w:tcPr>
            <w:tcW w:w="260" w:type="dxa"/>
            <w:vAlign w:val="bottom"/>
          </w:tcPr>
          <w:p>
            <w:pPr>
              <w:jc w:val="right"/>
              <w:ind w:right="9"/>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51"/>
              <w:spacing w:after="0" w:line="162" w:lineRule="exact"/>
              <w:rPr>
                <w:sz w:val="20"/>
                <w:szCs w:val="20"/>
                <w:color w:val="auto"/>
              </w:rPr>
            </w:pPr>
            <w:r>
              <w:rPr>
                <w:rFonts w:ascii="Calibri" w:cs="Calibri" w:eastAsia="Calibri" w:hAnsi="Calibri"/>
                <w:sz w:val="14"/>
                <w:szCs w:val="14"/>
                <w:color w:val="auto"/>
              </w:rPr>
              <w:t>861,859</w:t>
            </w:r>
          </w:p>
        </w:tc>
        <w:tc>
          <w:tcPr>
            <w:tcW w:w="26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600,941</w:t>
            </w:r>
          </w:p>
        </w:tc>
        <w:tc>
          <w:tcPr>
            <w:tcW w:w="220" w:type="dxa"/>
            <w:vAlign w:val="bottom"/>
          </w:tcPr>
          <w:p>
            <w:pPr>
              <w:ind w:left="120"/>
              <w:spacing w:after="0" w:line="162" w:lineRule="exact"/>
              <w:rPr>
                <w:sz w:val="20"/>
                <w:szCs w:val="20"/>
                <w:color w:val="auto"/>
              </w:rPr>
            </w:pPr>
            <w:r>
              <w:rPr>
                <w:rFonts w:ascii="Calibri" w:cs="Calibri" w:eastAsia="Calibri" w:hAnsi="Calibri"/>
                <w:sz w:val="14"/>
                <w:szCs w:val="14"/>
                <w:color w:val="auto"/>
              </w:rPr>
              <w:t>$</w:t>
            </w:r>
          </w:p>
        </w:tc>
        <w:tc>
          <w:tcPr>
            <w:tcW w:w="1000" w:type="dxa"/>
            <w:vAlign w:val="bottom"/>
          </w:tcPr>
          <w:p>
            <w:pPr>
              <w:jc w:val="right"/>
              <w:ind w:right="29"/>
              <w:spacing w:after="0" w:line="162" w:lineRule="exact"/>
              <w:rPr>
                <w:sz w:val="20"/>
                <w:szCs w:val="20"/>
                <w:color w:val="auto"/>
              </w:rPr>
            </w:pPr>
            <w:r>
              <w:rPr>
                <w:rFonts w:ascii="Calibri" w:cs="Calibri" w:eastAsia="Calibri" w:hAnsi="Calibri"/>
                <w:sz w:val="14"/>
                <w:szCs w:val="14"/>
                <w:color w:val="auto"/>
              </w:rPr>
              <w:t>479,218</w:t>
            </w:r>
          </w:p>
        </w:tc>
        <w:tc>
          <w:tcPr>
            <w:tcW w:w="24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980" w:type="dxa"/>
            <w:vAlign w:val="bottom"/>
          </w:tcPr>
          <w:p>
            <w:pPr>
              <w:jc w:val="right"/>
              <w:ind w:right="30"/>
              <w:spacing w:after="0" w:line="162" w:lineRule="exact"/>
              <w:rPr>
                <w:sz w:val="20"/>
                <w:szCs w:val="20"/>
                <w:color w:val="auto"/>
              </w:rPr>
            </w:pPr>
            <w:r>
              <w:rPr>
                <w:rFonts w:ascii="Calibri" w:cs="Calibri" w:eastAsia="Calibri" w:hAnsi="Calibri"/>
                <w:sz w:val="14"/>
                <w:szCs w:val="14"/>
                <w:color w:val="auto"/>
              </w:rPr>
              <w:t>82</w:t>
            </w:r>
          </w:p>
        </w:tc>
        <w:tc>
          <w:tcPr>
            <w:tcW w:w="20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20" w:type="dxa"/>
            <w:vAlign w:val="bottom"/>
            <w:gridSpan w:val="2"/>
          </w:tcPr>
          <w:p>
            <w:pPr>
              <w:jc w:val="right"/>
              <w:ind w:right="120"/>
              <w:spacing w:after="0" w:line="162" w:lineRule="exact"/>
              <w:rPr>
                <w:sz w:val="20"/>
                <w:szCs w:val="20"/>
                <w:color w:val="auto"/>
              </w:rPr>
            </w:pPr>
            <w:r>
              <w:rPr>
                <w:rFonts w:ascii="Calibri" w:cs="Calibri" w:eastAsia="Calibri" w:hAnsi="Calibri"/>
                <w:sz w:val="14"/>
                <w:szCs w:val="14"/>
                <w:color w:val="auto"/>
              </w:rPr>
              <w:t>86</w:t>
            </w:r>
          </w:p>
        </w:tc>
        <w:tc>
          <w:tcPr>
            <w:tcW w:w="240" w:type="dxa"/>
            <w:vAlign w:val="bottom"/>
          </w:tcPr>
          <w:p>
            <w:pPr>
              <w:jc w:val="right"/>
              <w:spacing w:after="0" w:line="162" w:lineRule="exact"/>
              <w:rPr>
                <w:sz w:val="20"/>
                <w:szCs w:val="20"/>
                <w:color w:val="auto"/>
              </w:rPr>
            </w:pPr>
            <w:r>
              <w:rPr>
                <w:rFonts w:ascii="Calibri" w:cs="Calibri" w:eastAsia="Calibri" w:hAnsi="Calibri"/>
                <w:sz w:val="14"/>
                <w:szCs w:val="14"/>
                <w:color w:val="auto"/>
              </w:rPr>
              <w:t>$</w:t>
            </w:r>
          </w:p>
        </w:tc>
        <w:tc>
          <w:tcPr>
            <w:tcW w:w="1040" w:type="dxa"/>
            <w:vAlign w:val="bottom"/>
          </w:tcPr>
          <w:p>
            <w:pPr>
              <w:jc w:val="right"/>
              <w:ind w:right="111"/>
              <w:spacing w:after="0" w:line="162" w:lineRule="exact"/>
              <w:rPr>
                <w:sz w:val="20"/>
                <w:szCs w:val="20"/>
                <w:color w:val="auto"/>
              </w:rPr>
            </w:pPr>
            <w:r>
              <w:rPr>
                <w:rFonts w:ascii="Calibri" w:cs="Calibri" w:eastAsia="Calibri" w:hAnsi="Calibri"/>
                <w:sz w:val="14"/>
                <w:szCs w:val="14"/>
                <w:color w:val="auto"/>
              </w:rPr>
              <w:t>40.0</w:t>
            </w:r>
          </w:p>
        </w:tc>
        <w:tc>
          <w:tcPr>
            <w:tcW w:w="1140" w:type="dxa"/>
            <w:vAlign w:val="bottom"/>
          </w:tcPr>
          <w:p>
            <w:pPr>
              <w:jc w:val="right"/>
              <w:spacing w:after="0" w:line="162" w:lineRule="exact"/>
              <w:rPr>
                <w:sz w:val="20"/>
                <w:szCs w:val="20"/>
                <w:color w:val="auto"/>
              </w:rPr>
            </w:pPr>
            <w:r>
              <w:rPr>
                <w:rFonts w:ascii="Calibri" w:cs="Calibri" w:eastAsia="Calibri" w:hAnsi="Calibri"/>
                <w:sz w:val="14"/>
                <w:szCs w:val="14"/>
                <w:color w:val="auto"/>
              </w:rPr>
              <w:t>12.74%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-1199515</wp:posOffset>
            </wp:positionV>
            <wp:extent cx="1406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06525" cy="8255"/>
                    </a:xfrm>
                    <a:prstGeom prst="rect">
                      <a:avLst/>
                    </a:prstGeom>
                    <a:noFill/>
                  </pic:spPr>
                </pic:pic>
              </a:graphicData>
            </a:graphic>
          </wp:anchor>
        </w:drawing>
      </w:r>
    </w:p>
    <w:p>
      <w:pPr>
        <w:spacing w:after="0" w:line="42" w:lineRule="exact"/>
        <w:rPr>
          <w:sz w:val="20"/>
          <w:szCs w:val="20"/>
          <w:color w:val="auto"/>
        </w:rPr>
      </w:pPr>
    </w:p>
    <w:p>
      <w:pPr>
        <w:ind w:left="640" w:hanging="633"/>
        <w:spacing w:after="0"/>
        <w:tabs>
          <w:tab w:leader="none" w:pos="640" w:val="left"/>
        </w:tabs>
        <w:numPr>
          <w:ilvl w:val="0"/>
          <w:numId w:val="47"/>
        </w:numPr>
        <w:rPr>
          <w:rFonts w:ascii="Calibri" w:cs="Calibri" w:eastAsia="Calibri" w:hAnsi="Calibri"/>
          <w:sz w:val="27"/>
          <w:szCs w:val="27"/>
          <w:color w:val="auto"/>
          <w:vertAlign w:val="superscript"/>
        </w:rPr>
      </w:pPr>
      <w:r>
        <w:rPr>
          <w:rFonts w:ascii="Calibri" w:cs="Calibri" w:eastAsia="Calibri" w:hAnsi="Calibri"/>
          <w:sz w:val="16"/>
          <w:szCs w:val="16"/>
          <w:color w:val="auto"/>
        </w:rPr>
        <w:t>Ms. Lorenson has served as the PEO for the entrety of fscal years 2022, 2023, 2024, and 2025. Our Non-PEO NEOs for the applicable fscal years were as follows:</w:t>
      </w:r>
    </w:p>
    <w:p>
      <w:pPr>
        <w:spacing w:after="0" w:line="106" w:lineRule="exact"/>
        <w:rPr>
          <w:rFonts w:ascii="Calibri" w:cs="Calibri" w:eastAsia="Calibri" w:hAnsi="Calibri"/>
          <w:sz w:val="27"/>
          <w:szCs w:val="27"/>
          <w:color w:val="auto"/>
          <w:vertAlign w:val="superscript"/>
        </w:rPr>
      </w:pPr>
    </w:p>
    <w:p>
      <w:pPr>
        <w:ind w:left="1280" w:hanging="313"/>
        <w:spacing w:after="0" w:line="196" w:lineRule="auto"/>
        <w:tabs>
          <w:tab w:leader="none" w:pos="1280" w:val="left"/>
        </w:tabs>
        <w:numPr>
          <w:ilvl w:val="1"/>
          <w:numId w:val="47"/>
        </w:numPr>
        <w:rPr>
          <w:rFonts w:ascii="Arial" w:cs="Arial" w:eastAsia="Arial" w:hAnsi="Arial"/>
          <w:sz w:val="16"/>
          <w:szCs w:val="16"/>
          <w:color w:val="auto"/>
        </w:rPr>
      </w:pPr>
      <w:r>
        <w:rPr>
          <w:rFonts w:ascii="Calibri" w:cs="Calibri" w:eastAsia="Calibri" w:hAnsi="Calibri"/>
          <w:sz w:val="16"/>
          <w:szCs w:val="16"/>
          <w:color w:val="auto"/>
        </w:rPr>
        <w:t>Fiscal year 2025: Alan A. Villalon, Jim R. Collins, Karin M. Taylor, and Forrest R. Wilson</w:t>
      </w:r>
    </w:p>
    <w:p>
      <w:pPr>
        <w:spacing w:after="0" w:line="72" w:lineRule="exact"/>
        <w:rPr>
          <w:rFonts w:ascii="Arial" w:cs="Arial" w:eastAsia="Arial" w:hAnsi="Arial"/>
          <w:sz w:val="16"/>
          <w:szCs w:val="16"/>
          <w:color w:val="auto"/>
        </w:rPr>
      </w:pPr>
    </w:p>
    <w:p>
      <w:pPr>
        <w:ind w:left="1280" w:hanging="313"/>
        <w:spacing w:after="0"/>
        <w:tabs>
          <w:tab w:leader="none" w:pos="1280" w:val="left"/>
        </w:tabs>
        <w:numPr>
          <w:ilvl w:val="1"/>
          <w:numId w:val="47"/>
        </w:numPr>
        <w:rPr>
          <w:rFonts w:ascii="Arial" w:cs="Arial" w:eastAsia="Arial" w:hAnsi="Arial"/>
          <w:sz w:val="16"/>
          <w:szCs w:val="16"/>
          <w:color w:val="auto"/>
        </w:rPr>
      </w:pPr>
      <w:r>
        <w:rPr>
          <w:rFonts w:ascii="Calibri" w:cs="Calibri" w:eastAsia="Calibri" w:hAnsi="Calibri"/>
          <w:sz w:val="16"/>
          <w:szCs w:val="16"/>
          <w:color w:val="auto"/>
        </w:rPr>
        <w:t>Fiscal year 2024: Alan A. Villalon, Jim R. Collins, Karin M. Taylor, and Forrest R. Wilson</w:t>
      </w:r>
    </w:p>
    <w:p>
      <w:pPr>
        <w:spacing w:after="0" w:line="71" w:lineRule="exact"/>
        <w:rPr>
          <w:rFonts w:ascii="Arial" w:cs="Arial" w:eastAsia="Arial" w:hAnsi="Arial"/>
          <w:sz w:val="16"/>
          <w:szCs w:val="16"/>
          <w:color w:val="auto"/>
        </w:rPr>
      </w:pPr>
    </w:p>
    <w:p>
      <w:pPr>
        <w:ind w:left="1280" w:hanging="313"/>
        <w:spacing w:after="0"/>
        <w:tabs>
          <w:tab w:leader="none" w:pos="1280" w:val="left"/>
        </w:tabs>
        <w:numPr>
          <w:ilvl w:val="1"/>
          <w:numId w:val="47"/>
        </w:numPr>
        <w:rPr>
          <w:rFonts w:ascii="Arial" w:cs="Arial" w:eastAsia="Arial" w:hAnsi="Arial"/>
          <w:sz w:val="16"/>
          <w:szCs w:val="16"/>
          <w:color w:val="auto"/>
        </w:rPr>
      </w:pPr>
      <w:r>
        <w:rPr>
          <w:rFonts w:ascii="Calibri" w:cs="Calibri" w:eastAsia="Calibri" w:hAnsi="Calibri"/>
          <w:sz w:val="16"/>
          <w:szCs w:val="16"/>
          <w:color w:val="auto"/>
        </w:rPr>
        <w:t>Fiscal year 2023: Jim R. Collins and Karin M. Taylor</w:t>
      </w:r>
    </w:p>
    <w:p>
      <w:pPr>
        <w:spacing w:after="0" w:line="44" w:lineRule="exact"/>
        <w:rPr>
          <w:rFonts w:ascii="Arial" w:cs="Arial" w:eastAsia="Arial" w:hAnsi="Arial"/>
          <w:sz w:val="16"/>
          <w:szCs w:val="16"/>
          <w:color w:val="auto"/>
        </w:rPr>
      </w:pPr>
    </w:p>
    <w:p>
      <w:pPr>
        <w:ind w:left="1280" w:hanging="313"/>
        <w:spacing w:after="0"/>
        <w:tabs>
          <w:tab w:leader="none" w:pos="1280" w:val="left"/>
        </w:tabs>
        <w:numPr>
          <w:ilvl w:val="1"/>
          <w:numId w:val="47"/>
        </w:numPr>
        <w:rPr>
          <w:rFonts w:ascii="Arial" w:cs="Arial" w:eastAsia="Arial" w:hAnsi="Arial"/>
          <w:sz w:val="16"/>
          <w:szCs w:val="16"/>
          <w:color w:val="auto"/>
        </w:rPr>
      </w:pPr>
      <w:r>
        <w:rPr>
          <w:rFonts w:ascii="Calibri" w:cs="Calibri" w:eastAsia="Calibri" w:hAnsi="Calibri"/>
          <w:sz w:val="16"/>
          <w:szCs w:val="16"/>
          <w:color w:val="auto"/>
        </w:rPr>
        <w:t>Fiscal year 2022: Ann McConn and Karin Taylor</w:t>
      </w:r>
    </w:p>
    <w:p>
      <w:pPr>
        <w:spacing w:after="0" w:line="48" w:lineRule="exact"/>
        <w:rPr>
          <w:rFonts w:ascii="Arial" w:cs="Arial" w:eastAsia="Arial" w:hAnsi="Arial"/>
          <w:sz w:val="16"/>
          <w:szCs w:val="16"/>
          <w:color w:val="auto"/>
        </w:rPr>
      </w:pPr>
    </w:p>
    <w:p>
      <w:pPr>
        <w:ind w:left="640" w:right="280" w:hanging="633"/>
        <w:spacing w:after="0" w:line="183" w:lineRule="auto"/>
        <w:tabs>
          <w:tab w:leader="none" w:pos="640" w:val="left"/>
        </w:tabs>
        <w:numPr>
          <w:ilvl w:val="0"/>
          <w:numId w:val="47"/>
        </w:numPr>
        <w:rPr>
          <w:rFonts w:ascii="Calibri" w:cs="Calibri" w:eastAsia="Calibri" w:hAnsi="Calibri"/>
          <w:sz w:val="26"/>
          <w:szCs w:val="26"/>
          <w:color w:val="auto"/>
          <w:vertAlign w:val="superscript"/>
        </w:rPr>
      </w:pPr>
      <w:r>
        <w:rPr>
          <w:rFonts w:ascii="Calibri" w:cs="Calibri" w:eastAsia="Calibri" w:hAnsi="Calibri"/>
          <w:sz w:val="16"/>
          <w:szCs w:val="16"/>
          <w:color w:val="auto"/>
        </w:rPr>
        <w:t>Amounts reported in these columns represent (i) the total compensaton reported in the SCT for the applicable fscal year in the case of our PEO, Ms. Lorenson, and (ii) the average of the total compensaton reported in the SCT for the applicable fscal year for our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593090" cy="118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2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4620" w:type="dxa"/>
            <w:vAlign w:val="bottom"/>
          </w:tcPr>
          <w:p>
            <w:pPr>
              <w:jc w:val="right"/>
              <w:spacing w:after="0"/>
              <w:rPr>
                <w:sz w:val="20"/>
                <w:szCs w:val="20"/>
                <w:color w:val="auto"/>
              </w:rPr>
            </w:pPr>
            <w:r>
              <w:rPr>
                <w:rFonts w:ascii="Calibri" w:cs="Calibri" w:eastAsia="Calibri" w:hAnsi="Calibri"/>
                <w:sz w:val="12"/>
                <w:szCs w:val="12"/>
                <w:color w:val="auto"/>
              </w:rPr>
              <w:t>35</w:t>
            </w:r>
          </w:p>
        </w:tc>
        <w:tc>
          <w:tcPr>
            <w:tcW w:w="0" w:type="dxa"/>
            <w:vAlign w:val="bottom"/>
          </w:tcPr>
          <w:p>
            <w:pPr>
              <w:spacing w:after="0"/>
              <w:rPr>
                <w:sz w:val="1"/>
                <w:szCs w:val="1"/>
                <w:color w:val="auto"/>
              </w:rPr>
            </w:pPr>
          </w:p>
        </w:tc>
      </w:tr>
      <w:tr>
        <w:trPr>
          <w:trHeight w:val="40"/>
        </w:trPr>
        <w:tc>
          <w:tcPr>
            <w:tcW w:w="6620" w:type="dxa"/>
            <w:vAlign w:val="bottom"/>
            <w:vMerge w:val="continue"/>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6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38" w:name="page39"/>
    <w:bookmarkEnd w:id="38"/>
    <w:p>
      <w:pPr>
        <w:ind w:left="640" w:right="100" w:hanging="633"/>
        <w:spacing w:after="0" w:line="207" w:lineRule="auto"/>
        <w:tabs>
          <w:tab w:leader="none" w:pos="640" w:val="left"/>
        </w:tabs>
        <w:numPr>
          <w:ilvl w:val="0"/>
          <w:numId w:val="48"/>
        </w:numPr>
        <w:rPr>
          <w:rFonts w:ascii="Calibri" w:cs="Calibri" w:eastAsia="Calibri" w:hAnsi="Calibri"/>
          <w:sz w:val="27"/>
          <w:szCs w:val="27"/>
          <w:color w:val="auto"/>
          <w:vertAlign w:val="superscript"/>
        </w:rPr>
      </w:pPr>
      <w:r>
        <w:rPr>
          <w:rFonts w:ascii="Calibri" w:cs="Calibri" w:eastAsia="Calibri" w:hAnsi="Calibri"/>
          <w:sz w:val="16"/>
          <w:szCs w:val="16"/>
          <w:color w:val="auto"/>
        </w:rPr>
        <w:t>Amounts reported in these columns represent (i) CAP for the applicable fscal year in the case of our PEO, Ms. Lorenson and (ii) the average CAP for the applicable fscal year for our Non-PEO NEOs, which refect certain adjustments that were made to the amounts reported in the SCT for the applicable fscal year. A reconciliaton of the adjustments made to the SCT amounts to calculate CAP for our PEO, Ms. Lorenson, and for the average CAP for the Non-PEO NEOs in accordance with the requirements of Item 402(v) of Regulaton S-K is set forth in the following table:</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620" w:type="dxa"/>
            <w:vAlign w:val="bottom"/>
            <w:gridSpan w:val="5"/>
            <w:shd w:val="clear" w:color="auto" w:fill="062B48"/>
          </w:tcPr>
          <w:p>
            <w:pPr>
              <w:jc w:val="right"/>
              <w:ind w:right="229"/>
              <w:spacing w:after="0"/>
              <w:rPr>
                <w:sz w:val="20"/>
                <w:szCs w:val="20"/>
                <w:color w:val="auto"/>
              </w:rPr>
            </w:pPr>
            <w:r>
              <w:rPr>
                <w:rFonts w:ascii="Arial" w:cs="Arial" w:eastAsia="Arial" w:hAnsi="Arial"/>
                <w:sz w:val="14"/>
                <w:szCs w:val="14"/>
                <w:b w:val="1"/>
                <w:bCs w:val="1"/>
                <w:color w:val="FFFFFF"/>
              </w:rPr>
              <w:t>Fiscal Year 2025</w:t>
            </w:r>
          </w:p>
        </w:tc>
        <w:tc>
          <w:tcPr>
            <w:tcW w:w="140" w:type="dxa"/>
            <w:vAlign w:val="bottom"/>
            <w:tcBorders>
              <w:left w:val="single" w:sz="8" w:color="062B48"/>
            </w:tcBorders>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540" w:type="dxa"/>
            <w:vAlign w:val="bottom"/>
            <w:gridSpan w:val="5"/>
            <w:shd w:val="clear" w:color="auto" w:fill="062B48"/>
          </w:tcPr>
          <w:p>
            <w:pPr>
              <w:jc w:val="right"/>
              <w:ind w:right="209"/>
              <w:spacing w:after="0"/>
              <w:rPr>
                <w:sz w:val="20"/>
                <w:szCs w:val="20"/>
                <w:color w:val="auto"/>
              </w:rPr>
            </w:pPr>
            <w:r>
              <w:rPr>
                <w:rFonts w:ascii="Arial" w:cs="Arial" w:eastAsia="Arial" w:hAnsi="Arial"/>
                <w:sz w:val="14"/>
                <w:szCs w:val="14"/>
                <w:b w:val="1"/>
                <w:bCs w:val="1"/>
                <w:color w:val="FFFFFF"/>
              </w:rPr>
              <w:t>Fiscal Year 2024</w:t>
            </w: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540" w:type="dxa"/>
            <w:vAlign w:val="bottom"/>
            <w:gridSpan w:val="5"/>
            <w:shd w:val="clear" w:color="auto" w:fill="062B48"/>
          </w:tcPr>
          <w:p>
            <w:pPr>
              <w:jc w:val="right"/>
              <w:ind w:right="209"/>
              <w:spacing w:after="0"/>
              <w:rPr>
                <w:sz w:val="20"/>
                <w:szCs w:val="20"/>
                <w:color w:val="auto"/>
              </w:rPr>
            </w:pPr>
            <w:r>
              <w:rPr>
                <w:rFonts w:ascii="Arial" w:cs="Arial" w:eastAsia="Arial" w:hAnsi="Arial"/>
                <w:sz w:val="14"/>
                <w:szCs w:val="14"/>
                <w:b w:val="1"/>
                <w:bCs w:val="1"/>
                <w:color w:val="FFFFFF"/>
              </w:rPr>
              <w:t>Fiscal Year 2023</w:t>
            </w: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540" w:type="dxa"/>
            <w:vAlign w:val="bottom"/>
            <w:gridSpan w:val="5"/>
            <w:shd w:val="clear" w:color="auto" w:fill="062B48"/>
          </w:tcPr>
          <w:p>
            <w:pPr>
              <w:jc w:val="right"/>
              <w:ind w:right="189"/>
              <w:spacing w:after="0"/>
              <w:rPr>
                <w:sz w:val="20"/>
                <w:szCs w:val="20"/>
                <w:color w:val="auto"/>
              </w:rPr>
            </w:pPr>
            <w:r>
              <w:rPr>
                <w:rFonts w:ascii="Arial" w:cs="Arial" w:eastAsia="Arial" w:hAnsi="Arial"/>
                <w:sz w:val="14"/>
                <w:szCs w:val="14"/>
                <w:b w:val="1"/>
                <w:bCs w:val="1"/>
                <w:color w:val="FFFFFF"/>
              </w:rPr>
              <w:t>Fiscal Year 2022</w:t>
            </w:r>
          </w:p>
        </w:tc>
        <w:tc>
          <w:tcPr>
            <w:tcW w:w="100" w:type="dxa"/>
            <w:vAlign w:val="bottom"/>
            <w:shd w:val="clear" w:color="auto" w:fill="062B48"/>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386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60" w:type="dxa"/>
            <w:vAlign w:val="bottom"/>
            <w:shd w:val="clear" w:color="auto" w:fill="062B48"/>
          </w:tcPr>
          <w:p>
            <w:pPr>
              <w:jc w:val="center"/>
              <w:ind w:right="29"/>
              <w:spacing w:after="0" w:line="151" w:lineRule="exact"/>
              <w:rPr>
                <w:sz w:val="20"/>
                <w:szCs w:val="20"/>
                <w:color w:val="auto"/>
              </w:rPr>
            </w:pPr>
            <w:r>
              <w:rPr>
                <w:rFonts w:ascii="Arial" w:cs="Arial" w:eastAsia="Arial" w:hAnsi="Arial"/>
                <w:sz w:val="14"/>
                <w:szCs w:val="14"/>
                <w:b w:val="1"/>
                <w:bCs w:val="1"/>
                <w:color w:val="FFFFFF"/>
              </w:rPr>
              <w:t>Ms.</w:t>
            </w:r>
          </w:p>
        </w:tc>
        <w:tc>
          <w:tcPr>
            <w:tcW w:w="10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80" w:type="dxa"/>
            <w:vAlign w:val="bottom"/>
            <w:shd w:val="clear" w:color="auto" w:fill="062B48"/>
          </w:tcPr>
          <w:p>
            <w:pPr>
              <w:spacing w:after="0"/>
              <w:rPr>
                <w:sz w:val="13"/>
                <w:szCs w:val="13"/>
                <w:color w:val="auto"/>
              </w:rPr>
            </w:pPr>
          </w:p>
        </w:tc>
        <w:tc>
          <w:tcPr>
            <w:tcW w:w="660" w:type="dxa"/>
            <w:vAlign w:val="bottom"/>
            <w:shd w:val="clear" w:color="auto" w:fill="062B48"/>
          </w:tcPr>
          <w:p>
            <w:pPr>
              <w:jc w:val="center"/>
              <w:ind w:right="29"/>
              <w:spacing w:after="0" w:line="151" w:lineRule="exact"/>
              <w:rPr>
                <w:sz w:val="20"/>
                <w:szCs w:val="20"/>
                <w:color w:val="auto"/>
              </w:rPr>
            </w:pPr>
            <w:r>
              <w:rPr>
                <w:rFonts w:ascii="Arial" w:cs="Arial" w:eastAsia="Arial" w:hAnsi="Arial"/>
                <w:sz w:val="14"/>
                <w:szCs w:val="14"/>
                <w:b w:val="1"/>
                <w:bCs w:val="1"/>
                <w:color w:val="FFFFFF"/>
              </w:rPr>
              <w:t>Average</w:t>
            </w:r>
          </w:p>
        </w:tc>
        <w:tc>
          <w:tcPr>
            <w:tcW w:w="140" w:type="dxa"/>
            <w:vAlign w:val="bottom"/>
            <w:tcBorders>
              <w:left w:val="single" w:sz="8" w:color="062B48"/>
            </w:tcBorders>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60" w:type="dxa"/>
            <w:vAlign w:val="bottom"/>
            <w:shd w:val="clear" w:color="auto" w:fill="062B48"/>
          </w:tcPr>
          <w:p>
            <w:pPr>
              <w:jc w:val="center"/>
              <w:ind w:right="29"/>
              <w:spacing w:after="0" w:line="151" w:lineRule="exact"/>
              <w:rPr>
                <w:sz w:val="20"/>
                <w:szCs w:val="20"/>
                <w:color w:val="auto"/>
              </w:rPr>
            </w:pPr>
            <w:r>
              <w:rPr>
                <w:rFonts w:ascii="Arial" w:cs="Arial" w:eastAsia="Arial" w:hAnsi="Arial"/>
                <w:sz w:val="14"/>
                <w:szCs w:val="14"/>
                <w:b w:val="1"/>
                <w:bCs w:val="1"/>
                <w:color w:val="FFFFFF"/>
              </w:rPr>
              <w:t>Ms.</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80" w:type="dxa"/>
            <w:vAlign w:val="bottom"/>
            <w:gridSpan w:val="2"/>
            <w:shd w:val="clear" w:color="auto" w:fill="062B48"/>
          </w:tcPr>
          <w:p>
            <w:pPr>
              <w:jc w:val="center"/>
              <w:spacing w:after="0" w:line="151" w:lineRule="exact"/>
              <w:rPr>
                <w:sz w:val="20"/>
                <w:szCs w:val="20"/>
                <w:color w:val="auto"/>
              </w:rPr>
            </w:pPr>
            <w:r>
              <w:rPr>
                <w:rFonts w:ascii="Arial" w:cs="Arial" w:eastAsia="Arial" w:hAnsi="Arial"/>
                <w:sz w:val="14"/>
                <w:szCs w:val="14"/>
                <w:b w:val="1"/>
                <w:bCs w:val="1"/>
                <w:color w:val="FFFFFF"/>
              </w:rPr>
              <w:t>Average</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60" w:type="dxa"/>
            <w:vAlign w:val="bottom"/>
            <w:shd w:val="clear" w:color="auto" w:fill="062B48"/>
          </w:tcPr>
          <w:p>
            <w:pPr>
              <w:jc w:val="center"/>
              <w:ind w:right="29"/>
              <w:spacing w:after="0" w:line="151" w:lineRule="exact"/>
              <w:rPr>
                <w:sz w:val="20"/>
                <w:szCs w:val="20"/>
                <w:color w:val="auto"/>
              </w:rPr>
            </w:pPr>
            <w:r>
              <w:rPr>
                <w:rFonts w:ascii="Arial" w:cs="Arial" w:eastAsia="Arial" w:hAnsi="Arial"/>
                <w:sz w:val="14"/>
                <w:szCs w:val="14"/>
                <w:b w:val="1"/>
                <w:bCs w:val="1"/>
                <w:color w:val="FFFFFF"/>
              </w:rPr>
              <w:t>Ms.</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80" w:type="dxa"/>
            <w:vAlign w:val="bottom"/>
            <w:gridSpan w:val="2"/>
            <w:shd w:val="clear" w:color="auto" w:fill="062B48"/>
          </w:tcPr>
          <w:p>
            <w:pPr>
              <w:jc w:val="center"/>
              <w:spacing w:after="0" w:line="151" w:lineRule="exact"/>
              <w:rPr>
                <w:sz w:val="20"/>
                <w:szCs w:val="20"/>
                <w:color w:val="auto"/>
              </w:rPr>
            </w:pPr>
            <w:r>
              <w:rPr>
                <w:rFonts w:ascii="Arial" w:cs="Arial" w:eastAsia="Arial" w:hAnsi="Arial"/>
                <w:sz w:val="14"/>
                <w:szCs w:val="14"/>
                <w:b w:val="1"/>
                <w:bCs w:val="1"/>
                <w:color w:val="FFFFFF"/>
              </w:rPr>
              <w:t>Average</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60" w:type="dxa"/>
            <w:vAlign w:val="bottom"/>
            <w:shd w:val="clear" w:color="auto" w:fill="062B48"/>
          </w:tcPr>
          <w:p>
            <w:pPr>
              <w:jc w:val="center"/>
              <w:ind w:right="29"/>
              <w:spacing w:after="0" w:line="151" w:lineRule="exact"/>
              <w:rPr>
                <w:sz w:val="20"/>
                <w:szCs w:val="20"/>
                <w:color w:val="auto"/>
              </w:rPr>
            </w:pPr>
            <w:r>
              <w:rPr>
                <w:rFonts w:ascii="Arial" w:cs="Arial" w:eastAsia="Arial" w:hAnsi="Arial"/>
                <w:sz w:val="14"/>
                <w:szCs w:val="14"/>
                <w:b w:val="1"/>
                <w:bCs w:val="1"/>
                <w:color w:val="FFFFFF"/>
              </w:rPr>
              <w:t>Ms.</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80" w:type="dxa"/>
            <w:vAlign w:val="bottom"/>
            <w:gridSpan w:val="2"/>
            <w:shd w:val="clear" w:color="auto" w:fill="062B48"/>
          </w:tcPr>
          <w:p>
            <w:pPr>
              <w:jc w:val="center"/>
              <w:spacing w:after="0" w:line="151" w:lineRule="exact"/>
              <w:rPr>
                <w:sz w:val="20"/>
                <w:szCs w:val="20"/>
                <w:color w:val="auto"/>
              </w:rPr>
            </w:pPr>
            <w:r>
              <w:rPr>
                <w:rFonts w:ascii="Arial" w:cs="Arial" w:eastAsia="Arial" w:hAnsi="Arial"/>
                <w:sz w:val="14"/>
                <w:szCs w:val="14"/>
                <w:b w:val="1"/>
                <w:bCs w:val="1"/>
                <w:color w:val="FFFFFF"/>
              </w:rPr>
              <w:t>Average</w:t>
            </w:r>
          </w:p>
        </w:tc>
        <w:tc>
          <w:tcPr>
            <w:tcW w:w="100" w:type="dxa"/>
            <w:vAlign w:val="bottom"/>
            <w:shd w:val="clear" w:color="auto" w:fill="062B4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6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76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Lorenson</w:t>
            </w:r>
          </w:p>
        </w:tc>
        <w:tc>
          <w:tcPr>
            <w:tcW w:w="100" w:type="dxa"/>
            <w:vAlign w:val="bottom"/>
            <w:shd w:val="clear" w:color="auto" w:fill="062B48"/>
          </w:tcPr>
          <w:p>
            <w:pPr>
              <w:spacing w:after="0"/>
              <w:rPr>
                <w:sz w:val="13"/>
                <w:szCs w:val="13"/>
                <w:color w:val="auto"/>
              </w:rPr>
            </w:pPr>
          </w:p>
        </w:tc>
        <w:tc>
          <w:tcPr>
            <w:tcW w:w="120" w:type="dxa"/>
            <w:vAlign w:val="bottom"/>
            <w:shd w:val="clear" w:color="auto" w:fill="062B48"/>
          </w:tcPr>
          <w:p>
            <w:pPr>
              <w:spacing w:after="0"/>
              <w:rPr>
                <w:sz w:val="13"/>
                <w:szCs w:val="13"/>
                <w:color w:val="auto"/>
              </w:rPr>
            </w:pPr>
          </w:p>
        </w:tc>
        <w:tc>
          <w:tcPr>
            <w:tcW w:w="74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Non-PEO</w:t>
            </w:r>
          </w:p>
        </w:tc>
        <w:tc>
          <w:tcPr>
            <w:tcW w:w="140" w:type="dxa"/>
            <w:vAlign w:val="bottom"/>
            <w:tcBorders>
              <w:left w:val="single" w:sz="8" w:color="062B48"/>
            </w:tcBorders>
            <w:shd w:val="clear" w:color="auto" w:fill="062B48"/>
          </w:tcPr>
          <w:p>
            <w:pPr>
              <w:spacing w:after="0"/>
              <w:rPr>
                <w:sz w:val="13"/>
                <w:szCs w:val="13"/>
                <w:color w:val="auto"/>
              </w:rPr>
            </w:pPr>
          </w:p>
        </w:tc>
        <w:tc>
          <w:tcPr>
            <w:tcW w:w="76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Lorenson</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8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Non-PEO</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76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Lorenson</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8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Non-PEO</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76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Lorenson</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680" w:type="dxa"/>
            <w:vAlign w:val="bottom"/>
            <w:gridSpan w:val="2"/>
            <w:shd w:val="clear" w:color="auto" w:fill="062B48"/>
          </w:tcPr>
          <w:p>
            <w:pPr>
              <w:jc w:val="center"/>
              <w:spacing w:after="0"/>
              <w:rPr>
                <w:sz w:val="20"/>
                <w:szCs w:val="20"/>
                <w:color w:val="auto"/>
              </w:rPr>
            </w:pPr>
            <w:r>
              <w:rPr>
                <w:rFonts w:ascii="Arial" w:cs="Arial" w:eastAsia="Arial" w:hAnsi="Arial"/>
                <w:sz w:val="14"/>
                <w:szCs w:val="14"/>
                <w:b w:val="1"/>
                <w:bCs w:val="1"/>
                <w:color w:val="FFFFFF"/>
              </w:rPr>
              <w:t>Non-PEO</w:t>
            </w:r>
          </w:p>
        </w:tc>
        <w:tc>
          <w:tcPr>
            <w:tcW w:w="100" w:type="dxa"/>
            <w:vAlign w:val="bottom"/>
            <w:shd w:val="clear" w:color="auto" w:fill="062B48"/>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660" w:type="dxa"/>
            <w:vAlign w:val="bottom"/>
            <w:shd w:val="clear" w:color="auto" w:fill="062B48"/>
          </w:tcPr>
          <w:p>
            <w:pPr>
              <w:jc w:val="center"/>
              <w:ind w:right="9"/>
              <w:spacing w:after="0"/>
              <w:rPr>
                <w:sz w:val="20"/>
                <w:szCs w:val="20"/>
                <w:color w:val="auto"/>
              </w:rPr>
            </w:pPr>
            <w:r>
              <w:rPr>
                <w:rFonts w:ascii="Arial" w:cs="Arial" w:eastAsia="Arial" w:hAnsi="Arial"/>
                <w:sz w:val="14"/>
                <w:szCs w:val="14"/>
                <w:b w:val="1"/>
                <w:bCs w:val="1"/>
                <w:color w:val="FFFFFF"/>
              </w:rPr>
              <w:t>PEO</w:t>
            </w:r>
          </w:p>
        </w:tc>
        <w:tc>
          <w:tcPr>
            <w:tcW w:w="1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80" w:type="dxa"/>
            <w:vAlign w:val="bottom"/>
            <w:shd w:val="clear" w:color="auto" w:fill="062B48"/>
          </w:tcPr>
          <w:p>
            <w:pPr>
              <w:spacing w:after="0"/>
              <w:rPr>
                <w:sz w:val="15"/>
                <w:szCs w:val="15"/>
                <w:color w:val="auto"/>
              </w:rPr>
            </w:pPr>
          </w:p>
        </w:tc>
        <w:tc>
          <w:tcPr>
            <w:tcW w:w="660" w:type="dxa"/>
            <w:vAlign w:val="bottom"/>
            <w:shd w:val="clear" w:color="auto" w:fill="062B48"/>
          </w:tcPr>
          <w:p>
            <w:pPr>
              <w:jc w:val="center"/>
              <w:ind w:right="9"/>
              <w:spacing w:after="0"/>
              <w:rPr>
                <w:sz w:val="20"/>
                <w:szCs w:val="20"/>
                <w:color w:val="auto"/>
              </w:rPr>
            </w:pPr>
            <w:r>
              <w:rPr>
                <w:rFonts w:ascii="Arial" w:cs="Arial" w:eastAsia="Arial" w:hAnsi="Arial"/>
                <w:sz w:val="14"/>
                <w:szCs w:val="14"/>
                <w:b w:val="1"/>
                <w:bCs w:val="1"/>
                <w:color w:val="FFFFFF"/>
                <w:w w:val="99"/>
              </w:rPr>
              <w:t>NEOs</w:t>
            </w:r>
          </w:p>
        </w:tc>
        <w:tc>
          <w:tcPr>
            <w:tcW w:w="140" w:type="dxa"/>
            <w:vAlign w:val="bottom"/>
            <w:tcBorders>
              <w:left w:val="single" w:sz="8" w:color="062B48"/>
            </w:tcBorders>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660" w:type="dxa"/>
            <w:vAlign w:val="bottom"/>
            <w:shd w:val="clear" w:color="auto" w:fill="062B48"/>
          </w:tcPr>
          <w:p>
            <w:pPr>
              <w:jc w:val="center"/>
              <w:ind w:right="49"/>
              <w:spacing w:after="0"/>
              <w:rPr>
                <w:sz w:val="20"/>
                <w:szCs w:val="20"/>
                <w:color w:val="auto"/>
              </w:rPr>
            </w:pPr>
            <w:r>
              <w:rPr>
                <w:rFonts w:ascii="Arial" w:cs="Arial" w:eastAsia="Arial" w:hAnsi="Arial"/>
                <w:sz w:val="14"/>
                <w:szCs w:val="14"/>
                <w:b w:val="1"/>
                <w:bCs w:val="1"/>
                <w:color w:val="FFFFFF"/>
              </w:rPr>
              <w:t>PEO</w:t>
            </w: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560" w:type="dxa"/>
            <w:vAlign w:val="bottom"/>
            <w:shd w:val="clear" w:color="auto" w:fill="062B48"/>
          </w:tcPr>
          <w:p>
            <w:pPr>
              <w:jc w:val="center"/>
              <w:ind w:right="49"/>
              <w:spacing w:after="0"/>
              <w:rPr>
                <w:sz w:val="20"/>
                <w:szCs w:val="20"/>
                <w:color w:val="auto"/>
              </w:rPr>
            </w:pPr>
            <w:r>
              <w:rPr>
                <w:rFonts w:ascii="Arial" w:cs="Arial" w:eastAsia="Arial" w:hAnsi="Arial"/>
                <w:sz w:val="14"/>
                <w:szCs w:val="14"/>
                <w:b w:val="1"/>
                <w:bCs w:val="1"/>
                <w:color w:val="FFFFFF"/>
              </w:rPr>
              <w:t>NEOs</w:t>
            </w: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660" w:type="dxa"/>
            <w:vAlign w:val="bottom"/>
            <w:shd w:val="clear" w:color="auto" w:fill="062B48"/>
          </w:tcPr>
          <w:p>
            <w:pPr>
              <w:jc w:val="center"/>
              <w:ind w:right="49"/>
              <w:spacing w:after="0"/>
              <w:rPr>
                <w:sz w:val="20"/>
                <w:szCs w:val="20"/>
                <w:color w:val="auto"/>
              </w:rPr>
            </w:pPr>
            <w:r>
              <w:rPr>
                <w:rFonts w:ascii="Arial" w:cs="Arial" w:eastAsia="Arial" w:hAnsi="Arial"/>
                <w:sz w:val="14"/>
                <w:szCs w:val="14"/>
                <w:b w:val="1"/>
                <w:bCs w:val="1"/>
                <w:color w:val="FFFFFF"/>
              </w:rPr>
              <w:t>PEO</w:t>
            </w: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560" w:type="dxa"/>
            <w:vAlign w:val="bottom"/>
            <w:shd w:val="clear" w:color="auto" w:fill="062B48"/>
          </w:tcPr>
          <w:p>
            <w:pPr>
              <w:jc w:val="center"/>
              <w:ind w:right="49"/>
              <w:spacing w:after="0"/>
              <w:rPr>
                <w:sz w:val="20"/>
                <w:szCs w:val="20"/>
                <w:color w:val="auto"/>
              </w:rPr>
            </w:pPr>
            <w:r>
              <w:rPr>
                <w:rFonts w:ascii="Arial" w:cs="Arial" w:eastAsia="Arial" w:hAnsi="Arial"/>
                <w:sz w:val="14"/>
                <w:szCs w:val="14"/>
                <w:b w:val="1"/>
                <w:bCs w:val="1"/>
                <w:color w:val="FFFFFF"/>
              </w:rPr>
              <w:t>NEOs</w:t>
            </w: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660" w:type="dxa"/>
            <w:vAlign w:val="bottom"/>
            <w:shd w:val="clear" w:color="auto" w:fill="062B48"/>
          </w:tcPr>
          <w:p>
            <w:pPr>
              <w:jc w:val="center"/>
              <w:ind w:right="9"/>
              <w:spacing w:after="0"/>
              <w:rPr>
                <w:sz w:val="20"/>
                <w:szCs w:val="20"/>
                <w:color w:val="auto"/>
              </w:rPr>
            </w:pPr>
            <w:r>
              <w:rPr>
                <w:rFonts w:ascii="Arial" w:cs="Arial" w:eastAsia="Arial" w:hAnsi="Arial"/>
                <w:sz w:val="14"/>
                <w:szCs w:val="14"/>
                <w:b w:val="1"/>
                <w:bCs w:val="1"/>
                <w:color w:val="FFFFFF"/>
              </w:rPr>
              <w:t>PEO</w:t>
            </w:r>
          </w:p>
        </w:tc>
        <w:tc>
          <w:tcPr>
            <w:tcW w:w="100" w:type="dxa"/>
            <w:vAlign w:val="bottom"/>
            <w:shd w:val="clear" w:color="auto" w:fill="062B48"/>
          </w:tcPr>
          <w:p>
            <w:pPr>
              <w:spacing w:after="0"/>
              <w:rPr>
                <w:sz w:val="15"/>
                <w:szCs w:val="15"/>
                <w:color w:val="auto"/>
              </w:rPr>
            </w:pPr>
          </w:p>
        </w:tc>
        <w:tc>
          <w:tcPr>
            <w:tcW w:w="100" w:type="dxa"/>
            <w:vAlign w:val="bottom"/>
            <w:shd w:val="clear" w:color="auto" w:fill="062B48"/>
          </w:tcPr>
          <w:p>
            <w:pPr>
              <w:spacing w:after="0"/>
              <w:rPr>
                <w:sz w:val="15"/>
                <w:szCs w:val="15"/>
                <w:color w:val="auto"/>
              </w:rPr>
            </w:pPr>
          </w:p>
        </w:tc>
        <w:tc>
          <w:tcPr>
            <w:tcW w:w="120" w:type="dxa"/>
            <w:vAlign w:val="bottom"/>
            <w:shd w:val="clear" w:color="auto" w:fill="062B48"/>
          </w:tcPr>
          <w:p>
            <w:pPr>
              <w:spacing w:after="0"/>
              <w:rPr>
                <w:sz w:val="15"/>
                <w:szCs w:val="15"/>
                <w:color w:val="auto"/>
              </w:rPr>
            </w:pPr>
          </w:p>
        </w:tc>
        <w:tc>
          <w:tcPr>
            <w:tcW w:w="560" w:type="dxa"/>
            <w:vAlign w:val="bottom"/>
            <w:shd w:val="clear" w:color="auto" w:fill="062B48"/>
          </w:tcPr>
          <w:p>
            <w:pPr>
              <w:jc w:val="center"/>
              <w:ind w:right="49"/>
              <w:spacing w:after="0"/>
              <w:rPr>
                <w:sz w:val="20"/>
                <w:szCs w:val="20"/>
                <w:color w:val="auto"/>
              </w:rPr>
            </w:pPr>
            <w:r>
              <w:rPr>
                <w:rFonts w:ascii="Arial" w:cs="Arial" w:eastAsia="Arial" w:hAnsi="Arial"/>
                <w:sz w:val="14"/>
                <w:szCs w:val="14"/>
                <w:b w:val="1"/>
                <w:bCs w:val="1"/>
                <w:color w:val="FFFFFF"/>
              </w:rPr>
              <w:t>NEOs</w:t>
            </w:r>
          </w:p>
        </w:tc>
        <w:tc>
          <w:tcPr>
            <w:tcW w:w="100" w:type="dxa"/>
            <w:vAlign w:val="bottom"/>
            <w:shd w:val="clear" w:color="auto" w:fill="062B48"/>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3860" w:type="dxa"/>
            <w:vAlign w:val="bottom"/>
            <w:shd w:val="clear" w:color="auto" w:fill="062B48"/>
          </w:tcPr>
          <w:p>
            <w:pPr>
              <w:spacing w:after="0"/>
              <w:rPr>
                <w:sz w:val="20"/>
                <w:szCs w:val="20"/>
                <w:color w:val="auto"/>
              </w:rPr>
            </w:pPr>
            <w:r>
              <w:rPr>
                <w:rFonts w:ascii="Arial" w:cs="Arial" w:eastAsia="Arial" w:hAnsi="Arial"/>
                <w:sz w:val="14"/>
                <w:szCs w:val="14"/>
                <w:b w:val="1"/>
                <w:bCs w:val="1"/>
                <w:color w:val="FFFFFF"/>
              </w:rPr>
              <w:t>Summary Compensation Table Total</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w w:val="76"/>
                <w:shd w:val="clear" w:color="auto" w:fill="062B48"/>
              </w:rPr>
              <w:t>$</w:t>
            </w:r>
          </w:p>
        </w:tc>
        <w:tc>
          <w:tcPr>
            <w:tcW w:w="6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shd w:val="clear" w:color="auto" w:fill="062B48"/>
              </w:rPr>
              <w:t>1,630,180</w:t>
            </w:r>
          </w:p>
        </w:tc>
        <w:tc>
          <w:tcPr>
            <w:tcW w:w="100" w:type="dxa"/>
            <w:vAlign w:val="bottom"/>
            <w:shd w:val="clear" w:color="auto" w:fill="062B48"/>
          </w:tcPr>
          <w:p>
            <w:pPr>
              <w:spacing w:after="0"/>
              <w:rPr>
                <w:sz w:val="13"/>
                <w:szCs w:val="13"/>
                <w:color w:val="auto"/>
              </w:rPr>
            </w:pPr>
          </w:p>
        </w:tc>
        <w:tc>
          <w:tcPr>
            <w:tcW w:w="200" w:type="dxa"/>
            <w:vAlign w:val="bottom"/>
            <w:gridSpan w:val="2"/>
            <w:shd w:val="clear" w:color="auto" w:fill="062B48"/>
          </w:tcPr>
          <w:p>
            <w:pPr>
              <w:jc w:val="right"/>
              <w:spacing w:after="0"/>
              <w:rPr>
                <w:sz w:val="20"/>
                <w:szCs w:val="20"/>
                <w:color w:val="auto"/>
              </w:rPr>
            </w:pPr>
            <w:r>
              <w:rPr>
                <w:rFonts w:ascii="Arial" w:cs="Arial" w:eastAsia="Arial" w:hAnsi="Arial"/>
                <w:sz w:val="14"/>
                <w:szCs w:val="14"/>
                <w:b w:val="1"/>
                <w:bCs w:val="1"/>
                <w:color w:val="FFFFFF"/>
              </w:rPr>
              <w:t>$</w:t>
            </w:r>
          </w:p>
        </w:tc>
        <w:tc>
          <w:tcPr>
            <w:tcW w:w="6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rPr>
              <w:t>850,267</w:t>
            </w:r>
          </w:p>
        </w:tc>
        <w:tc>
          <w:tcPr>
            <w:tcW w:w="140" w:type="dxa"/>
            <w:vAlign w:val="bottom"/>
            <w:tcBorders>
              <w:left w:val="single" w:sz="8" w:color="062B48"/>
            </w:tcBorders>
            <w:shd w:val="clear" w:color="auto" w:fill="062B48"/>
          </w:tcPr>
          <w:p>
            <w:pPr>
              <w:spacing w:after="0"/>
              <w:rPr>
                <w:sz w:val="13"/>
                <w:szCs w:val="13"/>
                <w:color w:val="auto"/>
              </w:rPr>
            </w:pPr>
          </w:p>
        </w:tc>
        <w:tc>
          <w:tcPr>
            <w:tcW w:w="10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w w:val="76"/>
                <w:shd w:val="clear" w:color="auto" w:fill="062B48"/>
              </w:rPr>
              <w:t>$</w:t>
            </w:r>
          </w:p>
        </w:tc>
        <w:tc>
          <w:tcPr>
            <w:tcW w:w="6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shd w:val="clear" w:color="auto" w:fill="062B48"/>
              </w:rPr>
              <w:t>1,339,540</w:t>
            </w:r>
          </w:p>
        </w:tc>
        <w:tc>
          <w:tcPr>
            <w:tcW w:w="100" w:type="dxa"/>
            <w:vAlign w:val="bottom"/>
            <w:shd w:val="clear" w:color="auto" w:fill="062B48"/>
          </w:tcPr>
          <w:p>
            <w:pPr>
              <w:spacing w:after="0"/>
              <w:rPr>
                <w:sz w:val="13"/>
                <w:szCs w:val="13"/>
                <w:color w:val="auto"/>
              </w:rPr>
            </w:pPr>
          </w:p>
        </w:tc>
        <w:tc>
          <w:tcPr>
            <w:tcW w:w="220" w:type="dxa"/>
            <w:vAlign w:val="bottom"/>
            <w:gridSpan w:val="2"/>
            <w:shd w:val="clear" w:color="auto" w:fill="062B48"/>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rPr>
              <w:t>793,567</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w w:val="76"/>
                <w:shd w:val="clear" w:color="auto" w:fill="062B48"/>
              </w:rPr>
              <w:t>$</w:t>
            </w:r>
          </w:p>
        </w:tc>
        <w:tc>
          <w:tcPr>
            <w:tcW w:w="6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shd w:val="clear" w:color="auto" w:fill="062B48"/>
              </w:rPr>
              <w:t>1,093,405</w:t>
            </w:r>
          </w:p>
        </w:tc>
        <w:tc>
          <w:tcPr>
            <w:tcW w:w="100" w:type="dxa"/>
            <w:vAlign w:val="bottom"/>
            <w:shd w:val="clear" w:color="auto" w:fill="062B48"/>
          </w:tcPr>
          <w:p>
            <w:pPr>
              <w:spacing w:after="0"/>
              <w:rPr>
                <w:sz w:val="13"/>
                <w:szCs w:val="13"/>
                <w:color w:val="auto"/>
              </w:rPr>
            </w:pPr>
          </w:p>
        </w:tc>
        <w:tc>
          <w:tcPr>
            <w:tcW w:w="220" w:type="dxa"/>
            <w:vAlign w:val="bottom"/>
            <w:gridSpan w:val="2"/>
            <w:shd w:val="clear" w:color="auto" w:fill="062B48"/>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rPr>
              <w:t>676,702</w:t>
            </w: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spacing w:after="0"/>
              <w:rPr>
                <w:sz w:val="13"/>
                <w:szCs w:val="13"/>
                <w:color w:val="auto"/>
              </w:rPr>
            </w:pPr>
          </w:p>
        </w:tc>
        <w:tc>
          <w:tcPr>
            <w:tcW w:w="10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w w:val="76"/>
                <w:shd w:val="clear" w:color="auto" w:fill="062B48"/>
              </w:rPr>
              <w:t>$</w:t>
            </w:r>
          </w:p>
        </w:tc>
        <w:tc>
          <w:tcPr>
            <w:tcW w:w="6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shd w:val="clear" w:color="auto" w:fill="062B48"/>
              </w:rPr>
              <w:t>1,101,275</w:t>
            </w:r>
          </w:p>
        </w:tc>
        <w:tc>
          <w:tcPr>
            <w:tcW w:w="100" w:type="dxa"/>
            <w:vAlign w:val="bottom"/>
            <w:shd w:val="clear" w:color="auto" w:fill="062B48"/>
          </w:tcPr>
          <w:p>
            <w:pPr>
              <w:spacing w:after="0"/>
              <w:rPr>
                <w:sz w:val="13"/>
                <w:szCs w:val="13"/>
                <w:color w:val="auto"/>
              </w:rPr>
            </w:pPr>
          </w:p>
        </w:tc>
        <w:tc>
          <w:tcPr>
            <w:tcW w:w="220" w:type="dxa"/>
            <w:vAlign w:val="bottom"/>
            <w:gridSpan w:val="2"/>
            <w:shd w:val="clear" w:color="auto" w:fill="062B48"/>
          </w:tcPr>
          <w:p>
            <w:pPr>
              <w:jc w:val="right"/>
              <w:spacing w:after="0"/>
              <w:rPr>
                <w:sz w:val="20"/>
                <w:szCs w:val="20"/>
                <w:color w:val="auto"/>
              </w:rPr>
            </w:pPr>
            <w:r>
              <w:rPr>
                <w:rFonts w:ascii="Arial" w:cs="Arial" w:eastAsia="Arial" w:hAnsi="Arial"/>
                <w:sz w:val="14"/>
                <w:szCs w:val="14"/>
                <w:b w:val="1"/>
                <w:bCs w:val="1"/>
                <w:color w:val="FFFFFF"/>
              </w:rPr>
              <w:t>$</w:t>
            </w:r>
          </w:p>
        </w:tc>
        <w:tc>
          <w:tcPr>
            <w:tcW w:w="560" w:type="dxa"/>
            <w:vAlign w:val="bottom"/>
            <w:shd w:val="clear" w:color="auto" w:fill="062B48"/>
          </w:tcPr>
          <w:p>
            <w:pPr>
              <w:jc w:val="right"/>
              <w:spacing w:after="0"/>
              <w:rPr>
                <w:sz w:val="20"/>
                <w:szCs w:val="20"/>
                <w:color w:val="auto"/>
              </w:rPr>
            </w:pPr>
            <w:r>
              <w:rPr>
                <w:rFonts w:ascii="Arial" w:cs="Arial" w:eastAsia="Arial" w:hAnsi="Arial"/>
                <w:sz w:val="14"/>
                <w:szCs w:val="14"/>
                <w:b w:val="1"/>
                <w:bCs w:val="1"/>
                <w:color w:val="FFFFFF"/>
              </w:rPr>
              <w:t>600,941</w:t>
            </w:r>
          </w:p>
        </w:tc>
        <w:tc>
          <w:tcPr>
            <w:tcW w:w="100" w:type="dxa"/>
            <w:vAlign w:val="bottom"/>
            <w:shd w:val="clear" w:color="auto" w:fill="062B4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shd w:val="clear" w:color="auto" w:fill="062B48"/>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20" w:type="dxa"/>
            <w:vAlign w:val="bottom"/>
            <w:shd w:val="clear" w:color="auto" w:fill="062B4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left w:val="single" w:sz="8" w:color="062B48"/>
            </w:tcBorders>
            <w:shd w:val="clear" w:color="auto" w:fill="062B4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062B4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4"/>
                <w:szCs w:val="14"/>
                <w:i w:val="1"/>
                <w:iCs w:val="1"/>
                <w:color w:val="auto"/>
              </w:rPr>
              <w:t xml:space="preserve">Minus </w:t>
            </w:r>
            <w:r>
              <w:rPr>
                <w:rFonts w:ascii="Arial" w:cs="Arial" w:eastAsia="Arial" w:hAnsi="Arial"/>
                <w:sz w:val="14"/>
                <w:szCs w:val="14"/>
                <w:color w:val="auto"/>
              </w:rPr>
              <w:t>Change in Pension Value Reported in SCT for the</w:t>
            </w:r>
          </w:p>
        </w:tc>
        <w:tc>
          <w:tcPr>
            <w:tcW w:w="10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Fiscal Year</w:t>
            </w: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860" w:type="dxa"/>
            <w:vAlign w:val="bottom"/>
          </w:tcPr>
          <w:p>
            <w:pPr>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Pension Value Service Cost for the Fiscal Year</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4"/>
                <w:szCs w:val="14"/>
                <w:i w:val="1"/>
                <w:iCs w:val="1"/>
                <w:color w:val="auto"/>
              </w:rPr>
              <w:t xml:space="preserve">Minus </w:t>
            </w:r>
            <w:r>
              <w:rPr>
                <w:rFonts w:ascii="Arial" w:cs="Arial" w:eastAsia="Arial" w:hAnsi="Arial"/>
                <w:sz w:val="14"/>
                <w:szCs w:val="14"/>
                <w:color w:val="auto"/>
              </w:rPr>
              <w:t>Equity Award Value Reported in SCT for the Fiscal</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437,500</w:t>
            </w: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166,500</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360,000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198,050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275,000</w:t>
            </w:r>
          </w:p>
        </w:tc>
        <w:tc>
          <w:tcPr>
            <w:tcW w:w="100" w:type="dxa"/>
            <w:vAlign w:val="bottom"/>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119,250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275,000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102,400</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Year</w:t>
            </w: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Year End Fair Value of Equity Awards Granted During</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20"/>
                <w:szCs w:val="20"/>
                <w:color w:val="auto"/>
              </w:rPr>
            </w:pPr>
            <w:r>
              <w:rPr>
                <w:rFonts w:ascii="Arial" w:cs="Arial" w:eastAsia="Arial" w:hAnsi="Arial"/>
                <w:sz w:val="14"/>
                <w:szCs w:val="14"/>
                <w:color w:val="auto"/>
              </w:rPr>
              <w:t>the Covered Year that Remain Outstanding and Unvested as</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643,433</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244,871</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361,870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194,902</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128,936</w:t>
            </w:r>
          </w:p>
        </w:tc>
        <w:tc>
          <w:tcPr>
            <w:tcW w:w="100" w:type="dxa"/>
            <w:vAlign w:val="bottom"/>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53,812</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92,785</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34,535</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of Last Day of the Fiscal Year</w:t>
            </w: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Year over Year Change in Fair Value as of the Last Day</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20"/>
                <w:szCs w:val="20"/>
                <w:color w:val="auto"/>
              </w:rPr>
            </w:pPr>
            <w:r>
              <w:rPr>
                <w:rFonts w:ascii="Arial" w:cs="Arial" w:eastAsia="Arial" w:hAnsi="Arial"/>
                <w:sz w:val="14"/>
                <w:szCs w:val="14"/>
                <w:color w:val="auto"/>
              </w:rPr>
              <w:t>of the Fiscal Year of Outstanding and Unvested Equity</w:t>
            </w:r>
          </w:p>
        </w:tc>
        <w:tc>
          <w:tcPr>
            <w:tcW w:w="100" w:type="dxa"/>
            <w:vAlign w:val="bottom"/>
            <w:vMerge w:val="restart"/>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261,538</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99,803</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113,231</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27,364</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(1,791)</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(1,791)</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(59,442)</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(56,005)</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Awards Granted in Prior Fiscal Years</w:t>
            </w: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Fair Value as of Vesting Date of Equity Awards Granted</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860" w:type="dxa"/>
            <w:vAlign w:val="bottom"/>
            <w:vMerge w:val="continue"/>
          </w:tcPr>
          <w:p>
            <w:pPr>
              <w:spacing w:after="0"/>
              <w:rPr>
                <w:sz w:val="12"/>
                <w:szCs w:val="12"/>
                <w:color w:val="auto"/>
              </w:rPr>
            </w:pPr>
          </w:p>
        </w:tc>
        <w:tc>
          <w:tcPr>
            <w:tcW w:w="100" w:type="dxa"/>
            <w:vAlign w:val="bottom"/>
            <w:vMerge w:val="restart"/>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and Vested in the Fiscal Year</w:t>
            </w:r>
          </w:p>
        </w:tc>
        <w:tc>
          <w:tcPr>
            <w:tcW w:w="1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Year over Year Change in Fair Value as of the Vesting</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20"/>
                <w:szCs w:val="20"/>
                <w:color w:val="auto"/>
              </w:rPr>
            </w:pPr>
            <w:r>
              <w:rPr>
                <w:rFonts w:ascii="Arial" w:cs="Arial" w:eastAsia="Arial" w:hAnsi="Arial"/>
                <w:sz w:val="14"/>
                <w:szCs w:val="14"/>
                <w:color w:val="auto"/>
              </w:rPr>
              <w:t>Date of Equity Awards Granted in Prior Fiscal Years that</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8,025</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11,903</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2,195</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(2,600)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(20,753)</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(9,459)</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2,241</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Vested During the Fiscal Year</w:t>
            </w: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4"/>
                <w:szCs w:val="14"/>
                <w:i w:val="1"/>
                <w:iCs w:val="1"/>
                <w:color w:val="auto"/>
              </w:rPr>
              <w:t xml:space="preserve">Minus </w:t>
            </w:r>
            <w:r>
              <w:rPr>
                <w:rFonts w:ascii="Arial" w:cs="Arial" w:eastAsia="Arial" w:hAnsi="Arial"/>
                <w:sz w:val="14"/>
                <w:szCs w:val="14"/>
                <w:color w:val="auto"/>
              </w:rPr>
              <w:t>Fair Value at the End of the Prior Year of Equity</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20"/>
                <w:szCs w:val="20"/>
                <w:color w:val="auto"/>
              </w:rPr>
            </w:pPr>
            <w:r>
              <w:rPr>
                <w:rFonts w:ascii="Arial" w:cs="Arial" w:eastAsia="Arial" w:hAnsi="Arial"/>
                <w:sz w:val="14"/>
                <w:szCs w:val="14"/>
                <w:color w:val="auto"/>
              </w:rPr>
              <w:t>Awards that Failed to Meet Vesting Conditions in the Fiscal</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Year</w:t>
            </w: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line="144" w:lineRule="exact"/>
              <w:rPr>
                <w:sz w:val="20"/>
                <w:szCs w:val="20"/>
                <w:color w:val="auto"/>
              </w:rPr>
            </w:pPr>
            <w:r>
              <w:rPr>
                <w:rFonts w:ascii="Arial" w:cs="Arial" w:eastAsia="Arial" w:hAnsi="Arial"/>
                <w:sz w:val="14"/>
                <w:szCs w:val="14"/>
                <w:i w:val="1"/>
                <w:iCs w:val="1"/>
                <w:color w:val="auto"/>
              </w:rPr>
              <w:t xml:space="preserve">Plus </w:t>
            </w:r>
            <w:r>
              <w:rPr>
                <w:rFonts w:ascii="Arial" w:cs="Arial" w:eastAsia="Arial" w:hAnsi="Arial"/>
                <w:sz w:val="14"/>
                <w:szCs w:val="14"/>
                <w:color w:val="auto"/>
              </w:rPr>
              <w:t>Value of Dividends or other Earnings Paid on Equity</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860" w:type="dxa"/>
            <w:vAlign w:val="bottom"/>
          </w:tcPr>
          <w:p>
            <w:pPr>
              <w:spacing w:after="0"/>
              <w:rPr>
                <w:sz w:val="20"/>
                <w:szCs w:val="20"/>
                <w:color w:val="auto"/>
              </w:rPr>
            </w:pPr>
            <w:r>
              <w:rPr>
                <w:rFonts w:ascii="Arial" w:cs="Arial" w:eastAsia="Arial" w:hAnsi="Arial"/>
                <w:sz w:val="14"/>
                <w:szCs w:val="14"/>
                <w:color w:val="auto"/>
              </w:rPr>
              <w:t>Awards Not Otherwise Reflected in Fair Value or Total</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w:t>
            </w:r>
          </w:p>
        </w:tc>
        <w:tc>
          <w:tcPr>
            <w:tcW w:w="100" w:type="dxa"/>
            <w:vAlign w:val="bottom"/>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56"/>
        </w:trPr>
        <w:tc>
          <w:tcPr>
            <w:tcW w:w="3860" w:type="dxa"/>
            <w:vAlign w:val="bottom"/>
          </w:tcPr>
          <w:p>
            <w:pPr>
              <w:spacing w:after="0" w:line="156" w:lineRule="exact"/>
              <w:rPr>
                <w:sz w:val="20"/>
                <w:szCs w:val="20"/>
                <w:color w:val="auto"/>
              </w:rPr>
            </w:pPr>
            <w:r>
              <w:rPr>
                <w:rFonts w:ascii="Arial" w:cs="Arial" w:eastAsia="Arial" w:hAnsi="Arial"/>
                <w:sz w:val="14"/>
                <w:szCs w:val="14"/>
                <w:color w:val="auto"/>
              </w:rPr>
              <w:t>Compensation for the Fiscal Year</w:t>
            </w: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860" w:type="dxa"/>
            <w:vAlign w:val="bottom"/>
          </w:tcPr>
          <w:p>
            <w:pPr>
              <w:spacing w:after="0" w:line="153" w:lineRule="exact"/>
              <w:rPr>
                <w:sz w:val="20"/>
                <w:szCs w:val="20"/>
                <w:color w:val="auto"/>
              </w:rPr>
            </w:pPr>
            <w:r>
              <w:rPr>
                <w:rFonts w:ascii="Arial" w:cs="Arial" w:eastAsia="Arial" w:hAnsi="Arial"/>
                <w:sz w:val="14"/>
                <w:szCs w:val="14"/>
                <w:b w:val="1"/>
                <w:bCs w:val="1"/>
                <w:color w:val="auto"/>
              </w:rPr>
              <w:t>Compensation Actually Paid</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2,105,676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1,040,344</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1,456,837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815,184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924,797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600,014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861,859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color w:val="auto"/>
              </w:rPr>
              <w:t>479,218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2520950</wp:posOffset>
            </wp:positionH>
            <wp:positionV relativeFrom="paragraph">
              <wp:posOffset>-2820670</wp:posOffset>
            </wp:positionV>
            <wp:extent cx="454977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49775" cy="8255"/>
                    </a:xfrm>
                    <a:prstGeom prst="rect">
                      <a:avLst/>
                    </a:prstGeom>
                    <a:noFill/>
                  </pic:spPr>
                </pic:pic>
              </a:graphicData>
            </a:graphic>
          </wp:anchor>
        </w:drawing>
        <w:drawing>
          <wp:anchor simplePos="0" relativeHeight="251657728" behindDoc="1" locked="0" layoutInCell="0" allowOverlap="1">
            <wp:simplePos x="0" y="0"/>
            <wp:positionH relativeFrom="column">
              <wp:posOffset>2520950</wp:posOffset>
            </wp:positionH>
            <wp:positionV relativeFrom="paragraph">
              <wp:posOffset>-2506980</wp:posOffset>
            </wp:positionV>
            <wp:extent cx="45497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49775" cy="8255"/>
                    </a:xfrm>
                    <a:prstGeom prst="rect">
                      <a:avLst/>
                    </a:prstGeom>
                    <a:noFill/>
                  </pic:spPr>
                </pic:pic>
              </a:graphicData>
            </a:graphic>
          </wp:anchor>
        </w:drawing>
      </w:r>
    </w:p>
    <w:p>
      <w:pPr>
        <w:spacing w:after="0" w:line="179" w:lineRule="exact"/>
        <w:rPr>
          <w:sz w:val="20"/>
          <w:szCs w:val="20"/>
          <w:color w:val="auto"/>
        </w:rPr>
      </w:pPr>
    </w:p>
    <w:p>
      <w:pPr>
        <w:ind w:left="320" w:right="20"/>
        <w:spacing w:after="0" w:line="247" w:lineRule="auto"/>
        <w:rPr>
          <w:sz w:val="20"/>
          <w:szCs w:val="20"/>
          <w:color w:val="auto"/>
        </w:rPr>
      </w:pPr>
      <w:r>
        <w:rPr>
          <w:rFonts w:ascii="Arial" w:cs="Arial" w:eastAsia="Arial" w:hAnsi="Arial"/>
          <w:sz w:val="16"/>
          <w:szCs w:val="16"/>
          <w:color w:val="auto"/>
        </w:rPr>
        <w:t>In the table above, the unvested equity fair values were calculated on each of the required measurement dates using assumptions based on criteria consistent with those used for grant date fair value calculations and in accordance with the methodology used for financial reporting purposes. For time-based restricted stock units/awards, the fair value used to calculate CAP was based on the Company’s closing stock price on each valuation date and includes the cash value of accrued dividends. For performance-based units/stock, the fair value used to calculate CAP assumes performance results as of the end of each reporting year based on the probable outcome and includes the cash value of accrued dividends.</w:t>
      </w:r>
    </w:p>
    <w:p>
      <w:pPr>
        <w:spacing w:after="0" w:line="1" w:lineRule="exact"/>
        <w:rPr>
          <w:sz w:val="20"/>
          <w:szCs w:val="20"/>
          <w:color w:val="auto"/>
        </w:rPr>
      </w:pPr>
    </w:p>
    <w:p>
      <w:pPr>
        <w:ind w:left="320" w:right="100" w:hanging="313"/>
        <w:spacing w:after="0" w:line="210" w:lineRule="auto"/>
        <w:tabs>
          <w:tab w:leader="none" w:pos="32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Total Stockholder Return (“</w:t>
      </w:r>
      <w:r>
        <w:rPr>
          <w:rFonts w:ascii="Arial" w:cs="Arial" w:eastAsia="Arial" w:hAnsi="Arial"/>
          <w:sz w:val="16"/>
          <w:szCs w:val="16"/>
          <w:b w:val="1"/>
          <w:bCs w:val="1"/>
          <w:color w:val="auto"/>
        </w:rPr>
        <w:t>TSR</w:t>
      </w:r>
      <w:r>
        <w:rPr>
          <w:rFonts w:ascii="Arial" w:cs="Arial" w:eastAsia="Arial" w:hAnsi="Arial"/>
          <w:sz w:val="16"/>
          <w:szCs w:val="16"/>
          <w:color w:val="auto"/>
        </w:rPr>
        <w:t>”) is cumulative for the measurement periods beginning on December 31, 2021 and ending on December 31 of each of 2022, 2023, 2024, and 2025, respectively. TSR is calculated by dividing the difference between the price of the Company’s common stock at the end and the beginning of the measurement period by the price of the Company’s common stock at the beginning of the measurement period, adjusted for dividends.</w:t>
      </w:r>
    </w:p>
    <w:p>
      <w:pPr>
        <w:spacing w:after="0" w:line="45" w:lineRule="exact"/>
        <w:rPr>
          <w:rFonts w:ascii="Arial" w:cs="Arial" w:eastAsia="Arial" w:hAnsi="Arial"/>
          <w:sz w:val="27"/>
          <w:szCs w:val="27"/>
          <w:color w:val="auto"/>
          <w:vertAlign w:val="superscript"/>
        </w:rPr>
      </w:pPr>
    </w:p>
    <w:p>
      <w:pPr>
        <w:ind w:left="320" w:right="20" w:hanging="313"/>
        <w:spacing w:after="0" w:line="206" w:lineRule="auto"/>
        <w:tabs>
          <w:tab w:leader="none" w:pos="32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Represents the weighted peer group TSR, weighted according to the respective companies’ stock market capitalization at the beginning of each period for which a return is indicated. Our peer group for these purposes is the S&amp;P U.S. Banks – Midwest Region Index, which is the industry index used by the Company for purposes of compliance with Item 201(e) of Regulation S-K for all four fiscal years.</w:t>
      </w:r>
    </w:p>
    <w:p>
      <w:pPr>
        <w:spacing w:after="0" w:line="44" w:lineRule="exact"/>
        <w:rPr>
          <w:rFonts w:ascii="Arial" w:cs="Arial" w:eastAsia="Arial" w:hAnsi="Arial"/>
          <w:sz w:val="27"/>
          <w:szCs w:val="27"/>
          <w:color w:val="auto"/>
          <w:vertAlign w:val="superscript"/>
        </w:rPr>
      </w:pPr>
    </w:p>
    <w:p>
      <w:pPr>
        <w:ind w:left="320" w:right="300" w:hanging="313"/>
        <w:spacing w:after="0" w:line="193" w:lineRule="auto"/>
        <w:tabs>
          <w:tab w:leader="none" w:pos="32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Reflects the Company’s net income (loss) reflected in the audited financial statements published in our Annual Report on Form 10-K for the applicable fiscal year.</w:t>
      </w:r>
    </w:p>
    <w:p>
      <w:pPr>
        <w:spacing w:after="0" w:line="42" w:lineRule="exact"/>
        <w:rPr>
          <w:rFonts w:ascii="Arial" w:cs="Arial" w:eastAsia="Arial" w:hAnsi="Arial"/>
          <w:sz w:val="27"/>
          <w:szCs w:val="27"/>
          <w:color w:val="auto"/>
          <w:vertAlign w:val="superscript"/>
        </w:rPr>
      </w:pPr>
    </w:p>
    <w:p>
      <w:pPr>
        <w:ind w:left="320" w:right="60" w:hanging="313"/>
        <w:spacing w:after="0" w:line="193" w:lineRule="auto"/>
        <w:tabs>
          <w:tab w:leader="none" w:pos="320" w:val="left"/>
        </w:tabs>
        <w:numPr>
          <w:ilvl w:val="0"/>
          <w:numId w:val="49"/>
        </w:numPr>
        <w:rPr>
          <w:rFonts w:ascii="Arial" w:cs="Arial" w:eastAsia="Arial" w:hAnsi="Arial"/>
          <w:sz w:val="27"/>
          <w:szCs w:val="27"/>
          <w:color w:val="auto"/>
          <w:vertAlign w:val="superscript"/>
        </w:rPr>
      </w:pPr>
      <w:r>
        <w:rPr>
          <w:rFonts w:ascii="Arial" w:cs="Arial" w:eastAsia="Arial" w:hAnsi="Arial"/>
          <w:sz w:val="16"/>
          <w:szCs w:val="16"/>
          <w:color w:val="auto"/>
        </w:rPr>
        <w:t>ROE is the company-selected measure and a non-GAAP financial performance measure, as described in more detail in the "Annual Bonus -- Short-Term Incentive Plan" section above.</w:t>
      </w:r>
    </w:p>
    <w:p>
      <w:pPr>
        <w:spacing w:after="0" w:line="200" w:lineRule="exact"/>
        <w:rPr>
          <w:sz w:val="20"/>
          <w:szCs w:val="20"/>
          <w:color w:val="auto"/>
        </w:rPr>
      </w:pPr>
    </w:p>
    <w:p>
      <w:pPr>
        <w:spacing w:after="0" w:line="29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b w:val="1"/>
          <w:bCs w:val="1"/>
          <w:color w:val="auto"/>
        </w:rPr>
        <w:t>Performance Measures Used to Link Company Performance and CAP</w:t>
      </w:r>
      <w:r>
        <w:rPr>
          <w:rFonts w:ascii="Arial" w:cs="Arial" w:eastAsia="Arial" w:hAnsi="Arial"/>
          <w:sz w:val="16"/>
          <w:szCs w:val="16"/>
          <w:color w:val="auto"/>
        </w:rPr>
        <w:t>. The following is a list of financial performance measures, which in our assessment</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the most important financial performance measures used by the Company to link CAP to the named executive officers for fiscal year 2025 to Company performance. Each metric below is used for purposes of determining payouts under either our annual incentive program or vesting of our performance stock units. Please see the Compensation Discussion &amp; Analysis for a further description of these metrics and how they are used in the Company’s executive compensation program.</w:t>
      </w:r>
    </w:p>
    <w:p>
      <w:pPr>
        <w:spacing w:after="0" w:line="182" w:lineRule="exact"/>
        <w:rPr>
          <w:sz w:val="20"/>
          <w:szCs w:val="20"/>
          <w:color w:val="auto"/>
        </w:rPr>
      </w:pPr>
    </w:p>
    <w:p>
      <w:pPr>
        <w:ind w:left="200" w:hanging="193"/>
        <w:spacing w:after="0"/>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Return on Equity (non-GAAP)</w:t>
      </w:r>
    </w:p>
    <w:p>
      <w:pPr>
        <w:spacing w:after="0" w:line="18" w:lineRule="exact"/>
        <w:rPr>
          <w:rFonts w:ascii="Arial" w:cs="Arial" w:eastAsia="Arial" w:hAnsi="Arial"/>
          <w:sz w:val="16"/>
          <w:szCs w:val="16"/>
          <w:color w:val="auto"/>
        </w:rPr>
      </w:pPr>
    </w:p>
    <w:p>
      <w:pPr>
        <w:ind w:left="200" w:hanging="193"/>
        <w:spacing w:after="0"/>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Adjusted Net Income (non-GAAP)</w:t>
      </w:r>
    </w:p>
    <w:p>
      <w:pPr>
        <w:spacing w:after="0" w:line="2" w:lineRule="exact"/>
        <w:rPr>
          <w:rFonts w:ascii="Arial" w:cs="Arial" w:eastAsia="Arial" w:hAnsi="Arial"/>
          <w:sz w:val="16"/>
          <w:szCs w:val="16"/>
          <w:color w:val="auto"/>
        </w:rPr>
      </w:pPr>
    </w:p>
    <w:p>
      <w:pPr>
        <w:ind w:left="200" w:hanging="193"/>
        <w:spacing w:after="0"/>
        <w:tabs>
          <w:tab w:leader="none" w:pos="2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593090" cy="1187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36</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39" w:name="page40"/>
    <w:bookmarkEnd w:id="39"/>
    <w:p>
      <w:pPr>
        <w:ind w:right="80"/>
        <w:spacing w:after="0" w:line="232" w:lineRule="auto"/>
        <w:rPr>
          <w:sz w:val="20"/>
          <w:szCs w:val="20"/>
          <w:color w:val="auto"/>
        </w:rPr>
      </w:pPr>
      <w:r>
        <w:rPr>
          <w:rFonts w:ascii="Calibri" w:cs="Calibri" w:eastAsia="Calibri" w:hAnsi="Calibri"/>
          <w:sz w:val="18"/>
          <w:szCs w:val="18"/>
          <w:b w:val="1"/>
          <w:bCs w:val="1"/>
          <w:color w:val="auto"/>
        </w:rPr>
        <w:t>Relatonship between CAP and TSR</w:t>
      </w:r>
      <w:r>
        <w:rPr>
          <w:rFonts w:ascii="Calibri" w:cs="Calibri" w:eastAsia="Calibri" w:hAnsi="Calibri"/>
          <w:sz w:val="18"/>
          <w:szCs w:val="18"/>
          <w:color w:val="auto"/>
        </w:rPr>
        <w:t>. The graph below illustrates the relatonship between our TSR and the Peer Group TSR, as well as the relatonship between</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our TSR and CAP for the PEO and average CAP for the Average Non-PEO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149860</wp:posOffset>
            </wp:positionV>
            <wp:extent cx="5930900" cy="36264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930900" cy="362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Relatonship between CAP and GAAP Net Income</w:t>
      </w:r>
      <w:r>
        <w:rPr>
          <w:rFonts w:ascii="Calibri" w:cs="Calibri" w:eastAsia="Calibri" w:hAnsi="Calibri"/>
          <w:sz w:val="16"/>
          <w:szCs w:val="16"/>
          <w:color w:val="auto"/>
        </w:rPr>
        <w:t>. The graph below refects the relatonship between the PEO and Average Non-PEO NEOs CAP and our GAAP Net Income.</w:t>
      </w:r>
    </w:p>
    <w:p>
      <w:pPr>
        <w:spacing w:after="0" w:line="5" w:lineRule="exact"/>
        <w:rPr>
          <w:sz w:val="20"/>
          <w:szCs w:val="20"/>
          <w:color w:val="auto"/>
        </w:rPr>
      </w:pPr>
    </w:p>
    <w:p>
      <w:pPr>
        <w:spacing w:after="0"/>
        <w:rPr>
          <w:sz w:val="20"/>
          <w:szCs w:val="20"/>
          <w:color w:val="auto"/>
        </w:rPr>
      </w:pPr>
      <w:r>
        <w:rPr>
          <w:rFonts w:ascii="Calibri" w:cs="Calibri" w:eastAsia="Calibri" w:hAnsi="Calibri"/>
          <w:sz w:val="16"/>
          <w:szCs w:val="16"/>
          <w:color w:val="auto"/>
        </w:rPr>
        <w:t>The Company does not use GAAP net income as a performance measure in its executve compensaton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271145</wp:posOffset>
            </wp:positionV>
            <wp:extent cx="6532245" cy="35413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32245" cy="3541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ind w:left="1020"/>
              <w:spacing w:after="0"/>
              <w:rPr>
                <w:sz w:val="20"/>
                <w:szCs w:val="20"/>
                <w:color w:val="auto"/>
              </w:rPr>
            </w:pPr>
            <w:r>
              <w:rPr>
                <w:rFonts w:ascii="Calibri" w:cs="Calibri" w:eastAsia="Calibri" w:hAnsi="Calibri"/>
                <w:sz w:val="16"/>
                <w:szCs w:val="16"/>
                <w:color w:val="auto"/>
              </w:rPr>
              <w:t>2026 Proxy Statement</w:t>
            </w:r>
          </w:p>
        </w:tc>
        <w:tc>
          <w:tcPr>
            <w:tcW w:w="446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380"/>
        </w:trPr>
        <w:tc>
          <w:tcPr>
            <w:tcW w:w="67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3" w:right="339" w:bottom="1440" w:gutter="0" w:footer="0" w:header="0"/>
        </w:sectPr>
      </w:pPr>
    </w:p>
    <w:bookmarkStart w:id="40" w:name="page41"/>
    <w:bookmarkEnd w:id="40"/>
    <w:p>
      <w:pPr>
        <w:ind w:right="300"/>
        <w:spacing w:after="0" w:line="241" w:lineRule="auto"/>
        <w:rPr>
          <w:sz w:val="20"/>
          <w:szCs w:val="20"/>
          <w:color w:val="auto"/>
        </w:rPr>
      </w:pPr>
      <w:r>
        <w:rPr>
          <w:rFonts w:ascii="Calibri" w:cs="Calibri" w:eastAsia="Calibri" w:hAnsi="Calibri"/>
          <w:sz w:val="16"/>
          <w:szCs w:val="16"/>
          <w:b w:val="1"/>
          <w:bCs w:val="1"/>
          <w:color w:val="auto"/>
        </w:rPr>
        <w:t xml:space="preserve">Relatonship between CAP and ROE (our Company-Selected Measure). </w:t>
      </w:r>
      <w:r>
        <w:rPr>
          <w:rFonts w:ascii="Calibri" w:cs="Calibri" w:eastAsia="Calibri" w:hAnsi="Calibri"/>
          <w:sz w:val="16"/>
          <w:szCs w:val="16"/>
          <w:color w:val="auto"/>
        </w:rPr>
        <w:t>The graph below refects the relatonship between the PEO and Average Non-PEO NEOs CAP and</w:t>
      </w:r>
      <w:r>
        <w:rPr>
          <w:rFonts w:ascii="Calibri" w:cs="Calibri" w:eastAsia="Calibri" w:hAnsi="Calibri"/>
          <w:sz w:val="16"/>
          <w:szCs w:val="16"/>
          <w:b w:val="1"/>
          <w:bCs w:val="1"/>
          <w:color w:val="auto"/>
        </w:rPr>
        <w:t xml:space="preserve"> </w:t>
      </w:r>
      <w:r>
        <w:rPr>
          <w:rFonts w:ascii="Calibri" w:cs="Calibri" w:eastAsia="Calibri" w:hAnsi="Calibri"/>
          <w:sz w:val="16"/>
          <w:szCs w:val="16"/>
          <w:color w:val="auto"/>
        </w:rPr>
        <w:t>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271145</wp:posOffset>
            </wp:positionV>
            <wp:extent cx="5930900" cy="3329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930900" cy="3329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062B48"/>
        </w:rPr>
        <w:t>Security Ownership of Certain Beneficial Owners</w:t>
      </w:r>
    </w:p>
    <w:p>
      <w:pPr>
        <w:spacing w:after="0" w:line="243"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The following table sets forth information regarding the beneficial ownership of the Company’s Common Stock, as of the close of business on March 16, 2026, by:</w:t>
      </w:r>
    </w:p>
    <w:p>
      <w:pPr>
        <w:spacing w:after="0" w:line="161" w:lineRule="exact"/>
        <w:rPr>
          <w:sz w:val="20"/>
          <w:szCs w:val="20"/>
          <w:color w:val="auto"/>
        </w:rPr>
      </w:pPr>
    </w:p>
    <w:p>
      <w:pPr>
        <w:ind w:left="160" w:hanging="153"/>
        <w:spacing w:after="0"/>
        <w:tabs>
          <w:tab w:leader="none" w:pos="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stockholder known by us to beneficially own more than 5% of our outstanding Common Stock;</w:t>
      </w:r>
    </w:p>
    <w:p>
      <w:pPr>
        <w:spacing w:after="0" w:line="69" w:lineRule="exact"/>
        <w:rPr>
          <w:rFonts w:ascii="Arial" w:cs="Arial" w:eastAsia="Arial" w:hAnsi="Arial"/>
          <w:sz w:val="16"/>
          <w:szCs w:val="16"/>
          <w:color w:val="auto"/>
        </w:rPr>
      </w:pPr>
    </w:p>
    <w:p>
      <w:pPr>
        <w:ind w:left="160" w:hanging="153"/>
        <w:spacing w:after="0"/>
        <w:tabs>
          <w:tab w:leader="none" w:pos="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the Company’s NEOs;</w:t>
      </w:r>
    </w:p>
    <w:p>
      <w:pPr>
        <w:spacing w:after="0" w:line="69" w:lineRule="exact"/>
        <w:rPr>
          <w:rFonts w:ascii="Arial" w:cs="Arial" w:eastAsia="Arial" w:hAnsi="Arial"/>
          <w:sz w:val="16"/>
          <w:szCs w:val="16"/>
          <w:color w:val="auto"/>
        </w:rPr>
      </w:pPr>
    </w:p>
    <w:p>
      <w:pPr>
        <w:ind w:left="160" w:hanging="153"/>
        <w:spacing w:after="0"/>
        <w:tabs>
          <w:tab w:leader="none" w:pos="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the Company’s directors; and</w:t>
      </w:r>
    </w:p>
    <w:p>
      <w:pPr>
        <w:spacing w:after="0" w:line="69" w:lineRule="exact"/>
        <w:rPr>
          <w:rFonts w:ascii="Arial" w:cs="Arial" w:eastAsia="Arial" w:hAnsi="Arial"/>
          <w:sz w:val="16"/>
          <w:szCs w:val="16"/>
          <w:color w:val="auto"/>
        </w:rPr>
      </w:pPr>
    </w:p>
    <w:p>
      <w:pPr>
        <w:ind w:left="160" w:hanging="153"/>
        <w:spacing w:after="0"/>
        <w:tabs>
          <w:tab w:leader="none" w:pos="1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of the Company’s directors and executive officers as a group.</w:t>
      </w:r>
    </w:p>
    <w:p>
      <w:pPr>
        <w:spacing w:after="0" w:line="28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have determined beneficial ownership in accordance with the rules of the SEC. These rules generally provide that a person is the beneficial owner of securities if such person has or shares the power to vote or direct the voting of securities, or to dispose or direct the disposition of securities, or has the right to acquire such powers within 60 days, including any right to acquire such securities (i) through the exercise of any option, warrant or right, (ii) through the conversion of a security, (iii) pursuant to the power to revoke a trust, discretionary account or similar arrangement or (iv) pursuant to the automatic termination of a trust, discretionary account or similar arrangement. For purposes of calculating each person’s percentage ownership, Common Stock issuable pursuant to options exercisable within 60 days are included as outstanding and beneficially owned for that person or group, but are not deemed outstanding for the purposes of computing the percentage ownership of any other person. Except as disclosed in the footnotes to this table and subject to applicable community property laws, we believe that each person identified in the table has sole voting and investment power over all of the shares shown opposite such person’s name.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of beneficial ownership is based on 25,560,231 shares of our Common Stock outstanding as of the close of business on March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593090" cy="1187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1" w:right="339" w:bottom="1440" w:gutter="0" w:footer="0" w:header="0"/>
        </w:sectPr>
      </w:pPr>
    </w:p>
    <w:bookmarkStart w:id="41" w:name="page42"/>
    <w:bookmarkEnd w:id="41"/>
    <w:p>
      <w:pPr>
        <w:ind w:right="380"/>
        <w:spacing w:after="0" w:line="278" w:lineRule="auto"/>
        <w:rPr>
          <w:sz w:val="20"/>
          <w:szCs w:val="20"/>
          <w:color w:val="auto"/>
        </w:rPr>
      </w:pPr>
      <w:r>
        <w:rPr>
          <w:rFonts w:ascii="Arial" w:cs="Arial" w:eastAsia="Arial" w:hAnsi="Arial"/>
          <w:sz w:val="16"/>
          <w:szCs w:val="16"/>
          <w:color w:val="auto"/>
        </w:rPr>
        <w:t>Except as otherwise indicated, the address for each stockholder listed in the table below is: c/o Alerus Financial Corporation, 401 Demers Avenue, Grand Forks, North Dakota 58201.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980" w:type="dxa"/>
            <w:vAlign w:val="bottom"/>
            <w:shd w:val="clear" w:color="auto" w:fill="062B48"/>
          </w:tcPr>
          <w:p>
            <w:pPr>
              <w:spacing w:after="0"/>
              <w:rPr>
                <w:sz w:val="24"/>
                <w:szCs w:val="24"/>
                <w:color w:val="auto"/>
              </w:rPr>
            </w:pPr>
          </w:p>
        </w:tc>
        <w:tc>
          <w:tcPr>
            <w:tcW w:w="3540" w:type="dxa"/>
            <w:vAlign w:val="bottom"/>
            <w:shd w:val="clear" w:color="auto" w:fill="062B48"/>
          </w:tcPr>
          <w:p>
            <w:pPr>
              <w:jc w:val="right"/>
              <w:ind w:right="369"/>
              <w:spacing w:after="0"/>
              <w:rPr>
                <w:sz w:val="20"/>
                <w:szCs w:val="20"/>
                <w:color w:val="auto"/>
              </w:rPr>
            </w:pPr>
            <w:r>
              <w:rPr>
                <w:rFonts w:ascii="Calibri" w:cs="Calibri" w:eastAsia="Calibri" w:hAnsi="Calibri"/>
                <w:sz w:val="14"/>
                <w:szCs w:val="14"/>
                <w:b w:val="1"/>
                <w:bCs w:val="1"/>
                <w:color w:val="FFFFFF"/>
              </w:rPr>
              <w:t>SHARES BENEFICIALLY OWNED</w:t>
            </w:r>
            <w:r>
              <w:rPr>
                <w:rFonts w:ascii="Calibri" w:cs="Calibri" w:eastAsia="Calibri" w:hAnsi="Calibri"/>
                <w:sz w:val="23"/>
                <w:szCs w:val="23"/>
                <w:b w:val="1"/>
                <w:bCs w:val="1"/>
                <w:color w:val="FFFFFF"/>
                <w:vertAlign w:val="superscript"/>
              </w:rPr>
              <w:t>(1)</w:t>
            </w:r>
          </w:p>
        </w:tc>
        <w:tc>
          <w:tcPr>
            <w:tcW w:w="720" w:type="dxa"/>
            <w:vAlign w:val="bottom"/>
            <w:shd w:val="clear" w:color="auto" w:fill="062B48"/>
          </w:tcPr>
          <w:p>
            <w:pPr>
              <w:spacing w:after="0"/>
              <w:rPr>
                <w:sz w:val="24"/>
                <w:szCs w:val="24"/>
                <w:color w:val="auto"/>
              </w:rPr>
            </w:pPr>
          </w:p>
        </w:tc>
      </w:tr>
      <w:tr>
        <w:trPr>
          <w:trHeight w:val="180"/>
        </w:trPr>
        <w:tc>
          <w:tcPr>
            <w:tcW w:w="6980" w:type="dxa"/>
            <w:vAlign w:val="bottom"/>
            <w:tcBorders>
              <w:bottom w:val="single" w:sz="8" w:color="062B48"/>
            </w:tcBorders>
            <w:shd w:val="clear" w:color="auto" w:fill="062B48"/>
          </w:tcPr>
          <w:p>
            <w:pPr>
              <w:ind w:left="160"/>
              <w:spacing w:after="0" w:line="169" w:lineRule="exact"/>
              <w:rPr>
                <w:sz w:val="20"/>
                <w:szCs w:val="20"/>
                <w:color w:val="auto"/>
              </w:rPr>
            </w:pPr>
            <w:r>
              <w:rPr>
                <w:rFonts w:ascii="Calibri" w:cs="Calibri" w:eastAsia="Calibri" w:hAnsi="Calibri"/>
                <w:sz w:val="14"/>
                <w:szCs w:val="14"/>
                <w:b w:val="1"/>
                <w:bCs w:val="1"/>
                <w:color w:val="FFFFFF"/>
              </w:rPr>
              <w:t>NAME</w:t>
            </w:r>
          </w:p>
        </w:tc>
        <w:tc>
          <w:tcPr>
            <w:tcW w:w="3540" w:type="dxa"/>
            <w:vAlign w:val="bottom"/>
            <w:tcBorders>
              <w:bottom w:val="single" w:sz="8" w:color="062B48"/>
            </w:tcBorders>
            <w:shd w:val="clear" w:color="auto" w:fill="062B48"/>
          </w:tcPr>
          <w:p>
            <w:pPr>
              <w:jc w:val="right"/>
              <w:ind w:right="1429"/>
              <w:spacing w:after="0" w:line="169" w:lineRule="exact"/>
              <w:rPr>
                <w:sz w:val="20"/>
                <w:szCs w:val="20"/>
                <w:color w:val="auto"/>
              </w:rPr>
            </w:pPr>
            <w:r>
              <w:rPr>
                <w:rFonts w:ascii="Calibri" w:cs="Calibri" w:eastAsia="Calibri" w:hAnsi="Calibri"/>
                <w:sz w:val="14"/>
                <w:szCs w:val="14"/>
                <w:b w:val="1"/>
                <w:bCs w:val="1"/>
                <w:color w:val="FFFFFF"/>
              </w:rPr>
              <w:t>#</w:t>
            </w:r>
          </w:p>
        </w:tc>
        <w:tc>
          <w:tcPr>
            <w:tcW w:w="720" w:type="dxa"/>
            <w:vAlign w:val="bottom"/>
            <w:tcBorders>
              <w:bottom w:val="single" w:sz="8" w:color="062B48"/>
            </w:tcBorders>
            <w:shd w:val="clear" w:color="auto" w:fill="062B48"/>
          </w:tcPr>
          <w:p>
            <w:pPr>
              <w:jc w:val="right"/>
              <w:spacing w:after="0" w:line="169" w:lineRule="exact"/>
              <w:rPr>
                <w:sz w:val="20"/>
                <w:szCs w:val="20"/>
                <w:color w:val="auto"/>
              </w:rPr>
            </w:pPr>
            <w:r>
              <w:rPr>
                <w:rFonts w:ascii="Calibri" w:cs="Calibri" w:eastAsia="Calibri" w:hAnsi="Calibri"/>
                <w:sz w:val="14"/>
                <w:szCs w:val="14"/>
                <w:color w:val="FFFFFF"/>
              </w:rPr>
              <w:t>%</w:t>
            </w:r>
          </w:p>
        </w:tc>
      </w:tr>
      <w:tr>
        <w:trPr>
          <w:trHeight w:val="180"/>
        </w:trPr>
        <w:tc>
          <w:tcPr>
            <w:tcW w:w="6980" w:type="dxa"/>
            <w:vAlign w:val="bottom"/>
            <w:tcBorders>
              <w:bottom w:val="single" w:sz="8" w:color="F4F4EC"/>
            </w:tcBorders>
            <w:shd w:val="clear" w:color="auto" w:fill="F4F4EC"/>
          </w:tcPr>
          <w:p>
            <w:pPr>
              <w:ind w:left="160"/>
              <w:spacing w:after="0" w:line="169" w:lineRule="exact"/>
              <w:rPr>
                <w:sz w:val="20"/>
                <w:szCs w:val="20"/>
                <w:color w:val="auto"/>
              </w:rPr>
            </w:pPr>
            <w:r>
              <w:rPr>
                <w:rFonts w:ascii="Calibri" w:cs="Calibri" w:eastAsia="Calibri" w:hAnsi="Calibri"/>
                <w:sz w:val="14"/>
                <w:szCs w:val="14"/>
                <w:color w:val="auto"/>
              </w:rPr>
              <w:t>5% stockholders:</w:t>
            </w:r>
          </w:p>
        </w:tc>
        <w:tc>
          <w:tcPr>
            <w:tcW w:w="3540" w:type="dxa"/>
            <w:vAlign w:val="bottom"/>
            <w:tcBorders>
              <w:bottom w:val="single" w:sz="8" w:color="F4F4EC"/>
            </w:tcBorders>
            <w:shd w:val="clear" w:color="auto" w:fill="F4F4EC"/>
          </w:tcPr>
          <w:p>
            <w:pPr>
              <w:spacing w:after="0"/>
              <w:rPr>
                <w:sz w:val="15"/>
                <w:szCs w:val="15"/>
                <w:color w:val="auto"/>
              </w:rPr>
            </w:pPr>
          </w:p>
        </w:tc>
        <w:tc>
          <w:tcPr>
            <w:tcW w:w="720" w:type="dxa"/>
            <w:vAlign w:val="bottom"/>
            <w:tcBorders>
              <w:bottom w:val="single" w:sz="8" w:color="F4F4EC"/>
            </w:tcBorders>
            <w:shd w:val="clear" w:color="auto" w:fill="F4F4EC"/>
          </w:tcPr>
          <w:p>
            <w:pPr>
              <w:spacing w:after="0"/>
              <w:rPr>
                <w:sz w:val="15"/>
                <w:szCs w:val="15"/>
                <w:color w:val="auto"/>
              </w:rPr>
            </w:pPr>
          </w:p>
        </w:tc>
      </w:tr>
      <w:tr>
        <w:trPr>
          <w:trHeight w:val="183"/>
        </w:trPr>
        <w:tc>
          <w:tcPr>
            <w:tcW w:w="6980" w:type="dxa"/>
            <w:vAlign w:val="bottom"/>
          </w:tcPr>
          <w:p>
            <w:pPr>
              <w:ind w:left="160"/>
              <w:spacing w:after="0" w:line="183" w:lineRule="exact"/>
              <w:rPr>
                <w:sz w:val="20"/>
                <w:szCs w:val="20"/>
                <w:color w:val="auto"/>
              </w:rPr>
            </w:pPr>
            <w:r>
              <w:rPr>
                <w:rFonts w:ascii="Calibri" w:cs="Calibri" w:eastAsia="Calibri" w:hAnsi="Calibri"/>
                <w:sz w:val="12"/>
                <w:szCs w:val="12"/>
                <w:color w:val="auto"/>
              </w:rPr>
              <w:t>BlackRock, Inc.</w:t>
            </w:r>
            <w:r>
              <w:rPr>
                <w:rFonts w:ascii="Calibri" w:cs="Calibri" w:eastAsia="Calibri" w:hAnsi="Calibri"/>
                <w:sz w:val="19"/>
                <w:szCs w:val="19"/>
                <w:color w:val="auto"/>
                <w:vertAlign w:val="superscript"/>
              </w:rPr>
              <w:t>(2)</w:t>
            </w:r>
            <w:r>
              <w:rPr>
                <w:rFonts w:ascii="Calibri" w:cs="Calibri" w:eastAsia="Calibri" w:hAnsi="Calibri"/>
                <w:sz w:val="12"/>
                <w:szCs w:val="12"/>
                <w:color w:val="auto"/>
              </w:rPr>
              <w:t xml:space="preserve"> 50 Hudson Yards New York, NY 10001</w:t>
            </w:r>
          </w:p>
        </w:tc>
        <w:tc>
          <w:tcPr>
            <w:tcW w:w="3540" w:type="dxa"/>
            <w:vAlign w:val="bottom"/>
          </w:tcPr>
          <w:p>
            <w:pPr>
              <w:jc w:val="right"/>
              <w:ind w:right="1429"/>
              <w:spacing w:after="0" w:line="169" w:lineRule="exact"/>
              <w:rPr>
                <w:sz w:val="20"/>
                <w:szCs w:val="20"/>
                <w:color w:val="auto"/>
              </w:rPr>
            </w:pPr>
            <w:r>
              <w:rPr>
                <w:rFonts w:ascii="Calibri" w:cs="Calibri" w:eastAsia="Calibri" w:hAnsi="Calibri"/>
                <w:sz w:val="14"/>
                <w:szCs w:val="14"/>
                <w:color w:val="auto"/>
              </w:rPr>
              <w:t>1,843,231</w:t>
            </w:r>
          </w:p>
        </w:tc>
        <w:tc>
          <w:tcPr>
            <w:tcW w:w="720" w:type="dxa"/>
            <w:vAlign w:val="bottom"/>
          </w:tcPr>
          <w:p>
            <w:pPr>
              <w:jc w:val="right"/>
              <w:spacing w:after="0" w:line="169" w:lineRule="exact"/>
              <w:rPr>
                <w:sz w:val="20"/>
                <w:szCs w:val="20"/>
                <w:color w:val="auto"/>
              </w:rPr>
            </w:pPr>
            <w:r>
              <w:rPr>
                <w:rFonts w:ascii="Calibri" w:cs="Calibri" w:eastAsia="Calibri" w:hAnsi="Calibri"/>
                <w:sz w:val="14"/>
                <w:szCs w:val="14"/>
                <w:color w:val="auto"/>
              </w:rPr>
              <w:t>7.2%</w:t>
            </w:r>
          </w:p>
        </w:tc>
      </w:tr>
      <w:tr>
        <w:trPr>
          <w:trHeight w:val="191"/>
        </w:trPr>
        <w:tc>
          <w:tcPr>
            <w:tcW w:w="6980" w:type="dxa"/>
            <w:vAlign w:val="bottom"/>
          </w:tcPr>
          <w:p>
            <w:pPr>
              <w:ind w:left="160"/>
              <w:spacing w:after="0" w:line="191" w:lineRule="exact"/>
              <w:rPr>
                <w:sz w:val="20"/>
                <w:szCs w:val="20"/>
                <w:color w:val="auto"/>
              </w:rPr>
            </w:pPr>
            <w:r>
              <w:rPr>
                <w:rFonts w:ascii="Calibri" w:cs="Calibri" w:eastAsia="Calibri" w:hAnsi="Calibri"/>
                <w:sz w:val="13"/>
                <w:szCs w:val="13"/>
                <w:color w:val="auto"/>
              </w:rPr>
              <w:t>The Vanguard Group</w:t>
            </w:r>
            <w:r>
              <w:rPr>
                <w:rFonts w:ascii="Calibri" w:cs="Calibri" w:eastAsia="Calibri" w:hAnsi="Calibri"/>
                <w:sz w:val="20"/>
                <w:szCs w:val="20"/>
                <w:color w:val="auto"/>
                <w:vertAlign w:val="superscript"/>
              </w:rPr>
              <w:t>(3)</w:t>
            </w:r>
            <w:r>
              <w:rPr>
                <w:rFonts w:ascii="Calibri" w:cs="Calibri" w:eastAsia="Calibri" w:hAnsi="Calibri"/>
                <w:sz w:val="13"/>
                <w:szCs w:val="13"/>
                <w:color w:val="auto"/>
              </w:rPr>
              <w:t xml:space="preserve"> 100 Vanguard Blvd. Malvern, PA 19355</w:t>
            </w:r>
          </w:p>
        </w:tc>
        <w:tc>
          <w:tcPr>
            <w:tcW w:w="3540" w:type="dxa"/>
            <w:vAlign w:val="bottom"/>
          </w:tcPr>
          <w:p>
            <w:pPr>
              <w:jc w:val="right"/>
              <w:ind w:right="1429"/>
              <w:spacing w:after="0"/>
              <w:rPr>
                <w:sz w:val="20"/>
                <w:szCs w:val="20"/>
                <w:color w:val="auto"/>
              </w:rPr>
            </w:pPr>
            <w:r>
              <w:rPr>
                <w:rFonts w:ascii="Calibri" w:cs="Calibri" w:eastAsia="Calibri" w:hAnsi="Calibri"/>
                <w:sz w:val="14"/>
                <w:szCs w:val="14"/>
                <w:color w:val="auto"/>
              </w:rPr>
              <w:t>1,289,690</w:t>
            </w:r>
          </w:p>
        </w:tc>
        <w:tc>
          <w:tcPr>
            <w:tcW w:w="720" w:type="dxa"/>
            <w:vAlign w:val="bottom"/>
          </w:tcPr>
          <w:p>
            <w:pPr>
              <w:jc w:val="right"/>
              <w:spacing w:after="0"/>
              <w:rPr>
                <w:sz w:val="20"/>
                <w:szCs w:val="20"/>
                <w:color w:val="auto"/>
              </w:rPr>
            </w:pPr>
            <w:r>
              <w:rPr>
                <w:rFonts w:ascii="Calibri" w:cs="Calibri" w:eastAsia="Calibri" w:hAnsi="Calibri"/>
                <w:sz w:val="14"/>
                <w:szCs w:val="14"/>
                <w:color w:val="auto"/>
              </w:rPr>
              <w:t>5.0%</w:t>
            </w:r>
          </w:p>
        </w:tc>
      </w:tr>
      <w:tr>
        <w:trPr>
          <w:trHeight w:val="354"/>
        </w:trPr>
        <w:tc>
          <w:tcPr>
            <w:tcW w:w="6980" w:type="dxa"/>
            <w:vAlign w:val="bottom"/>
            <w:tcBorders>
              <w:bottom w:val="single" w:sz="8" w:color="F4F4EC"/>
            </w:tcBorders>
            <w:shd w:val="clear" w:color="auto" w:fill="F4F4EC"/>
          </w:tcPr>
          <w:p>
            <w:pPr>
              <w:ind w:left="160"/>
              <w:spacing w:after="0"/>
              <w:rPr>
                <w:sz w:val="20"/>
                <w:szCs w:val="20"/>
                <w:color w:val="auto"/>
              </w:rPr>
            </w:pPr>
            <w:r>
              <w:rPr>
                <w:rFonts w:ascii="Calibri" w:cs="Calibri" w:eastAsia="Calibri" w:hAnsi="Calibri"/>
                <w:sz w:val="14"/>
                <w:szCs w:val="14"/>
                <w:color w:val="auto"/>
              </w:rPr>
              <w:t>Directors and named executve ofcers:</w:t>
            </w:r>
          </w:p>
        </w:tc>
        <w:tc>
          <w:tcPr>
            <w:tcW w:w="3540" w:type="dxa"/>
            <w:vAlign w:val="bottom"/>
            <w:tcBorders>
              <w:bottom w:val="single" w:sz="8" w:color="F4F4EC"/>
            </w:tcBorders>
            <w:shd w:val="clear" w:color="auto" w:fill="F4F4EC"/>
          </w:tcPr>
          <w:p>
            <w:pPr>
              <w:spacing w:after="0"/>
              <w:rPr>
                <w:sz w:val="24"/>
                <w:szCs w:val="24"/>
                <w:color w:val="auto"/>
              </w:rPr>
            </w:pPr>
          </w:p>
        </w:tc>
        <w:tc>
          <w:tcPr>
            <w:tcW w:w="720" w:type="dxa"/>
            <w:vAlign w:val="bottom"/>
            <w:tcBorders>
              <w:bottom w:val="single" w:sz="8" w:color="F4F4EC"/>
            </w:tcBorders>
            <w:shd w:val="clear" w:color="auto" w:fill="F4F4EC"/>
          </w:tcPr>
          <w:p>
            <w:pPr>
              <w:spacing w:after="0"/>
              <w:rPr>
                <w:sz w:val="24"/>
                <w:szCs w:val="24"/>
                <w:color w:val="auto"/>
              </w:rPr>
            </w:pPr>
          </w:p>
        </w:tc>
      </w:tr>
      <w:tr>
        <w:trPr>
          <w:trHeight w:val="200"/>
        </w:trPr>
        <w:tc>
          <w:tcPr>
            <w:tcW w:w="6980" w:type="dxa"/>
            <w:vAlign w:val="bottom"/>
            <w:tcBorders>
              <w:bottom w:val="single" w:sz="8" w:color="1AB2D2"/>
            </w:tcBorders>
          </w:tcPr>
          <w:p>
            <w:pPr>
              <w:ind w:left="160"/>
              <w:spacing w:after="0" w:line="200" w:lineRule="exact"/>
              <w:rPr>
                <w:sz w:val="20"/>
                <w:szCs w:val="20"/>
                <w:color w:val="auto"/>
              </w:rPr>
            </w:pPr>
            <w:r>
              <w:rPr>
                <w:rFonts w:ascii="Calibri" w:cs="Calibri" w:eastAsia="Calibri" w:hAnsi="Calibri"/>
                <w:sz w:val="13"/>
                <w:szCs w:val="13"/>
                <w:color w:val="auto"/>
              </w:rPr>
              <w:t>Jefrey W. Bolton</w:t>
            </w:r>
            <w:r>
              <w:rPr>
                <w:rFonts w:ascii="Calibri" w:cs="Calibri" w:eastAsia="Calibri" w:hAnsi="Calibri"/>
                <w:sz w:val="21"/>
                <w:szCs w:val="21"/>
                <w:color w:val="auto"/>
                <w:vertAlign w:val="superscript"/>
              </w:rPr>
              <w:t>(4)</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11,391</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Jim R. Collins</w:t>
            </w:r>
            <w:r>
              <w:rPr>
                <w:rFonts w:ascii="Calibri" w:cs="Calibri" w:eastAsia="Calibri" w:hAnsi="Calibri"/>
                <w:sz w:val="21"/>
                <w:szCs w:val="21"/>
                <w:color w:val="auto"/>
                <w:vertAlign w:val="superscript"/>
              </w:rPr>
              <w:t>(5)</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16,860</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Daniel E. Coughlin</w:t>
            </w:r>
            <w:r>
              <w:rPr>
                <w:rFonts w:ascii="Calibri" w:cs="Calibri" w:eastAsia="Calibri" w:hAnsi="Calibri"/>
                <w:sz w:val="21"/>
                <w:szCs w:val="21"/>
                <w:color w:val="auto"/>
                <w:vertAlign w:val="superscript"/>
              </w:rPr>
              <w:t>(6)</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47,311</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Janet O. Estep</w:t>
            </w:r>
            <w:r>
              <w:rPr>
                <w:rFonts w:ascii="Calibri" w:cs="Calibri" w:eastAsia="Calibri" w:hAnsi="Calibri"/>
                <w:sz w:val="21"/>
                <w:szCs w:val="21"/>
                <w:color w:val="auto"/>
                <w:vertAlign w:val="superscript"/>
              </w:rPr>
              <w:t>(7)</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13,069</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Kate A. Lorenson</w:t>
            </w:r>
            <w:r>
              <w:rPr>
                <w:rFonts w:ascii="Calibri" w:cs="Calibri" w:eastAsia="Calibri" w:hAnsi="Calibri"/>
                <w:sz w:val="21"/>
                <w:szCs w:val="21"/>
                <w:color w:val="auto"/>
                <w:vertAlign w:val="superscript"/>
              </w:rPr>
              <w:t>(8)</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32,717</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Randy L. Newman</w:t>
            </w:r>
            <w:r>
              <w:rPr>
                <w:rFonts w:ascii="Calibri" w:cs="Calibri" w:eastAsia="Calibri" w:hAnsi="Calibri"/>
                <w:sz w:val="21"/>
                <w:szCs w:val="21"/>
                <w:color w:val="auto"/>
                <w:vertAlign w:val="superscript"/>
              </w:rPr>
              <w:t>(9)</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806,584</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3.2%</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Nikki L. Sorum</w:t>
            </w:r>
            <w:r>
              <w:rPr>
                <w:rFonts w:ascii="Calibri" w:cs="Calibri" w:eastAsia="Calibri" w:hAnsi="Calibri"/>
                <w:sz w:val="21"/>
                <w:szCs w:val="21"/>
                <w:color w:val="auto"/>
                <w:vertAlign w:val="superscript"/>
              </w:rPr>
              <w:t>(10)</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5,580</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Karin M. Taylor</w:t>
            </w:r>
            <w:r>
              <w:rPr>
                <w:rFonts w:ascii="Calibri" w:cs="Calibri" w:eastAsia="Calibri" w:hAnsi="Calibri"/>
                <w:sz w:val="21"/>
                <w:szCs w:val="21"/>
                <w:color w:val="auto"/>
                <w:vertAlign w:val="superscript"/>
              </w:rPr>
              <w:t>(11)</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30,830</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John Uribe</w:t>
            </w:r>
            <w:r>
              <w:rPr>
                <w:rFonts w:ascii="Calibri" w:cs="Calibri" w:eastAsia="Calibri" w:hAnsi="Calibri"/>
                <w:sz w:val="21"/>
                <w:szCs w:val="21"/>
                <w:color w:val="auto"/>
                <w:vertAlign w:val="superscript"/>
              </w:rPr>
              <w:t>(12)</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5,580</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Galen G. Veter</w:t>
            </w:r>
            <w:r>
              <w:rPr>
                <w:rFonts w:ascii="Calibri" w:cs="Calibri" w:eastAsia="Calibri" w:hAnsi="Calibri"/>
                <w:sz w:val="21"/>
                <w:szCs w:val="21"/>
                <w:color w:val="auto"/>
                <w:vertAlign w:val="superscript"/>
              </w:rPr>
              <w:t>(13)</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52,244</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Alan. A Villalon</w:t>
            </w:r>
            <w:r>
              <w:rPr>
                <w:rFonts w:ascii="Calibri" w:cs="Calibri" w:eastAsia="Calibri" w:hAnsi="Calibri"/>
                <w:sz w:val="21"/>
                <w:szCs w:val="21"/>
                <w:color w:val="auto"/>
                <w:vertAlign w:val="superscript"/>
              </w:rPr>
              <w:t>(14)</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16,521</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Forrest R. Wilson</w:t>
            </w:r>
            <w:r>
              <w:rPr>
                <w:rFonts w:ascii="Calibri" w:cs="Calibri" w:eastAsia="Calibri" w:hAnsi="Calibri"/>
                <w:sz w:val="21"/>
                <w:szCs w:val="21"/>
                <w:color w:val="auto"/>
                <w:vertAlign w:val="superscript"/>
              </w:rPr>
              <w:t>(15)</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14,648</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Mary E. Zimmer</w:t>
            </w:r>
            <w:r>
              <w:rPr>
                <w:rFonts w:ascii="Calibri" w:cs="Calibri" w:eastAsia="Calibri" w:hAnsi="Calibri"/>
                <w:sz w:val="21"/>
                <w:szCs w:val="21"/>
                <w:color w:val="auto"/>
                <w:vertAlign w:val="superscript"/>
              </w:rPr>
              <w:t>(16)</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10,602</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w:t>
            </w:r>
          </w:p>
        </w:tc>
      </w:tr>
      <w:tr>
        <w:trPr>
          <w:trHeight w:val="193"/>
        </w:trPr>
        <w:tc>
          <w:tcPr>
            <w:tcW w:w="6980" w:type="dxa"/>
            <w:vAlign w:val="bottom"/>
            <w:tcBorders>
              <w:bottom w:val="single" w:sz="8" w:color="1AB2D2"/>
            </w:tcBorders>
          </w:tcPr>
          <w:p>
            <w:pPr>
              <w:ind w:left="160"/>
              <w:spacing w:after="0" w:line="194" w:lineRule="exact"/>
              <w:rPr>
                <w:sz w:val="20"/>
                <w:szCs w:val="20"/>
                <w:color w:val="auto"/>
              </w:rPr>
            </w:pPr>
            <w:r>
              <w:rPr>
                <w:rFonts w:ascii="Calibri" w:cs="Calibri" w:eastAsia="Calibri" w:hAnsi="Calibri"/>
                <w:sz w:val="13"/>
                <w:szCs w:val="13"/>
                <w:color w:val="auto"/>
              </w:rPr>
              <w:t>All directors and executve ofcers as a group (14 persons)</w:t>
            </w:r>
            <w:r>
              <w:rPr>
                <w:rFonts w:ascii="Calibri" w:cs="Calibri" w:eastAsia="Calibri" w:hAnsi="Calibri"/>
                <w:sz w:val="21"/>
                <w:szCs w:val="21"/>
                <w:color w:val="auto"/>
                <w:vertAlign w:val="superscript"/>
              </w:rPr>
              <w:t>(17)</w:t>
            </w:r>
          </w:p>
        </w:tc>
        <w:tc>
          <w:tcPr>
            <w:tcW w:w="3540" w:type="dxa"/>
            <w:vAlign w:val="bottom"/>
            <w:tcBorders>
              <w:bottom w:val="single" w:sz="8" w:color="1AB2D2"/>
            </w:tcBorders>
          </w:tcPr>
          <w:p>
            <w:pPr>
              <w:jc w:val="right"/>
              <w:ind w:right="1429"/>
              <w:spacing w:after="0" w:line="169" w:lineRule="exact"/>
              <w:rPr>
                <w:sz w:val="20"/>
                <w:szCs w:val="20"/>
                <w:color w:val="auto"/>
              </w:rPr>
            </w:pPr>
            <w:r>
              <w:rPr>
                <w:rFonts w:ascii="Calibri" w:cs="Calibri" w:eastAsia="Calibri" w:hAnsi="Calibri"/>
                <w:sz w:val="14"/>
                <w:szCs w:val="14"/>
                <w:color w:val="auto"/>
              </w:rPr>
              <w:t>1,088,003</w:t>
            </w:r>
          </w:p>
        </w:tc>
        <w:tc>
          <w:tcPr>
            <w:tcW w:w="720" w:type="dxa"/>
            <w:vAlign w:val="bottom"/>
            <w:tcBorders>
              <w:bottom w:val="single" w:sz="8" w:color="1AB2D2"/>
            </w:tcBorders>
          </w:tcPr>
          <w:p>
            <w:pPr>
              <w:jc w:val="right"/>
              <w:spacing w:after="0" w:line="169" w:lineRule="exact"/>
              <w:rPr>
                <w:sz w:val="20"/>
                <w:szCs w:val="20"/>
                <w:color w:val="auto"/>
              </w:rPr>
            </w:pPr>
            <w:r>
              <w:rPr>
                <w:rFonts w:ascii="Calibri" w:cs="Calibri" w:eastAsia="Calibri" w:hAnsi="Calibri"/>
                <w:sz w:val="14"/>
                <w:szCs w:val="14"/>
                <w:color w:val="auto"/>
              </w:rPr>
              <w:t>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4511675</wp:posOffset>
            </wp:positionH>
            <wp:positionV relativeFrom="paragraph">
              <wp:posOffset>-2634615</wp:posOffset>
            </wp:positionV>
            <wp:extent cx="25584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58415" cy="8255"/>
                    </a:xfrm>
                    <a:prstGeom prst="rect">
                      <a:avLst/>
                    </a:prstGeom>
                    <a:noFill/>
                  </pic:spPr>
                </pic:pic>
              </a:graphicData>
            </a:graphic>
          </wp:anchor>
        </w:drawing>
      </w:r>
    </w:p>
    <w:p>
      <w:pPr>
        <w:spacing w:after="0" w:line="80" w:lineRule="exact"/>
        <w:rPr>
          <w:sz w:val="20"/>
          <w:szCs w:val="20"/>
          <w:color w:val="auto"/>
        </w:rPr>
      </w:pPr>
    </w:p>
    <w:p>
      <w:pPr>
        <w:ind w:left="200" w:hanging="193"/>
        <w:spacing w:after="0"/>
        <w:tabs>
          <w:tab w:leader="none" w:pos="200" w:val="left"/>
        </w:tabs>
        <w:numPr>
          <w:ilvl w:val="0"/>
          <w:numId w:val="52"/>
        </w:numPr>
        <w:rPr>
          <w:rFonts w:ascii="Arial" w:cs="Arial" w:eastAsia="Arial" w:hAnsi="Arial"/>
          <w:sz w:val="27"/>
          <w:szCs w:val="27"/>
          <w:color w:val="auto"/>
          <w:vertAlign w:val="superscript"/>
        </w:rPr>
      </w:pPr>
      <w:r>
        <w:rPr>
          <w:rFonts w:ascii="Arial" w:cs="Arial" w:eastAsia="Arial" w:hAnsi="Arial"/>
          <w:sz w:val="16"/>
          <w:szCs w:val="16"/>
          <w:color w:val="auto"/>
        </w:rPr>
        <w:t>Indicates one percent or less.</w:t>
      </w:r>
    </w:p>
    <w:p>
      <w:pPr>
        <w:spacing w:after="0" w:line="162" w:lineRule="exact"/>
        <w:rPr>
          <w:sz w:val="20"/>
          <w:szCs w:val="20"/>
          <w:color w:val="auto"/>
        </w:rPr>
      </w:pPr>
    </w:p>
    <w:p>
      <w:pPr>
        <w:ind w:left="320" w:hanging="313"/>
        <w:spacing w:after="0" w:line="181" w:lineRule="auto"/>
        <w:tabs>
          <w:tab w:leader="none" w:pos="320" w:val="left"/>
        </w:tabs>
        <w:numPr>
          <w:ilvl w:val="0"/>
          <w:numId w:val="53"/>
        </w:numPr>
        <w:rPr>
          <w:rFonts w:ascii="Calibri" w:cs="Calibri" w:eastAsia="Calibri" w:hAnsi="Calibri"/>
          <w:sz w:val="23"/>
          <w:szCs w:val="23"/>
          <w:color w:val="auto"/>
          <w:vertAlign w:val="superscript"/>
        </w:rPr>
      </w:pPr>
      <w:r>
        <w:rPr>
          <w:rFonts w:ascii="Calibri" w:cs="Calibri" w:eastAsia="Calibri" w:hAnsi="Calibri"/>
          <w:sz w:val="14"/>
          <w:szCs w:val="14"/>
          <w:color w:val="auto"/>
        </w:rPr>
        <w:t>Benefcial ownership includes shares of unvested restricted stock that stockholders are enttled to vote, but does not include shares underlying tme-based and performance-based restricted stock units not enttled to vote and that are subject to tme-based vestng or vestng to the extent performance objectves are achieved.</w:t>
      </w:r>
    </w:p>
    <w:p>
      <w:pPr>
        <w:spacing w:after="0" w:line="6" w:lineRule="exact"/>
        <w:rPr>
          <w:rFonts w:ascii="Calibri" w:cs="Calibri" w:eastAsia="Calibri" w:hAnsi="Calibri"/>
          <w:sz w:val="23"/>
          <w:szCs w:val="23"/>
          <w:color w:val="auto"/>
          <w:vertAlign w:val="superscript"/>
        </w:rPr>
      </w:pPr>
    </w:p>
    <w:p>
      <w:pPr>
        <w:ind w:left="320" w:right="200" w:hanging="313"/>
        <w:spacing w:after="0" w:line="181" w:lineRule="auto"/>
        <w:tabs>
          <w:tab w:leader="none" w:pos="320" w:val="left"/>
        </w:tabs>
        <w:numPr>
          <w:ilvl w:val="0"/>
          <w:numId w:val="53"/>
        </w:numPr>
        <w:rPr>
          <w:rFonts w:ascii="Calibri" w:cs="Calibri" w:eastAsia="Calibri" w:hAnsi="Calibri"/>
          <w:sz w:val="23"/>
          <w:szCs w:val="23"/>
          <w:color w:val="auto"/>
          <w:vertAlign w:val="superscript"/>
        </w:rPr>
      </w:pPr>
      <w:r>
        <w:rPr>
          <w:rFonts w:ascii="Calibri" w:cs="Calibri" w:eastAsia="Calibri" w:hAnsi="Calibri"/>
          <w:sz w:val="14"/>
          <w:szCs w:val="14"/>
          <w:color w:val="auto"/>
        </w:rPr>
        <w:t>Informaton based solely on a Schedule 13G/A fled on February 5, 2025. According to the Schedule 13G/A, Blackrock, Inc. has sole votng power with respect to 1,797,343 of these shares and sole dispositve power with respect to 1,843,231 of these shares.</w:t>
      </w:r>
    </w:p>
    <w:p>
      <w:pPr>
        <w:ind w:left="320"/>
        <w:spacing w:after="0" w:line="187" w:lineRule="auto"/>
        <w:rPr>
          <w:sz w:val="20"/>
          <w:szCs w:val="20"/>
          <w:color w:val="auto"/>
        </w:rPr>
      </w:pPr>
      <w:r>
        <w:rPr>
          <w:rFonts w:ascii="Calibri" w:cs="Calibri" w:eastAsia="Calibri" w:hAnsi="Calibri"/>
          <w:sz w:val="12"/>
          <w:szCs w:val="12"/>
          <w:color w:val="auto"/>
        </w:rPr>
        <w:t>Informaton based solely on a Schedule 13G fled on January 30, 2026. According to the Schedule 13G, The Vanguard Group has shared votng power with respect to 172,955 of these shares</w:t>
      </w:r>
    </w:p>
    <w:p>
      <w:pPr>
        <w:spacing w:after="0" w:line="184" w:lineRule="auto"/>
        <w:rPr>
          <w:sz w:val="20"/>
          <w:szCs w:val="20"/>
          <w:color w:val="auto"/>
        </w:rPr>
      </w:pPr>
      <w:r>
        <w:rPr>
          <w:rFonts w:ascii="Calibri" w:cs="Calibri" w:eastAsia="Calibri" w:hAnsi="Calibri"/>
          <w:sz w:val="10"/>
          <w:szCs w:val="10"/>
          <w:color w:val="auto"/>
        </w:rPr>
        <w:t>(3)</w:t>
      </w:r>
    </w:p>
    <w:p>
      <w:pPr>
        <w:ind w:left="320"/>
        <w:spacing w:after="0" w:line="197" w:lineRule="auto"/>
        <w:rPr>
          <w:sz w:val="20"/>
          <w:szCs w:val="20"/>
          <w:color w:val="auto"/>
        </w:rPr>
      </w:pPr>
      <w:r>
        <w:rPr>
          <w:rFonts w:ascii="Calibri" w:cs="Calibri" w:eastAsia="Calibri" w:hAnsi="Calibri"/>
          <w:sz w:val="14"/>
          <w:szCs w:val="14"/>
          <w:color w:val="auto"/>
        </w:rPr>
        <w:t>and shared dispositve power with respect to 1,289,690 of these shares.</w:t>
      </w:r>
    </w:p>
    <w:p>
      <w:pPr>
        <w:ind w:left="320" w:hanging="313"/>
        <w:spacing w:after="0" w:line="189" w:lineRule="auto"/>
        <w:tabs>
          <w:tab w:leader="none" w:pos="320" w:val="left"/>
        </w:tabs>
        <w:numPr>
          <w:ilvl w:val="0"/>
          <w:numId w:val="54"/>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2,354 shares of restricted stock.</w:t>
      </w:r>
    </w:p>
    <w:p>
      <w:pPr>
        <w:spacing w:after="0" w:line="33" w:lineRule="exact"/>
        <w:rPr>
          <w:rFonts w:ascii="Calibri" w:cs="Calibri" w:eastAsia="Calibri" w:hAnsi="Calibri"/>
          <w:sz w:val="18"/>
          <w:szCs w:val="18"/>
          <w:color w:val="auto"/>
          <w:vertAlign w:val="superscript"/>
        </w:rPr>
      </w:pPr>
    </w:p>
    <w:p>
      <w:pPr>
        <w:ind w:left="320" w:right="280" w:hanging="313"/>
        <w:spacing w:after="0" w:line="181" w:lineRule="auto"/>
        <w:tabs>
          <w:tab w:leader="none" w:pos="320" w:val="left"/>
        </w:tabs>
        <w:numPr>
          <w:ilvl w:val="0"/>
          <w:numId w:val="54"/>
        </w:numPr>
        <w:rPr>
          <w:rFonts w:ascii="Calibri" w:cs="Calibri" w:eastAsia="Calibri" w:hAnsi="Calibri"/>
          <w:sz w:val="21"/>
          <w:szCs w:val="21"/>
          <w:color w:val="auto"/>
          <w:vertAlign w:val="superscript"/>
        </w:rPr>
      </w:pPr>
      <w:r>
        <w:rPr>
          <w:rFonts w:ascii="Calibri" w:cs="Calibri" w:eastAsia="Calibri" w:hAnsi="Calibri"/>
          <w:sz w:val="13"/>
          <w:szCs w:val="13"/>
          <w:color w:val="auto"/>
        </w:rPr>
        <w:t>Includes 752 shares held in the ESOP. Excludes 26,220 shares underlying tme-based and performance based restricted stock units not enttled to vote and that are subject to tme-based vestng or vestng to the extent performance objectves are achieved.</w:t>
      </w:r>
    </w:p>
    <w:p>
      <w:pPr>
        <w:spacing w:after="0" w:line="1" w:lineRule="exact"/>
        <w:rPr>
          <w:rFonts w:ascii="Calibri" w:cs="Calibri" w:eastAsia="Calibri" w:hAnsi="Calibri"/>
          <w:sz w:val="21"/>
          <w:szCs w:val="21"/>
          <w:color w:val="auto"/>
          <w:vertAlign w:val="superscript"/>
        </w:rPr>
      </w:pPr>
    </w:p>
    <w:p>
      <w:pPr>
        <w:ind w:left="320" w:hanging="313"/>
        <w:spacing w:after="0" w:line="189" w:lineRule="auto"/>
        <w:tabs>
          <w:tab w:leader="none" w:pos="320" w:val="left"/>
        </w:tabs>
        <w:numPr>
          <w:ilvl w:val="0"/>
          <w:numId w:val="54"/>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2,354 shares of restricted stock. Includes 27,356 shares held jointly with Mr. Coughlin’s spouse.</w:t>
      </w:r>
    </w:p>
    <w:p>
      <w:pPr>
        <w:spacing w:after="0" w:line="33" w:lineRule="exact"/>
        <w:rPr>
          <w:rFonts w:ascii="Calibri" w:cs="Calibri" w:eastAsia="Calibri" w:hAnsi="Calibri"/>
          <w:sz w:val="18"/>
          <w:szCs w:val="18"/>
          <w:color w:val="auto"/>
          <w:vertAlign w:val="superscript"/>
        </w:rPr>
      </w:pPr>
    </w:p>
    <w:p>
      <w:pPr>
        <w:ind w:left="320" w:hanging="313"/>
        <w:spacing w:after="0" w:line="184" w:lineRule="auto"/>
        <w:tabs>
          <w:tab w:leader="none" w:pos="320" w:val="left"/>
        </w:tabs>
        <w:numPr>
          <w:ilvl w:val="0"/>
          <w:numId w:val="54"/>
        </w:numPr>
        <w:rPr>
          <w:rFonts w:ascii="Calibri" w:cs="Calibri" w:eastAsia="Calibri" w:hAnsi="Calibri"/>
          <w:sz w:val="15"/>
          <w:szCs w:val="15"/>
          <w:color w:val="auto"/>
          <w:vertAlign w:val="superscript"/>
        </w:rPr>
      </w:pPr>
      <w:r>
        <w:rPr>
          <w:rFonts w:ascii="Calibri" w:cs="Calibri" w:eastAsia="Calibri" w:hAnsi="Calibri"/>
          <w:sz w:val="10"/>
          <w:szCs w:val="10"/>
          <w:color w:val="auto"/>
        </w:rPr>
        <w:t>Includes 2,354 shares of restricted stock.</w:t>
      </w:r>
    </w:p>
    <w:p>
      <w:pPr>
        <w:spacing w:after="0" w:line="33" w:lineRule="exact"/>
        <w:rPr>
          <w:rFonts w:ascii="Calibri" w:cs="Calibri" w:eastAsia="Calibri" w:hAnsi="Calibri"/>
          <w:sz w:val="15"/>
          <w:szCs w:val="15"/>
          <w:color w:val="auto"/>
          <w:vertAlign w:val="superscript"/>
        </w:rPr>
      </w:pPr>
    </w:p>
    <w:p>
      <w:pPr>
        <w:jc w:val="both"/>
        <w:ind w:left="320" w:right="180" w:hanging="313"/>
        <w:spacing w:after="0" w:line="181" w:lineRule="auto"/>
        <w:tabs>
          <w:tab w:leader="none" w:pos="320" w:val="left"/>
        </w:tabs>
        <w:numPr>
          <w:ilvl w:val="0"/>
          <w:numId w:val="54"/>
        </w:numPr>
        <w:rPr>
          <w:rFonts w:ascii="Calibri" w:cs="Calibri" w:eastAsia="Calibri" w:hAnsi="Calibri"/>
          <w:sz w:val="21"/>
          <w:szCs w:val="21"/>
          <w:color w:val="auto"/>
          <w:vertAlign w:val="superscript"/>
        </w:rPr>
      </w:pPr>
      <w:r>
        <w:rPr>
          <w:rFonts w:ascii="Calibri" w:cs="Calibri" w:eastAsia="Calibri" w:hAnsi="Calibri"/>
          <w:sz w:val="13"/>
          <w:szCs w:val="13"/>
          <w:color w:val="auto"/>
        </w:rPr>
        <w:t>Includes 2,668 shares held in the ESOP. Includes 3,263 shares of unvested restricted stock. Excludes 56,703 shares underlying tme-based and performance based restricted stock units not enttled to vote and that are subject to tme-based vestng or vestng to the extent performance objectves are achieved. A total of 22,551 shares are pledged as security for indebtedness.</w:t>
      </w:r>
    </w:p>
    <w:p>
      <w:pPr>
        <w:spacing w:after="0" w:line="5" w:lineRule="exact"/>
        <w:rPr>
          <w:rFonts w:ascii="Calibri" w:cs="Calibri" w:eastAsia="Calibri" w:hAnsi="Calibri"/>
          <w:sz w:val="21"/>
          <w:szCs w:val="21"/>
          <w:color w:val="auto"/>
          <w:vertAlign w:val="superscript"/>
        </w:rPr>
      </w:pPr>
    </w:p>
    <w:p>
      <w:pPr>
        <w:ind w:left="320" w:right="40" w:hanging="313"/>
        <w:spacing w:after="0" w:line="194" w:lineRule="auto"/>
        <w:tabs>
          <w:tab w:leader="none" w:pos="320" w:val="left"/>
        </w:tabs>
        <w:numPr>
          <w:ilvl w:val="0"/>
          <w:numId w:val="54"/>
        </w:numPr>
        <w:rPr>
          <w:rFonts w:ascii="Calibri" w:cs="Calibri" w:eastAsia="Calibri" w:hAnsi="Calibri"/>
          <w:sz w:val="24"/>
          <w:szCs w:val="24"/>
          <w:color w:val="auto"/>
          <w:vertAlign w:val="superscript"/>
        </w:rPr>
      </w:pPr>
      <w:r>
        <w:rPr>
          <w:rFonts w:ascii="Calibri" w:cs="Calibri" w:eastAsia="Calibri" w:hAnsi="Calibri"/>
          <w:sz w:val="14"/>
          <w:szCs w:val="14"/>
          <w:color w:val="auto"/>
        </w:rPr>
        <w:t>Includes 2,354 shares of restricted stock and 1,814 shares held jointly with Mr. Newman's spouse. Includes 97,629 shares held in an IRA and 2,000 shares held by Mr. Newman’s spouse in an IRA. Includes 156,705 shares held in the Anita D. Newman Revocable Living Trust under agreement dated August 27, 2015, for which Mr. Newman’s spouse is the trustee. Includes 339,765 held in the Anita D. Newman 2021 GST Trust, for which Mr. Newman is a trustee and a benefciary of. A total of 60,375 shares are subject to a negatve pledge as security for indebtedness.</w:t>
      </w:r>
    </w:p>
    <w:p>
      <w:pPr>
        <w:spacing w:after="0" w:line="2" w:lineRule="exact"/>
        <w:rPr>
          <w:rFonts w:ascii="Calibri" w:cs="Calibri" w:eastAsia="Calibri" w:hAnsi="Calibri"/>
          <w:sz w:val="24"/>
          <w:szCs w:val="24"/>
          <w:color w:val="auto"/>
          <w:vertAlign w:val="superscript"/>
        </w:rPr>
      </w:pPr>
    </w:p>
    <w:p>
      <w:pPr>
        <w:ind w:left="320" w:hanging="313"/>
        <w:spacing w:after="0" w:line="189" w:lineRule="auto"/>
        <w:tabs>
          <w:tab w:leader="none" w:pos="320" w:val="left"/>
        </w:tabs>
        <w:numPr>
          <w:ilvl w:val="0"/>
          <w:numId w:val="54"/>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2,354 shares of restricted stock.</w:t>
      </w:r>
    </w:p>
    <w:p>
      <w:pPr>
        <w:spacing w:after="0" w:line="33" w:lineRule="exact"/>
        <w:rPr>
          <w:rFonts w:ascii="Calibri" w:cs="Calibri" w:eastAsia="Calibri" w:hAnsi="Calibri"/>
          <w:sz w:val="18"/>
          <w:szCs w:val="18"/>
          <w:color w:val="auto"/>
          <w:vertAlign w:val="superscript"/>
        </w:rPr>
      </w:pPr>
    </w:p>
    <w:p>
      <w:pPr>
        <w:ind w:left="320" w:right="180" w:hanging="313"/>
        <w:spacing w:after="0" w:line="181" w:lineRule="auto"/>
        <w:tabs>
          <w:tab w:leader="none" w:pos="320" w:val="left"/>
        </w:tabs>
        <w:numPr>
          <w:ilvl w:val="0"/>
          <w:numId w:val="54"/>
        </w:numPr>
        <w:rPr>
          <w:rFonts w:ascii="Calibri" w:cs="Calibri" w:eastAsia="Calibri" w:hAnsi="Calibri"/>
          <w:sz w:val="21"/>
          <w:szCs w:val="21"/>
          <w:color w:val="auto"/>
          <w:vertAlign w:val="superscript"/>
        </w:rPr>
      </w:pPr>
      <w:r>
        <w:rPr>
          <w:rFonts w:ascii="Calibri" w:cs="Calibri" w:eastAsia="Calibri" w:hAnsi="Calibri"/>
          <w:sz w:val="13"/>
          <w:szCs w:val="13"/>
          <w:color w:val="auto"/>
        </w:rPr>
        <w:t>Includes 2,240 shares held in the ESOP. Includes 3,012 shares of unvested restricted stock. Excludes 21,648 shares underlying tme-based and performance based restricted stock units not enttled to vote and that are subject to tme-based vestng or vestng to the extent performance objectves are achieved.</w:t>
      </w:r>
    </w:p>
    <w:p>
      <w:pPr>
        <w:spacing w:after="0" w:line="1" w:lineRule="exact"/>
        <w:rPr>
          <w:rFonts w:ascii="Calibri" w:cs="Calibri" w:eastAsia="Calibri" w:hAnsi="Calibri"/>
          <w:sz w:val="21"/>
          <w:szCs w:val="21"/>
          <w:color w:val="auto"/>
          <w:vertAlign w:val="superscript"/>
        </w:rPr>
      </w:pPr>
    </w:p>
    <w:p>
      <w:pPr>
        <w:ind w:left="320" w:hanging="313"/>
        <w:spacing w:after="0" w:line="189" w:lineRule="auto"/>
        <w:tabs>
          <w:tab w:leader="none" w:pos="320" w:val="left"/>
        </w:tabs>
        <w:numPr>
          <w:ilvl w:val="0"/>
          <w:numId w:val="54"/>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2,354 shares of restricted stock.</w:t>
      </w:r>
    </w:p>
    <w:p>
      <w:pPr>
        <w:spacing w:after="0" w:line="33" w:lineRule="exact"/>
        <w:rPr>
          <w:rFonts w:ascii="Calibri" w:cs="Calibri" w:eastAsia="Calibri" w:hAnsi="Calibri"/>
          <w:sz w:val="18"/>
          <w:szCs w:val="18"/>
          <w:color w:val="auto"/>
          <w:vertAlign w:val="superscript"/>
        </w:rPr>
      </w:pPr>
    </w:p>
    <w:p>
      <w:pPr>
        <w:ind w:left="320" w:right="260" w:hanging="313"/>
        <w:spacing w:after="0"/>
        <w:tabs>
          <w:tab w:leader="none" w:pos="320" w:val="left"/>
        </w:tabs>
        <w:numPr>
          <w:ilvl w:val="0"/>
          <w:numId w:val="54"/>
        </w:numPr>
        <w:rPr>
          <w:rFonts w:ascii="Calibri" w:cs="Calibri" w:eastAsia="Calibri" w:hAnsi="Calibri"/>
          <w:sz w:val="21"/>
          <w:szCs w:val="21"/>
          <w:color w:val="auto"/>
          <w:vertAlign w:val="superscript"/>
        </w:rPr>
      </w:pPr>
      <w:r>
        <w:rPr>
          <w:rFonts w:ascii="Calibri" w:cs="Calibri" w:eastAsia="Calibri" w:hAnsi="Calibri"/>
          <w:sz w:val="13"/>
          <w:szCs w:val="13"/>
          <w:color w:val="auto"/>
        </w:rPr>
        <w:t>Includes 2,354 shares of restricted stock. Includes 25,387 shares held in an IRA. Includes 1,318 shares held by Mr. Veter’s spouse in an IRA. A total of 13,358 shares are held in brokerage margin account.</w:t>
      </w:r>
    </w:p>
    <w:p>
      <w:pPr>
        <w:spacing w:after="0" w:line="62" w:lineRule="exact"/>
        <w:rPr>
          <w:rFonts w:ascii="Calibri" w:cs="Calibri" w:eastAsia="Calibri" w:hAnsi="Calibri"/>
          <w:sz w:val="21"/>
          <w:szCs w:val="21"/>
          <w:color w:val="auto"/>
          <w:vertAlign w:val="superscript"/>
        </w:rPr>
      </w:pPr>
    </w:p>
    <w:p>
      <w:pPr>
        <w:ind w:left="320" w:right="280" w:hanging="313"/>
        <w:spacing w:after="0" w:line="181" w:lineRule="auto"/>
        <w:tabs>
          <w:tab w:leader="none" w:pos="320" w:val="left"/>
        </w:tabs>
        <w:numPr>
          <w:ilvl w:val="0"/>
          <w:numId w:val="54"/>
        </w:numPr>
        <w:rPr>
          <w:rFonts w:ascii="Calibri" w:cs="Calibri" w:eastAsia="Calibri" w:hAnsi="Calibri"/>
          <w:sz w:val="23"/>
          <w:szCs w:val="23"/>
          <w:color w:val="auto"/>
          <w:vertAlign w:val="superscript"/>
        </w:rPr>
      </w:pPr>
      <w:r>
        <w:rPr>
          <w:rFonts w:ascii="Calibri" w:cs="Calibri" w:eastAsia="Calibri" w:hAnsi="Calibri"/>
          <w:sz w:val="14"/>
          <w:szCs w:val="14"/>
          <w:color w:val="auto"/>
        </w:rPr>
        <w:t>Includes 803 shares held in the ESOP. Excludes 21,414 shares underlying tme-based and performance based restricted stock units not enttled to vote and that are subject to tme-based vestng or vestng to the extent performance objectves are achieved.</w:t>
      </w:r>
    </w:p>
    <w:p>
      <w:pPr>
        <w:spacing w:after="0" w:line="6" w:lineRule="exact"/>
        <w:rPr>
          <w:rFonts w:ascii="Calibri" w:cs="Calibri" w:eastAsia="Calibri" w:hAnsi="Calibri"/>
          <w:sz w:val="23"/>
          <w:szCs w:val="23"/>
          <w:color w:val="auto"/>
          <w:vertAlign w:val="superscript"/>
        </w:rPr>
      </w:pPr>
    </w:p>
    <w:p>
      <w:pPr>
        <w:ind w:left="320" w:right="280" w:hanging="313"/>
        <w:spacing w:after="0" w:line="181" w:lineRule="auto"/>
        <w:tabs>
          <w:tab w:leader="none" w:pos="320" w:val="left"/>
        </w:tabs>
        <w:numPr>
          <w:ilvl w:val="0"/>
          <w:numId w:val="54"/>
        </w:numPr>
        <w:rPr>
          <w:rFonts w:ascii="Calibri" w:cs="Calibri" w:eastAsia="Calibri" w:hAnsi="Calibri"/>
          <w:sz w:val="23"/>
          <w:szCs w:val="23"/>
          <w:color w:val="auto"/>
          <w:vertAlign w:val="superscript"/>
        </w:rPr>
      </w:pPr>
      <w:r>
        <w:rPr>
          <w:rFonts w:ascii="Calibri" w:cs="Calibri" w:eastAsia="Calibri" w:hAnsi="Calibri"/>
          <w:sz w:val="14"/>
          <w:szCs w:val="14"/>
          <w:color w:val="auto"/>
        </w:rPr>
        <w:t>Includes 444 shares held in the ESOP. Includes 9,204 shares of unvested restricted stock. Excludes 19,883 shares underlying tme-based and performance based restricted stock units not enttled to vote and that are subject to tme-based vestng or vestng to the extent performance objectves are achieved.</w:t>
      </w:r>
    </w:p>
    <w:p>
      <w:pPr>
        <w:spacing w:after="0" w:line="1" w:lineRule="exact"/>
        <w:rPr>
          <w:rFonts w:ascii="Calibri" w:cs="Calibri" w:eastAsia="Calibri" w:hAnsi="Calibri"/>
          <w:sz w:val="23"/>
          <w:szCs w:val="23"/>
          <w:color w:val="auto"/>
          <w:vertAlign w:val="superscript"/>
        </w:rPr>
      </w:pPr>
    </w:p>
    <w:p>
      <w:pPr>
        <w:ind w:left="320" w:hanging="313"/>
        <w:spacing w:after="0" w:line="189" w:lineRule="auto"/>
        <w:tabs>
          <w:tab w:leader="none" w:pos="320" w:val="left"/>
        </w:tabs>
        <w:numPr>
          <w:ilvl w:val="0"/>
          <w:numId w:val="54"/>
        </w:numPr>
        <w:rPr>
          <w:rFonts w:ascii="Calibri" w:cs="Calibri" w:eastAsia="Calibri" w:hAnsi="Calibri"/>
          <w:sz w:val="18"/>
          <w:szCs w:val="18"/>
          <w:color w:val="auto"/>
          <w:vertAlign w:val="superscript"/>
        </w:rPr>
      </w:pPr>
      <w:r>
        <w:rPr>
          <w:rFonts w:ascii="Calibri" w:cs="Calibri" w:eastAsia="Calibri" w:hAnsi="Calibri"/>
          <w:sz w:val="12"/>
          <w:szCs w:val="12"/>
          <w:color w:val="auto"/>
        </w:rPr>
        <w:t>Includes 2,354 shares of restricted stock. Includes 3,809 shares held jointly with Ms. Zimmer’s spouse.</w:t>
      </w:r>
    </w:p>
    <w:p>
      <w:pPr>
        <w:spacing w:after="0" w:line="33" w:lineRule="exact"/>
        <w:rPr>
          <w:rFonts w:ascii="Calibri" w:cs="Calibri" w:eastAsia="Calibri" w:hAnsi="Calibri"/>
          <w:sz w:val="18"/>
          <w:szCs w:val="18"/>
          <w:color w:val="auto"/>
          <w:vertAlign w:val="superscript"/>
        </w:rPr>
      </w:pPr>
    </w:p>
    <w:p>
      <w:pPr>
        <w:jc w:val="both"/>
        <w:ind w:left="320" w:right="100" w:hanging="313"/>
        <w:spacing w:after="0" w:line="184" w:lineRule="auto"/>
        <w:tabs>
          <w:tab w:leader="none" w:pos="320" w:val="left"/>
        </w:tabs>
        <w:numPr>
          <w:ilvl w:val="0"/>
          <w:numId w:val="54"/>
        </w:numPr>
        <w:rPr>
          <w:rFonts w:ascii="Calibri" w:cs="Calibri" w:eastAsia="Calibri" w:hAnsi="Calibri"/>
          <w:sz w:val="24"/>
          <w:szCs w:val="24"/>
          <w:color w:val="auto"/>
          <w:vertAlign w:val="superscript"/>
        </w:rPr>
      </w:pPr>
      <w:r>
        <w:rPr>
          <w:rFonts w:ascii="Calibri" w:cs="Calibri" w:eastAsia="Calibri" w:hAnsi="Calibri"/>
          <w:sz w:val="14"/>
          <w:szCs w:val="14"/>
          <w:color w:val="auto"/>
        </w:rPr>
        <w:t>Includes 15,479 shares of unvested restricted stock and 17,155 shares held in the ESOP. Does not include 160,483 shares underlying tme-based or performance-based restricted stock units that are subject to tme-based vestng or vestng to the extent performance objectves are achieved. A total of 100,022 shares are pledged as security for indebtedness and a total of 13,358 are held in a brokerage margin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148590</wp:posOffset>
            </wp:positionV>
            <wp:extent cx="593090" cy="1187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39</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color w:val="1AB2D2"/>
        </w:rPr>
        <w:t>DELINQUENT SECTION 16(a) REPORTS</w:t>
      </w:r>
    </w:p>
    <w:p>
      <w:pPr>
        <w:spacing w:after="0" w:line="70"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Section 16(a) of the Exchange Act requires our executive officers, directors and persons who own more than 10% of our Common Stock to file reports of ownership and changes in ownership with the SEC and with the exchange on which our shares of Common Stock are traded (Nasdaq). These persons are also required to furnish us with copies of all Section 16(a) forms they file. Based solely on our review of the copies of these forms and written representations that no other reports were required, we are not aware of any Section 16 filings that were not timely made in 2025.</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color w:val="auto"/>
        </w:rPr>
        <w:t>Certain Relationships and Related Party Transactions</w:t>
      </w:r>
    </w:p>
    <w:p>
      <w:pPr>
        <w:spacing w:after="0" w:line="243"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In addition to the compensation arrangements with directors and executive officers described in the "Executive Compensation" section above, the following is a description of transactions since January 1, 2025 to which we have been a party, in which the amount involved exceeded or will exceed $120,000, and in which any of our directors, executive officers or beneficial holders of more than five percent of any class of our voting securities, or their immediate family members or entities affiliated with them, had or will have a direct or indirect material interest.</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1AB2D2"/>
        </w:rPr>
        <w:t>ORDINARY BANKING RELATIONSHIPS</w:t>
      </w:r>
    </w:p>
    <w:p>
      <w:pPr>
        <w:spacing w:after="0" w:line="7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Certain of our directors, officers, beneficial owners of more than five percent of our Common Stock and their respective associates were clients of and had banking transactions with the Bank during the year ended December 31, 2025, and additional banking transactions with these persons are expected to continue to take place in the future. All outstanding loans and commitments to lend with these persons were made in the ordinary course of business, were made on substantially the same terms, including interest rates and collateral, as those prevailing at the time for comparable loans with persons not related to the Company or the Bank, and did not involve more than the normal risk of collectability or present other unfavorable features. All such loans are approved by the Bank’s board of directors in accordance with applicable bank regulatory requirements. Similarly, all certificates of deposit and depository relationships with these persons were made in the ordinary course of business and involved substantially the same terms, including interest rates, as those prevailing at the time for comparable depository relationships with persons not related to the Company or the Bank.</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1AB2D2"/>
        </w:rPr>
        <w:t>OTHER RELATED PARTY TRANSACTIONS</w:t>
      </w:r>
    </w:p>
    <w:p>
      <w:pPr>
        <w:spacing w:after="0" w:line="70" w:lineRule="exact"/>
        <w:rPr>
          <w:sz w:val="20"/>
          <w:szCs w:val="20"/>
          <w:color w:val="auto"/>
        </w:rPr>
      </w:pPr>
    </w:p>
    <w:p>
      <w:pPr>
        <w:ind w:right="400"/>
        <w:spacing w:after="0" w:line="261" w:lineRule="auto"/>
        <w:rPr>
          <w:sz w:val="20"/>
          <w:szCs w:val="20"/>
          <w:color w:val="auto"/>
        </w:rPr>
      </w:pPr>
      <w:r>
        <w:rPr>
          <w:rFonts w:ascii="Arial" w:cs="Arial" w:eastAsia="Arial" w:hAnsi="Arial"/>
          <w:sz w:val="16"/>
          <w:szCs w:val="16"/>
          <w:color w:val="auto"/>
        </w:rPr>
        <w:t>Bill Carlson is the brother-in-law of Mr. Newman, a director of the Company, and in 2025 was employed by the Bank as an SVP, Business Banker Lead, a position he held since 2014. Mr. Carlson is not a director or an executive officer of the Company. During 2025, Mr. Carlson’s total compensation was approximately $293,000. Mr. Carlson retired from the Bank on January 9, 2026.</w:t>
      </w:r>
    </w:p>
    <w:p>
      <w:pPr>
        <w:spacing w:after="0" w:line="174"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Cole Keney is the husband of Ms. Keney, an executive officer of the Company, and is employed by the Bank as an SVP, Business Banker, a position he has held since 2019. Mr. Keney is not a director or an executive officer of the Company. During 2025, Mr. Keney’s total compensation was approximately $261,000.</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POLICIES AND PROCEDURES REGARDING RELATED PARTY TRANSACTIONS</w:t>
      </w:r>
    </w:p>
    <w:p>
      <w:pPr>
        <w:spacing w:after="0" w:line="83"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Transactions by the Company or the Bank with related parties, including those described above, are subject to a formal written Related Party Transactions Policy, as well as regulatory requirements and restrictions. These requirements and restrictions include Sections 23A and 23B of the Federal Reserve Act (which govern certain transactions by the Bank with its affiliates) and Regulation O promulgated by the Board of Governors of the Federal Reserve System (which governs certain loans by the Bank to its executive officers, directors and principal stockholders). The Company has adopted policies to comply with these regulatory requirements and restrictions.</w:t>
      </w:r>
    </w:p>
    <w:p>
      <w:pPr>
        <w:spacing w:after="0" w:line="18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Our Board has adopted the Related Party Transaction Policy governing the approval of related party transactions that complies with all applicable SEC and Nasdaq rules and requirements concerning related party transactions. Related party transactions are transactions in which: (i) the Company is a participant, (ii) the amount involved exceeds $120,000 and (iii) a related party of the Company has or will have a direct or indirect material interest. Related parties of the Company include directors (including nominees for election as directors), executive officers, five percent stockholders, and the immediate family members of these persons. The Audit Committee, in consultation with management and outside counsel, as appropriate, reviews potential related party transactions to determine if they are subject to the Related Party Transaction Policy. If so, the transaction will be referred to the Audit Committee for approval. In determining whether to approve a related party transaction, the Audit Committee will consider, among other factors, the fairness of the proposed transaction, the direct or indirect nature of the related party’s interest in the transaction, the appearance of an improper conflict of interest for any director or executive officer taking into account the size of the transaction and the financial position of the related party, whether the transaction would impair an outside director’s independence, the acceptability of the transaction to our regulators and the potential violations of other corporate policies. The Related Party Transactions Policy is available on our website at investors.alerus.com.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593090" cy="1187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40</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9" w:right="339" w:bottom="1440" w:gutter="0" w:footer="0" w:header="0"/>
        </w:sectPr>
      </w:pPr>
    </w:p>
    <w:bookmarkStart w:id="43" w:name="page44"/>
    <w:bookmarkEnd w:id="43"/>
    <w:p>
      <w:pPr>
        <w:ind w:left="320"/>
        <w:spacing w:after="0"/>
        <w:rPr>
          <w:sz w:val="20"/>
          <w:szCs w:val="20"/>
          <w:color w:val="auto"/>
        </w:rPr>
      </w:pPr>
      <w:r>
        <w:rPr>
          <w:rFonts w:ascii="Arial" w:cs="Arial" w:eastAsia="Arial" w:hAnsi="Arial"/>
          <w:sz w:val="18"/>
          <w:szCs w:val="18"/>
          <w:color w:val="1AB2D2"/>
        </w:rPr>
        <w:drawing>
          <wp:anchor simplePos="0" relativeHeight="251657728" behindDoc="1" locked="0" layoutInCell="0" allowOverlap="1">
            <wp:simplePos x="0" y="0"/>
            <wp:positionH relativeFrom="page">
              <wp:posOffset>207645</wp:posOffset>
            </wp:positionH>
            <wp:positionV relativeFrom="page">
              <wp:posOffset>512445</wp:posOffset>
            </wp:positionV>
            <wp:extent cx="7134225" cy="12541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225" cy="1254125"/>
                    </a:xfrm>
                    <a:prstGeom prst="rect">
                      <a:avLst/>
                    </a:prstGeom>
                    <a:noFill/>
                  </pic:spPr>
                </pic:pic>
              </a:graphicData>
            </a:graphic>
          </wp:anchor>
        </w:drawing>
        <w:t>PROPOSAL 2—</w:t>
      </w:r>
    </w:p>
    <w:p>
      <w:pPr>
        <w:spacing w:after="0" w:line="15" w:lineRule="exact"/>
        <w:rPr>
          <w:sz w:val="20"/>
          <w:szCs w:val="20"/>
          <w:color w:val="auto"/>
        </w:rPr>
      </w:pPr>
    </w:p>
    <w:p>
      <w:pPr>
        <w:ind w:left="320" w:right="7000"/>
        <w:spacing w:after="0" w:line="274" w:lineRule="auto"/>
        <w:rPr>
          <w:sz w:val="20"/>
          <w:szCs w:val="20"/>
          <w:color w:val="auto"/>
        </w:rPr>
      </w:pPr>
      <w:r>
        <w:rPr>
          <w:rFonts w:ascii="Times New Roman" w:cs="Times New Roman" w:eastAsia="Times New Roman" w:hAnsi="Times New Roman"/>
          <w:sz w:val="24"/>
          <w:szCs w:val="24"/>
          <w:color w:val="FFFFFF"/>
        </w:rPr>
        <w:t>Non-Binding Advisory Vote on Named Executive Officer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1AB2D2"/>
        </w:rPr>
        <w:t>GENERAL</w:t>
      </w:r>
    </w:p>
    <w:p>
      <w:pPr>
        <w:spacing w:after="0" w:line="7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As required by Section 14A of the Exchange Act, the Company is conducting a separate non-binding advisory stockholder vote, commonly known as a “say-on-pay” vote, to approve the compensation of its NEOs as disclosed in this Proxy Statement. This vote gives our stockholders the opportunity to voice their opinion with respect to the Company’s pay program for its NEOs. In a non-binding, advisory vote on the frequency of say-on-pay votes held at our 2025 annual meeting, our stockholders voted in favor of conducting say-on-pay votes annually. In light of this result, and other factors considered by our Board, our Board determined that we would hold say-on-pay votes on an annual basis until the next advisory vote on such frequency, which will take place at our 2031 annual meeting.</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1AB2D2"/>
        </w:rPr>
        <w:t>SAY-ON-PAY VOTE</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The Company is requesting stockholder approval, on a non-binding advisory basis, of the compensation of the Company’s NEOs for 2025 as listed in the Summary Compensation Table, appearing in the “Executive Compensation” section in this Proxy Statement, and as described in more detail in this Proxy Statement. The general objectives of the Company’s executive compensation programs, which the Company believes are straightforward and reasonable, are to align our NEOs’ compensation with the achievement of the Company’s strategic short-term and long-term operating and financial goals.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resolution is submitted for stockholder approval:</w:t>
      </w:r>
    </w:p>
    <w:p>
      <w:pPr>
        <w:spacing w:after="0" w:line="216"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“RESOLVED, that Alerus Financial Corporation’s stockholders approve, on a non-binding advisory basis, the compensation of Alerus Financial Corporation’s named executive officers, as described in the section captioned ‘Executive Compensation’ and the tabular disclosure regarding named executive officer compensation contained in the Alerus Financial Corporation proxy statement dated April 1, 2026.”</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1AB2D2"/>
        </w:rPr>
        <w:t>STOCKHOLDER VOTE NECESSARY TO APPROVE THE SAY-ON-PAY PROPOSAL</w:t>
      </w:r>
    </w:p>
    <w:p>
      <w:pPr>
        <w:spacing w:after="0" w:line="7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affirmative vote of the majority of shares of Common Stock present in person or represented by proxy at the Annual Meeting and entitled to vote on the matter is required to approve the say-on-pay proposal, on a non-binding advisory basis. Abstentions will have the same legal effect as a vote “against” this proposal, while broker non-votes, because they will not be counted as entitled to vote, will not affect the voting on this proposal. While this say-on-pay vote is required, as provided in Section 14A of the Exchange Act, it is not binding on the Company and may not be construed as overruling any decision by the Board. However, the Compensation Committee will take into account the outcome of the votes when considering future compensation arrangements.</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color w:val="1AB2D2"/>
        </w:rPr>
        <w:t>BOARD RECOMMENDATION</w:t>
      </w:r>
    </w:p>
    <w:p>
      <w:pPr>
        <w:spacing w:after="0" w:line="70" w:lineRule="exact"/>
        <w:rPr>
          <w:sz w:val="20"/>
          <w:szCs w:val="20"/>
          <w:color w:val="auto"/>
        </w:rPr>
      </w:pPr>
    </w:p>
    <w:p>
      <w:pPr>
        <w:ind w:right="420"/>
        <w:spacing w:after="0" w:line="278" w:lineRule="auto"/>
        <w:rPr>
          <w:sz w:val="20"/>
          <w:szCs w:val="20"/>
          <w:color w:val="auto"/>
        </w:rPr>
      </w:pPr>
      <w:r>
        <w:rPr>
          <w:rFonts w:ascii="Arial" w:cs="Arial" w:eastAsia="Arial" w:hAnsi="Arial"/>
          <w:sz w:val="16"/>
          <w:szCs w:val="16"/>
          <w:color w:val="auto"/>
        </w:rPr>
        <w:t>The Board recommends that you vote “FOR” the say-on-pay proposal. Proxies properly signed and returned will be voted “FOR” this proposal unless you specify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593090" cy="1187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77" w:right="339" w:bottom="1440" w:gutter="0" w:footer="0" w:header="0"/>
        </w:sectPr>
      </w:pPr>
    </w:p>
    <w:bookmarkStart w:id="44" w:name="page45"/>
    <w:bookmarkEnd w:id="44"/>
    <w:p>
      <w:pPr>
        <w:ind w:left="320"/>
        <w:spacing w:after="0"/>
        <w:rPr>
          <w:sz w:val="20"/>
          <w:szCs w:val="20"/>
          <w:color w:val="auto"/>
        </w:rPr>
      </w:pPr>
      <w:r>
        <w:rPr>
          <w:rFonts w:ascii="Arial" w:cs="Arial" w:eastAsia="Arial" w:hAnsi="Arial"/>
          <w:sz w:val="18"/>
          <w:szCs w:val="18"/>
          <w:color w:val="1AB2D2"/>
        </w:rPr>
        <w:drawing>
          <wp:anchor simplePos="0" relativeHeight="251657728" behindDoc="1" locked="0" layoutInCell="0" allowOverlap="1">
            <wp:simplePos x="0" y="0"/>
            <wp:positionH relativeFrom="page">
              <wp:posOffset>207645</wp:posOffset>
            </wp:positionH>
            <wp:positionV relativeFrom="page">
              <wp:posOffset>377190</wp:posOffset>
            </wp:positionV>
            <wp:extent cx="7134225" cy="12541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1254125"/>
                    </a:xfrm>
                    <a:prstGeom prst="rect">
                      <a:avLst/>
                    </a:prstGeom>
                    <a:noFill/>
                  </pic:spPr>
                </pic:pic>
              </a:graphicData>
            </a:graphic>
          </wp:anchor>
        </w:drawing>
        <w:t>PROPOSAL 3—</w:t>
      </w:r>
    </w:p>
    <w:p>
      <w:pPr>
        <w:spacing w:after="0" w:line="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5"/>
          <w:szCs w:val="25"/>
          <w:color w:val="FFFFFF"/>
        </w:rPr>
        <w:t>Ratification of the Appointment of RSM</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5"/>
          <w:szCs w:val="25"/>
          <w:color w:val="FFFFFF"/>
        </w:rPr>
        <w:t>US LLP as Our Independent Registered</w:t>
      </w:r>
    </w:p>
    <w:p>
      <w:pPr>
        <w:spacing w:after="0" w:line="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5"/>
          <w:szCs w:val="25"/>
          <w:color w:val="FFFFFF"/>
        </w:rPr>
        <w:t>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1AB2D2"/>
        </w:rPr>
        <w:t>GENERAL</w:t>
      </w:r>
    </w:p>
    <w:p>
      <w:pPr>
        <w:spacing w:after="0" w:line="70"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The Audit Committee of the Board has appointed RSM to serve as our independent registered public accounting firm for the year ending December 31, 2026, and stockholders are being asked to ratify that appointment. If the appointment of RSM is not ratified, the matter of the appointment of our independent registered public accounting firm will be reconsidered by the Audit Committee. The Board has invited representatives of RSM to be present at the virtual Annual Meeting, and expects that they will attend the Annual Meeting to respond to appropriate questions and to make a statement if they so desire.</w:t>
      </w:r>
    </w:p>
    <w:p>
      <w:pPr>
        <w:spacing w:after="0" w:line="392" w:lineRule="exact"/>
        <w:rPr>
          <w:sz w:val="20"/>
          <w:szCs w:val="20"/>
          <w:color w:val="auto"/>
        </w:rPr>
      </w:pPr>
    </w:p>
    <w:p>
      <w:pPr>
        <w:ind w:right="900"/>
        <w:spacing w:after="0" w:line="278" w:lineRule="auto"/>
        <w:rPr>
          <w:sz w:val="20"/>
          <w:szCs w:val="20"/>
          <w:color w:val="auto"/>
        </w:rPr>
      </w:pPr>
      <w:r>
        <w:rPr>
          <w:rFonts w:ascii="Arial" w:cs="Arial" w:eastAsia="Arial" w:hAnsi="Arial"/>
          <w:sz w:val="16"/>
          <w:szCs w:val="16"/>
          <w:color w:val="1AB2D2"/>
        </w:rPr>
        <w:t>STOCKHOLDER VOTE NECESSARY TO RATIFY THE APPOINTMENT OF RSM AS THE COMPANY’S INDEPENDENT REGISTERED PUBLIC ACCOUNTING FIRM</w:t>
      </w:r>
    </w:p>
    <w:p>
      <w:pPr>
        <w:spacing w:after="0" w:line="27"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The affirmative vote of the majority of shares of Common Stock present in person or represented by proxy at the Annual Meeting and entitled to vote on the matter is required to ratify the appointment of RSM as our independent registered public accounting firm for the fiscal year ending December 31, 2026. Abstentions will have the same legal effect as a vote “against” this matter, while broker non-votes will not affect the voting on this matter.</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1AB2D2"/>
        </w:rPr>
        <w:t>BOARD RECOMMENDATION</w:t>
      </w:r>
    </w:p>
    <w:p>
      <w:pPr>
        <w:spacing w:after="0" w:line="83"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We recommend that you vote “FOR” the ratification of the appointment of RSM as our independent registered public accounting firm for the fiscal year ending December 31, 2026. Proxies properly signed and returned will be voted “FOR” this proposal unless you specify otherwise.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1AB2D2"/>
        </w:rPr>
        <w:t>ACCOUNTANT FEES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years ended December 31, 2025 and December 31, 2024, the Company incurred the following fees for professional services rendered by RSM:</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20" w:type="dxa"/>
            <w:vAlign w:val="bottom"/>
            <w:shd w:val="clear" w:color="auto" w:fill="062B48"/>
          </w:tcPr>
          <w:p>
            <w:pPr>
              <w:spacing w:after="0"/>
              <w:rPr>
                <w:sz w:val="16"/>
                <w:szCs w:val="16"/>
                <w:color w:val="auto"/>
              </w:rPr>
            </w:pPr>
          </w:p>
        </w:tc>
        <w:tc>
          <w:tcPr>
            <w:tcW w:w="3600" w:type="dxa"/>
            <w:vAlign w:val="bottom"/>
            <w:shd w:val="clear" w:color="auto" w:fill="062B48"/>
          </w:tcPr>
          <w:p>
            <w:pPr>
              <w:spacing w:after="0"/>
              <w:rPr>
                <w:sz w:val="16"/>
                <w:szCs w:val="16"/>
                <w:color w:val="auto"/>
              </w:rPr>
            </w:pPr>
          </w:p>
        </w:tc>
        <w:tc>
          <w:tcPr>
            <w:tcW w:w="1260" w:type="dxa"/>
            <w:vAlign w:val="bottom"/>
            <w:shd w:val="clear" w:color="auto" w:fill="062B48"/>
          </w:tcPr>
          <w:p>
            <w:pPr>
              <w:jc w:val="right"/>
              <w:ind w:right="609"/>
              <w:spacing w:after="0"/>
              <w:rPr>
                <w:sz w:val="20"/>
                <w:szCs w:val="20"/>
                <w:color w:val="auto"/>
              </w:rPr>
            </w:pPr>
            <w:r>
              <w:rPr>
                <w:rFonts w:ascii="Arial" w:cs="Arial" w:eastAsia="Arial" w:hAnsi="Arial"/>
                <w:sz w:val="14"/>
                <w:szCs w:val="14"/>
                <w:b w:val="1"/>
                <w:bCs w:val="1"/>
                <w:color w:val="FFFFFF"/>
              </w:rPr>
              <w:t>2025</w:t>
            </w:r>
          </w:p>
        </w:tc>
        <w:tc>
          <w:tcPr>
            <w:tcW w:w="420" w:type="dxa"/>
            <w:vAlign w:val="bottom"/>
            <w:shd w:val="clear" w:color="auto" w:fill="062B48"/>
          </w:tcPr>
          <w:p>
            <w:pPr>
              <w:spacing w:after="0"/>
              <w:rPr>
                <w:sz w:val="16"/>
                <w:szCs w:val="16"/>
                <w:color w:val="auto"/>
              </w:rPr>
            </w:pPr>
          </w:p>
        </w:tc>
        <w:tc>
          <w:tcPr>
            <w:tcW w:w="1240" w:type="dxa"/>
            <w:vAlign w:val="bottom"/>
            <w:shd w:val="clear" w:color="auto" w:fill="062B48"/>
          </w:tcPr>
          <w:p>
            <w:pPr>
              <w:jc w:val="right"/>
              <w:ind w:right="609"/>
              <w:spacing w:after="0"/>
              <w:rPr>
                <w:sz w:val="20"/>
                <w:szCs w:val="20"/>
                <w:color w:val="auto"/>
              </w:rPr>
            </w:pPr>
            <w:r>
              <w:rPr>
                <w:rFonts w:ascii="Arial" w:cs="Arial" w:eastAsia="Arial" w:hAnsi="Arial"/>
                <w:sz w:val="14"/>
                <w:szCs w:val="14"/>
                <w:b w:val="1"/>
                <w:bCs w:val="1"/>
                <w:color w:val="FFFFFF"/>
              </w:rPr>
              <w:t>2024</w:t>
            </w:r>
          </w:p>
        </w:tc>
      </w:tr>
      <w:tr>
        <w:trPr>
          <w:trHeight w:val="163"/>
        </w:trPr>
        <w:tc>
          <w:tcPr>
            <w:tcW w:w="4720" w:type="dxa"/>
            <w:vAlign w:val="bottom"/>
          </w:tcPr>
          <w:p>
            <w:pPr>
              <w:ind w:left="160"/>
              <w:spacing w:after="0" w:line="163" w:lineRule="exact"/>
              <w:rPr>
                <w:sz w:val="20"/>
                <w:szCs w:val="20"/>
                <w:color w:val="auto"/>
              </w:rPr>
            </w:pPr>
            <w:r>
              <w:rPr>
                <w:rFonts w:ascii="Arial" w:cs="Arial" w:eastAsia="Arial" w:hAnsi="Arial"/>
                <w:sz w:val="12"/>
                <w:szCs w:val="12"/>
                <w:color w:val="auto"/>
              </w:rPr>
              <w:t>Audit fees</w:t>
            </w:r>
            <w:r>
              <w:rPr>
                <w:rFonts w:ascii="Arial" w:cs="Arial" w:eastAsia="Arial" w:hAnsi="Arial"/>
                <w:sz w:val="18"/>
                <w:szCs w:val="18"/>
                <w:color w:val="auto"/>
                <w:vertAlign w:val="superscript"/>
              </w:rPr>
              <w:t>(1)</w:t>
            </w:r>
          </w:p>
        </w:tc>
        <w:tc>
          <w:tcPr>
            <w:tcW w:w="3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784,730.50</w:t>
            </w:r>
          </w:p>
        </w:tc>
        <w:tc>
          <w:tcPr>
            <w:tcW w:w="4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824,639.75</w:t>
            </w:r>
          </w:p>
        </w:tc>
      </w:tr>
      <w:tr>
        <w:trPr>
          <w:trHeight w:val="160"/>
        </w:trPr>
        <w:tc>
          <w:tcPr>
            <w:tcW w:w="4720" w:type="dxa"/>
            <w:vAlign w:val="bottom"/>
          </w:tcPr>
          <w:p>
            <w:pPr>
              <w:ind w:left="160"/>
              <w:spacing w:after="0" w:line="160" w:lineRule="exact"/>
              <w:rPr>
                <w:sz w:val="20"/>
                <w:szCs w:val="20"/>
                <w:color w:val="auto"/>
              </w:rPr>
            </w:pPr>
            <w:r>
              <w:rPr>
                <w:rFonts w:ascii="Arial" w:cs="Arial" w:eastAsia="Arial" w:hAnsi="Arial"/>
                <w:sz w:val="12"/>
                <w:szCs w:val="12"/>
                <w:color w:val="auto"/>
              </w:rPr>
              <w:t>Audit-related fees</w:t>
            </w:r>
            <w:r>
              <w:rPr>
                <w:rFonts w:ascii="Arial" w:cs="Arial" w:eastAsia="Arial" w:hAnsi="Arial"/>
                <w:sz w:val="18"/>
                <w:szCs w:val="18"/>
                <w:color w:val="auto"/>
                <w:vertAlign w:val="superscript"/>
              </w:rPr>
              <w:t>(2)</w:t>
            </w:r>
          </w:p>
        </w:tc>
        <w:tc>
          <w:tcPr>
            <w:tcW w:w="3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98,385.00</w:t>
            </w:r>
          </w:p>
        </w:tc>
        <w:tc>
          <w:tcPr>
            <w:tcW w:w="4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36,750.00</w:t>
            </w:r>
          </w:p>
        </w:tc>
      </w:tr>
      <w:tr>
        <w:trPr>
          <w:trHeight w:val="160"/>
        </w:trPr>
        <w:tc>
          <w:tcPr>
            <w:tcW w:w="4720" w:type="dxa"/>
            <w:vAlign w:val="bottom"/>
          </w:tcPr>
          <w:p>
            <w:pPr>
              <w:ind w:left="160"/>
              <w:spacing w:after="0" w:line="160" w:lineRule="exact"/>
              <w:rPr>
                <w:sz w:val="20"/>
                <w:szCs w:val="20"/>
                <w:color w:val="auto"/>
              </w:rPr>
            </w:pPr>
            <w:r>
              <w:rPr>
                <w:rFonts w:ascii="Arial" w:cs="Arial" w:eastAsia="Arial" w:hAnsi="Arial"/>
                <w:sz w:val="12"/>
                <w:szCs w:val="12"/>
                <w:color w:val="auto"/>
              </w:rPr>
              <w:t>Tax fees</w:t>
            </w:r>
            <w:r>
              <w:rPr>
                <w:rFonts w:ascii="Arial" w:cs="Arial" w:eastAsia="Arial" w:hAnsi="Arial"/>
                <w:sz w:val="18"/>
                <w:szCs w:val="18"/>
                <w:color w:val="auto"/>
                <w:vertAlign w:val="superscript"/>
              </w:rPr>
              <w:t>(3)</w:t>
            </w:r>
          </w:p>
        </w:tc>
        <w:tc>
          <w:tcPr>
            <w:tcW w:w="3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137,077.50</w:t>
            </w:r>
          </w:p>
        </w:tc>
        <w:tc>
          <w:tcPr>
            <w:tcW w:w="4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88,200.00</w:t>
            </w:r>
          </w:p>
        </w:tc>
      </w:tr>
      <w:tr>
        <w:trPr>
          <w:trHeight w:val="316"/>
        </w:trPr>
        <w:tc>
          <w:tcPr>
            <w:tcW w:w="4720" w:type="dxa"/>
            <w:vAlign w:val="bottom"/>
          </w:tcPr>
          <w:p>
            <w:pPr>
              <w:ind w:left="160"/>
              <w:spacing w:after="0"/>
              <w:rPr>
                <w:sz w:val="20"/>
                <w:szCs w:val="20"/>
                <w:color w:val="auto"/>
              </w:rPr>
            </w:pPr>
            <w:r>
              <w:rPr>
                <w:rFonts w:ascii="Arial" w:cs="Arial" w:eastAsia="Arial" w:hAnsi="Arial"/>
                <w:sz w:val="14"/>
                <w:szCs w:val="14"/>
                <w:color w:val="auto"/>
              </w:rPr>
              <w:t>All other fees</w:t>
            </w:r>
            <w:r>
              <w:rPr>
                <w:rFonts w:ascii="Arial" w:cs="Arial" w:eastAsia="Arial" w:hAnsi="Arial"/>
                <w:sz w:val="23"/>
                <w:szCs w:val="23"/>
                <w:color w:val="auto"/>
                <w:vertAlign w:val="superscript"/>
              </w:rPr>
              <w:t>(4)</w:t>
            </w:r>
          </w:p>
        </w:tc>
        <w:tc>
          <w:tcPr>
            <w:tcW w:w="36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9"/>
              <w:spacing w:after="0"/>
              <w:rPr>
                <w:sz w:val="20"/>
                <w:szCs w:val="20"/>
                <w:color w:val="auto"/>
              </w:rPr>
            </w:pPr>
            <w:r>
              <w:rPr>
                <w:rFonts w:ascii="Arial" w:cs="Arial" w:eastAsia="Arial" w:hAnsi="Arial"/>
                <w:sz w:val="14"/>
                <w:szCs w:val="14"/>
                <w:color w:val="auto"/>
              </w:rPr>
              <w:t>—</w:t>
            </w:r>
          </w:p>
        </w:tc>
      </w:tr>
    </w:tbl>
    <w:p>
      <w:pPr>
        <w:spacing w:after="0" w:line="54" w:lineRule="exact"/>
        <w:rPr>
          <w:sz w:val="20"/>
          <w:szCs w:val="20"/>
          <w:color w:val="auto"/>
        </w:rPr>
      </w:pPr>
    </w:p>
    <w:p>
      <w:pPr>
        <w:ind w:left="320" w:right="200" w:hanging="313"/>
        <w:spacing w:after="0" w:line="191" w:lineRule="exact"/>
        <w:tabs>
          <w:tab w:leader="none" w:pos="320" w:val="left"/>
        </w:tabs>
        <w:numPr>
          <w:ilvl w:val="0"/>
          <w:numId w:val="55"/>
        </w:numPr>
        <w:rPr>
          <w:rFonts w:ascii="Arial" w:cs="Arial" w:eastAsia="Arial" w:hAnsi="Arial"/>
          <w:sz w:val="27"/>
          <w:szCs w:val="27"/>
          <w:color w:val="auto"/>
          <w:vertAlign w:val="superscript"/>
        </w:rPr>
      </w:pPr>
      <w:r>
        <w:rPr>
          <w:rFonts w:ascii="Arial" w:cs="Arial" w:eastAsia="Arial" w:hAnsi="Arial"/>
          <w:sz w:val="16"/>
          <w:szCs w:val="16"/>
          <w:color w:val="auto"/>
        </w:rPr>
        <w:t>Audit fees include fees for professional services performed by RSM for (i) the audit of the Company’s consolidated annual financial statements, (ii) the review of the interim condensed consolidated financial statements included in the Company’s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(iii) the services that are normally provided by the principal accountant in connection with statutory and regulatory filings or engagements, and (iv) other services that generally only the principal accountant can provide.</w:t>
      </w:r>
    </w:p>
    <w:p>
      <w:pPr>
        <w:spacing w:after="0" w:line="1" w:lineRule="exact"/>
        <w:rPr>
          <w:rFonts w:ascii="Arial" w:cs="Arial" w:eastAsia="Arial" w:hAnsi="Arial"/>
          <w:sz w:val="27"/>
          <w:szCs w:val="27"/>
          <w:color w:val="auto"/>
          <w:vertAlign w:val="superscript"/>
        </w:rPr>
      </w:pPr>
    </w:p>
    <w:p>
      <w:pPr>
        <w:ind w:left="320" w:hanging="313"/>
        <w:spacing w:after="0" w:line="207" w:lineRule="auto"/>
        <w:tabs>
          <w:tab w:leader="none" w:pos="320" w:val="left"/>
        </w:tabs>
        <w:numPr>
          <w:ilvl w:val="0"/>
          <w:numId w:val="55"/>
        </w:numPr>
        <w:rPr>
          <w:rFonts w:ascii="Arial" w:cs="Arial" w:eastAsia="Arial" w:hAnsi="Arial"/>
          <w:sz w:val="27"/>
          <w:szCs w:val="27"/>
          <w:color w:val="auto"/>
          <w:vertAlign w:val="superscript"/>
        </w:rPr>
      </w:pPr>
      <w:r>
        <w:rPr>
          <w:rFonts w:ascii="Arial" w:cs="Arial" w:eastAsia="Arial" w:hAnsi="Arial"/>
          <w:sz w:val="16"/>
          <w:szCs w:val="16"/>
          <w:color w:val="auto"/>
        </w:rPr>
        <w:t>Audit-related fees include fees billed for assurance and related services that are reasonably related to the performance of the audit or review of the Company’s consolidated financial statements and are not reported under “Audit Fees.” These services may include accounting consultations in connection with acquisitions and divestitures, capital raising transactions, attestation services that are not required by statute or regulation, and consultations concerning financial accounting and reporting standards.</w:t>
      </w:r>
    </w:p>
    <w:p>
      <w:pPr>
        <w:spacing w:after="0" w:line="3" w:lineRule="exact"/>
        <w:rPr>
          <w:rFonts w:ascii="Arial" w:cs="Arial" w:eastAsia="Arial" w:hAnsi="Arial"/>
          <w:sz w:val="27"/>
          <w:szCs w:val="27"/>
          <w:color w:val="auto"/>
          <w:vertAlign w:val="superscript"/>
        </w:rPr>
      </w:pPr>
    </w:p>
    <w:p>
      <w:pPr>
        <w:ind w:left="320" w:right="360" w:hanging="313"/>
        <w:spacing w:after="0" w:line="181" w:lineRule="auto"/>
        <w:tabs>
          <w:tab w:leader="none" w:pos="320" w:val="left"/>
        </w:tabs>
        <w:numPr>
          <w:ilvl w:val="0"/>
          <w:numId w:val="55"/>
        </w:numPr>
        <w:rPr>
          <w:rFonts w:ascii="Arial" w:cs="Arial" w:eastAsia="Arial" w:hAnsi="Arial"/>
          <w:sz w:val="27"/>
          <w:szCs w:val="27"/>
          <w:color w:val="auto"/>
          <w:vertAlign w:val="superscript"/>
        </w:rPr>
      </w:pPr>
      <w:r>
        <w:rPr>
          <w:rFonts w:ascii="Arial" w:cs="Arial" w:eastAsia="Arial" w:hAnsi="Arial"/>
          <w:sz w:val="16"/>
          <w:szCs w:val="16"/>
          <w:color w:val="auto"/>
        </w:rPr>
        <w:t>Tax fees include fees incurred for professional services rendered for tax compliance, tax advice, and tax planning including preparation of corporation income tax returns.</w:t>
      </w:r>
    </w:p>
    <w:p>
      <w:pPr>
        <w:ind w:left="320" w:right="420" w:hanging="313"/>
        <w:spacing w:after="0" w:line="185" w:lineRule="auto"/>
        <w:tabs>
          <w:tab w:leader="none" w:pos="320" w:val="left"/>
        </w:tabs>
        <w:numPr>
          <w:ilvl w:val="0"/>
          <w:numId w:val="55"/>
        </w:numPr>
        <w:rPr>
          <w:rFonts w:ascii="Arial" w:cs="Arial" w:eastAsia="Arial" w:hAnsi="Arial"/>
          <w:sz w:val="27"/>
          <w:szCs w:val="27"/>
          <w:color w:val="auto"/>
          <w:vertAlign w:val="superscript"/>
        </w:rPr>
      </w:pPr>
      <w:r>
        <w:rPr>
          <w:rFonts w:ascii="Arial" w:cs="Arial" w:eastAsia="Arial" w:hAnsi="Arial"/>
          <w:sz w:val="16"/>
          <w:szCs w:val="16"/>
          <w:color w:val="auto"/>
        </w:rPr>
        <w:t>All other fees include amounts billed for any other products or services offered by RSM, including administrative, technology, and out-of-pocket costs which are primarily related to travel.</w:t>
      </w:r>
    </w:p>
    <w:p>
      <w:pPr>
        <w:spacing w:after="0" w:line="190"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The Audit Committee, after consideration of these matters, does not believe that the rendering of these services by RSM is incompatible with maintaining their independence as our principal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593090" cy="1187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42</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17"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1AB2D2"/>
        </w:rPr>
        <w:t>AUDIT COMMITTEE PRE-APPROVAL POLICY</w:t>
      </w:r>
    </w:p>
    <w:p>
      <w:pPr>
        <w:spacing w:after="0" w:line="70" w:lineRule="exact"/>
        <w:rPr>
          <w:sz w:val="20"/>
          <w:szCs w:val="20"/>
          <w:color w:val="auto"/>
        </w:rPr>
      </w:pPr>
    </w:p>
    <w:p>
      <w:pPr>
        <w:ind w:right="20"/>
        <w:spacing w:after="0" w:line="191" w:lineRule="exact"/>
        <w:rPr>
          <w:sz w:val="20"/>
          <w:szCs w:val="20"/>
          <w:color w:val="auto"/>
        </w:rPr>
      </w:pPr>
      <w:r>
        <w:rPr>
          <w:rFonts w:ascii="Arial" w:cs="Arial" w:eastAsia="Arial" w:hAnsi="Arial"/>
          <w:sz w:val="16"/>
          <w:szCs w:val="16"/>
          <w:color w:val="auto"/>
        </w:rPr>
        <w:t>Among other things, the Audit Committee is responsible for appointing, setting compensation for, and overseeing the work of the independent registered public accounting firm. We have adopted a pre</w:t>
      </w:r>
      <w:r>
        <w:rPr>
          <w:rFonts w:ascii="MS PGothic" w:cs="MS PGothic" w:eastAsia="MS PGothic" w:hAnsi="MS PGothic"/>
          <w:sz w:val="16"/>
          <w:szCs w:val="16"/>
          <w:color w:val="auto"/>
        </w:rPr>
        <w:t>‑</w:t>
      </w:r>
      <w:r>
        <w:rPr>
          <w:rFonts w:ascii="Arial" w:cs="Arial" w:eastAsia="Arial" w:hAnsi="Arial"/>
          <w:sz w:val="16"/>
          <w:szCs w:val="16"/>
          <w:color w:val="auto"/>
        </w:rPr>
        <w:t>approval policy under which the Audit Committee approves in advance all audit and non-audit services to be performed by our independent registered public accounting firm. As part of its pre</w:t>
      </w:r>
      <w:r>
        <w:rPr>
          <w:rFonts w:ascii="MS PGothic" w:cs="MS PGothic" w:eastAsia="MS PGothic" w:hAnsi="MS PGothic"/>
          <w:sz w:val="16"/>
          <w:szCs w:val="16"/>
          <w:color w:val="auto"/>
        </w:rPr>
        <w:t>‑</w:t>
      </w:r>
      <w:r>
        <w:rPr>
          <w:rFonts w:ascii="Arial" w:cs="Arial" w:eastAsia="Arial" w:hAnsi="Arial"/>
          <w:sz w:val="16"/>
          <w:szCs w:val="16"/>
          <w:color w:val="auto"/>
        </w:rPr>
        <w:t>approval policy, the Audit Committee considers whether the provision of any proposed non-audit services is consistent with the SEC’s rules on auditor independence. In accordance with the pre</w:t>
      </w:r>
      <w:r>
        <w:rPr>
          <w:rFonts w:ascii="MS PGothic" w:cs="MS PGothic" w:eastAsia="MS PGothic" w:hAnsi="MS PGothic"/>
          <w:sz w:val="16"/>
          <w:szCs w:val="16"/>
          <w:color w:val="auto"/>
        </w:rPr>
        <w:t>‑</w:t>
      </w:r>
      <w:r>
        <w:rPr>
          <w:rFonts w:ascii="Arial" w:cs="Arial" w:eastAsia="Arial" w:hAnsi="Arial"/>
          <w:sz w:val="16"/>
          <w:szCs w:val="16"/>
          <w:color w:val="auto"/>
        </w:rPr>
        <w:t>approval policy, the Audit Committee has pre-approved certain specified audit and non-audit services to be provided by RSM for up to twelve months from the date of the pre</w:t>
      </w:r>
      <w:r>
        <w:rPr>
          <w:rFonts w:ascii="MS PGothic" w:cs="MS PGothic" w:eastAsia="MS PGothic" w:hAnsi="MS PGothic"/>
          <w:sz w:val="16"/>
          <w:szCs w:val="16"/>
          <w:color w:val="auto"/>
        </w:rPr>
        <w:t>‑</w:t>
      </w:r>
      <w:r>
        <w:rPr>
          <w:rFonts w:ascii="Arial" w:cs="Arial" w:eastAsia="Arial" w:hAnsi="Arial"/>
          <w:sz w:val="16"/>
          <w:szCs w:val="16"/>
          <w:color w:val="auto"/>
        </w:rPr>
        <w:t>approval. All of the services referred to above for 2025 were pre-approved by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593090" cy="1187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2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4620" w:type="dxa"/>
            <w:vAlign w:val="bottom"/>
          </w:tcPr>
          <w:p>
            <w:pPr>
              <w:jc w:val="right"/>
              <w:spacing w:after="0"/>
              <w:rPr>
                <w:sz w:val="20"/>
                <w:szCs w:val="20"/>
                <w:color w:val="auto"/>
              </w:rPr>
            </w:pPr>
            <w:r>
              <w:rPr>
                <w:rFonts w:ascii="Calibri" w:cs="Calibri" w:eastAsia="Calibri" w:hAnsi="Calibri"/>
                <w:sz w:val="12"/>
                <w:szCs w:val="12"/>
                <w:color w:val="auto"/>
              </w:rPr>
              <w:t>43</w:t>
            </w:r>
          </w:p>
        </w:tc>
        <w:tc>
          <w:tcPr>
            <w:tcW w:w="0" w:type="dxa"/>
            <w:vAlign w:val="bottom"/>
          </w:tcPr>
          <w:p>
            <w:pPr>
              <w:spacing w:after="0"/>
              <w:rPr>
                <w:sz w:val="1"/>
                <w:szCs w:val="1"/>
                <w:color w:val="auto"/>
              </w:rPr>
            </w:pPr>
          </w:p>
        </w:tc>
      </w:tr>
      <w:tr>
        <w:trPr>
          <w:trHeight w:val="40"/>
        </w:trPr>
        <w:tc>
          <w:tcPr>
            <w:tcW w:w="6620" w:type="dxa"/>
            <w:vAlign w:val="bottom"/>
            <w:vMerge w:val="continue"/>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6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8"/>
          <w:szCs w:val="28"/>
          <w:color w:val="062B48"/>
        </w:rPr>
        <w:t>Audit Committee Report</w:t>
      </w:r>
    </w:p>
    <w:p>
      <w:pPr>
        <w:spacing w:after="0" w:line="243" w:lineRule="exact"/>
        <w:rPr>
          <w:sz w:val="20"/>
          <w:szCs w:val="20"/>
          <w:color w:val="auto"/>
        </w:rPr>
      </w:pPr>
    </w:p>
    <w:p>
      <w:pPr>
        <w:ind w:right="260"/>
        <w:spacing w:after="0" w:line="255" w:lineRule="auto"/>
        <w:rPr>
          <w:sz w:val="20"/>
          <w:szCs w:val="20"/>
          <w:color w:val="auto"/>
        </w:rPr>
      </w:pPr>
      <w:r>
        <w:rPr>
          <w:rFonts w:ascii="Arial" w:cs="Arial" w:eastAsia="Arial" w:hAnsi="Arial"/>
          <w:sz w:val="16"/>
          <w:szCs w:val="16"/>
          <w:color w:val="auto"/>
        </w:rPr>
        <w:t>The following is the report of the Audit Committee with respect to the Company’s audited financial statements as of and for the year ended December 31, 2025. The information contained in this report shall not be deemed to be “soliciting material” or to otherwise be considered “filed” with the SEC, and such information shall not be incorporated by reference into any future filing under the Securities Act or the Exchange Act, except to the extent that the Company specifically incorporates this report by reference in such filing.</w:t>
      </w:r>
    </w:p>
    <w:p>
      <w:pPr>
        <w:spacing w:after="0" w:line="179" w:lineRule="exact"/>
        <w:rPr>
          <w:sz w:val="20"/>
          <w:szCs w:val="20"/>
          <w:color w:val="auto"/>
        </w:rPr>
      </w:pPr>
    </w:p>
    <w:p>
      <w:pPr>
        <w:ind w:right="100"/>
        <w:spacing w:after="0" w:line="193" w:lineRule="exact"/>
        <w:rPr>
          <w:sz w:val="20"/>
          <w:szCs w:val="20"/>
          <w:color w:val="auto"/>
        </w:rPr>
      </w:pPr>
      <w:r>
        <w:rPr>
          <w:rFonts w:ascii="Arial" w:cs="Arial" w:eastAsia="Arial" w:hAnsi="Arial"/>
          <w:sz w:val="16"/>
          <w:szCs w:val="16"/>
          <w:color w:val="auto"/>
        </w:rPr>
        <w:t>The Audit Committee assists the Board in carrying out its oversight responsibilities for our financial reporting process, audit process and internal controls. The Audit Committee also reviews the audited financial statements and recommends to the Board that they be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The committee is currently comprised of Mr. Coughlin, Mr. Bolton, Mr. Uribe and Mr. Vetter. All of the members have been determined to be “independent,” as defined by Nasdaq.</w:t>
      </w:r>
    </w:p>
    <w:p>
      <w:pPr>
        <w:spacing w:after="0" w:line="191" w:lineRule="exact"/>
        <w:rPr>
          <w:sz w:val="20"/>
          <w:szCs w:val="20"/>
          <w:color w:val="auto"/>
        </w:rPr>
      </w:pPr>
    </w:p>
    <w:p>
      <w:pPr>
        <w:ind w:right="40"/>
        <w:spacing w:after="0" w:line="190" w:lineRule="exact"/>
        <w:rPr>
          <w:sz w:val="20"/>
          <w:szCs w:val="20"/>
          <w:color w:val="auto"/>
        </w:rPr>
      </w:pPr>
      <w:r>
        <w:rPr>
          <w:rFonts w:ascii="Arial" w:cs="Arial" w:eastAsia="Arial" w:hAnsi="Arial"/>
          <w:sz w:val="16"/>
          <w:szCs w:val="16"/>
          <w:color w:val="auto"/>
        </w:rPr>
        <w:t>The Audit Committee has reviewed and discussed our audited financial statements for the year ended December 31, 2025 with our management and RSM, our independent registered public accounting firm, with respect to the 2025 fiscal year. The Audit Committee has also discussed with RSM the matters required to be discussed by the Public Company Accounting Oversight Board (“</w:t>
      </w:r>
      <w:r>
        <w:rPr>
          <w:rFonts w:ascii="Arial" w:cs="Arial" w:eastAsia="Arial" w:hAnsi="Arial"/>
          <w:sz w:val="16"/>
          <w:szCs w:val="16"/>
          <w:b w:val="1"/>
          <w:bCs w:val="1"/>
          <w:color w:val="auto"/>
        </w:rPr>
        <w:t>PCAOB</w:t>
      </w:r>
      <w:r>
        <w:rPr>
          <w:rFonts w:ascii="Arial" w:cs="Arial" w:eastAsia="Arial" w:hAnsi="Arial"/>
          <w:sz w:val="16"/>
          <w:szCs w:val="16"/>
          <w:color w:val="auto"/>
        </w:rPr>
        <w:t>”), including Auditing Standard No. 1301 (Communications with Audit Committees) and the SEC, received and discussed the written disclosures and the letter from RSM required by applicable requirements of the PCAOB regarding RSM’s communications with the Audit Committee concerning independence, including Rule 3526 (Communication with Audit Committees Concerning Independence), and discussed with RSM its independence. Based on the review and discussions with management and RSM, the Audit Committee has recommended to the Board that the audited financial statements be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2025, as filed with the SEC on March 4, 2026.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report is submitted on behalf of the current members of the Audit Committee: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Galen G. Vetter (Chair)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Daniel E. Coughlin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Jeffrey W. Bolton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John Uribe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593090" cy="1187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6620" w:type="dxa"/>
            <w:vAlign w:val="bottom"/>
            <w:vMerge w:val="restart"/>
          </w:tcPr>
          <w:p>
            <w:pPr>
              <w:ind w:left="1000"/>
              <w:spacing w:after="0"/>
              <w:rPr>
                <w:sz w:val="20"/>
                <w:szCs w:val="20"/>
                <w:color w:val="auto"/>
              </w:rPr>
            </w:pPr>
            <w:r>
              <w:rPr>
                <w:rFonts w:ascii="Calibri" w:cs="Calibri" w:eastAsia="Calibri" w:hAnsi="Calibri"/>
                <w:sz w:val="12"/>
                <w:szCs w:val="12"/>
                <w:color w:val="auto"/>
              </w:rPr>
              <w:t>2026 Proxy Statement</w:t>
            </w:r>
          </w:p>
        </w:tc>
        <w:tc>
          <w:tcPr>
            <w:tcW w:w="4620" w:type="dxa"/>
            <w:vAlign w:val="bottom"/>
          </w:tcPr>
          <w:p>
            <w:pPr>
              <w:jc w:val="right"/>
              <w:spacing w:after="0"/>
              <w:rPr>
                <w:sz w:val="20"/>
                <w:szCs w:val="20"/>
                <w:color w:val="auto"/>
              </w:rPr>
            </w:pPr>
            <w:r>
              <w:rPr>
                <w:rFonts w:ascii="Calibri" w:cs="Calibri" w:eastAsia="Calibri" w:hAnsi="Calibri"/>
                <w:sz w:val="12"/>
                <w:szCs w:val="12"/>
                <w:color w:val="auto"/>
              </w:rPr>
              <w:t>44</w:t>
            </w:r>
          </w:p>
        </w:tc>
        <w:tc>
          <w:tcPr>
            <w:tcW w:w="0" w:type="dxa"/>
            <w:vAlign w:val="bottom"/>
          </w:tcPr>
          <w:p>
            <w:pPr>
              <w:spacing w:after="0"/>
              <w:rPr>
                <w:sz w:val="1"/>
                <w:szCs w:val="1"/>
                <w:color w:val="auto"/>
              </w:rPr>
            </w:pPr>
          </w:p>
        </w:tc>
      </w:tr>
      <w:tr>
        <w:trPr>
          <w:trHeight w:val="40"/>
        </w:trPr>
        <w:tc>
          <w:tcPr>
            <w:tcW w:w="6620" w:type="dxa"/>
            <w:vAlign w:val="bottom"/>
            <w:vMerge w:val="continue"/>
          </w:tcPr>
          <w:p>
            <w:pPr>
              <w:spacing w:after="0"/>
              <w:rPr>
                <w:sz w:val="3"/>
                <w:szCs w:val="3"/>
                <w:color w:val="auto"/>
              </w:rPr>
            </w:pPr>
          </w:p>
        </w:tc>
        <w:tc>
          <w:tcPr>
            <w:tcW w:w="4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4"/>
        </w:trPr>
        <w:tc>
          <w:tcPr>
            <w:tcW w:w="66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6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28"/>
          <w:szCs w:val="28"/>
          <w:color w:val="062B48"/>
        </w:rPr>
        <w:t>Other Matters</w:t>
      </w:r>
    </w:p>
    <w:p>
      <w:pPr>
        <w:spacing w:after="0" w:line="207" w:lineRule="exact"/>
        <w:rPr>
          <w:sz w:val="20"/>
          <w:szCs w:val="20"/>
          <w:color w:val="auto"/>
        </w:rPr>
      </w:pPr>
    </w:p>
    <w:p>
      <w:pPr>
        <w:ind w:right="620"/>
        <w:spacing w:after="0" w:line="228" w:lineRule="exact"/>
        <w:rPr>
          <w:sz w:val="20"/>
          <w:szCs w:val="20"/>
          <w:color w:val="auto"/>
        </w:rPr>
      </w:pPr>
      <w:r>
        <w:rPr>
          <w:rFonts w:ascii="Arial" w:cs="Arial" w:eastAsia="Arial" w:hAnsi="Arial"/>
          <w:sz w:val="15"/>
          <w:szCs w:val="15"/>
          <w:color w:val="auto"/>
        </w:rPr>
        <w:t>Upon written request addressed to Kari Koob, Alerus Financial Corporation, P.O. Box 6001, Grand Forks, North Dakota, 58206</w:t>
      </w:r>
      <w:r>
        <w:rPr>
          <w:rFonts w:ascii="MS PGothic" w:cs="MS PGothic" w:eastAsia="MS PGothic" w:hAnsi="MS PGothic"/>
          <w:sz w:val="15"/>
          <w:szCs w:val="15"/>
          <w:color w:val="auto"/>
        </w:rPr>
        <w:t>‑</w:t>
      </w:r>
      <w:r>
        <w:rPr>
          <w:rFonts w:ascii="Arial" w:cs="Arial" w:eastAsia="Arial" w:hAnsi="Arial"/>
          <w:sz w:val="15"/>
          <w:szCs w:val="15"/>
          <w:color w:val="auto"/>
        </w:rPr>
        <w:t>6001, from any person solicited herein, we will provide, at no cost, a copy of our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for the year ended December 31, 2025, as filed with the SEC.</w:t>
      </w:r>
    </w:p>
    <w:p>
      <w:pPr>
        <w:spacing w:after="0" w:line="169" w:lineRule="exact"/>
        <w:rPr>
          <w:sz w:val="20"/>
          <w:szCs w:val="20"/>
          <w:color w:val="auto"/>
        </w:rPr>
      </w:pPr>
    </w:p>
    <w:p>
      <w:pPr>
        <w:ind w:right="360"/>
        <w:spacing w:after="0" w:line="261" w:lineRule="auto"/>
        <w:rPr>
          <w:sz w:val="20"/>
          <w:szCs w:val="20"/>
          <w:color w:val="auto"/>
        </w:rPr>
      </w:pPr>
      <w:r>
        <w:rPr>
          <w:rFonts w:ascii="Arial" w:cs="Arial" w:eastAsia="Arial" w:hAnsi="Arial"/>
          <w:sz w:val="16"/>
          <w:szCs w:val="16"/>
          <w:color w:val="auto"/>
        </w:rPr>
        <w:t>Our Board does not know of any matter to be brought before the Annual Meeting other than the matters set forth in the Notice of Annual Meeting of Stockholders and matters incident to the conduct of the Annual Meeting. If any other matter should properly come before the Annual Meeting, the persons named in the proxy card will have discretionary authority to vote all proxies with respect thereto in accordance with their best judgment.</w:t>
      </w:r>
    </w:p>
    <w:p>
      <w:pPr>
        <w:spacing w:after="0" w:line="36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129540</wp:posOffset>
            </wp:positionV>
            <wp:extent cx="1482725" cy="406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82725" cy="40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Daniel E. Coughlin</w:t>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Chairman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Grand Forks, North Dakota</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593090" cy="1187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3090" cy="118745"/>
                    </a:xfrm>
                    <a:prstGeom prst="rect">
                      <a:avLst/>
                    </a:prstGeom>
                    <a:noFill/>
                  </pic:spPr>
                </pic:pic>
              </a:graphicData>
            </a:graphic>
          </wp:anchor>
        </w:drawing>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ind w:left="1000"/>
              <w:spacing w:after="0"/>
              <w:rPr>
                <w:sz w:val="20"/>
                <w:szCs w:val="20"/>
                <w:color w:val="auto"/>
              </w:rPr>
            </w:pPr>
            <w:r>
              <w:rPr>
                <w:rFonts w:ascii="Arial" w:cs="Arial" w:eastAsia="Arial" w:hAnsi="Arial"/>
                <w:sz w:val="12"/>
                <w:szCs w:val="12"/>
                <w:color w:val="auto"/>
              </w:rPr>
              <w:t>2026 Proxy Statement</w:t>
            </w:r>
          </w:p>
        </w:tc>
        <w:tc>
          <w:tcPr>
            <w:tcW w:w="4560" w:type="dxa"/>
            <w:vAlign w:val="bottom"/>
          </w:tcPr>
          <w:p>
            <w:pPr>
              <w:jc w:val="right"/>
              <w:spacing w:after="0"/>
              <w:rPr>
                <w:sz w:val="20"/>
                <w:szCs w:val="20"/>
                <w:color w:val="auto"/>
              </w:rPr>
            </w:pPr>
            <w:r>
              <w:rPr>
                <w:rFonts w:ascii="Arial" w:cs="Arial" w:eastAsia="Arial" w:hAnsi="Arial"/>
                <w:sz w:val="12"/>
                <w:szCs w:val="12"/>
                <w:color w:val="auto"/>
              </w:rPr>
              <w:t>45</w:t>
            </w:r>
          </w:p>
        </w:tc>
      </w:tr>
      <w:tr>
        <w:trPr>
          <w:trHeight w:val="340"/>
        </w:trPr>
        <w:tc>
          <w:tcPr>
            <w:tcW w:w="66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1" w:right="339" w:bottom="1440"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724535</wp:posOffset>
            </wp:positionV>
            <wp:extent cx="7134225" cy="86252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225" cy="8625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34225" cy="85998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225" cy="85998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537845</wp:posOffset>
            </wp:positionH>
            <wp:positionV relativeFrom="page">
              <wp:posOffset>224155</wp:posOffset>
            </wp:positionV>
            <wp:extent cx="6481445" cy="8387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6481445" cy="83877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1)"/>
      <w:numFmt w:val="decimal"/>
      <w:start w:val="2"/>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3"/>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1"/>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lvl w:ilvl="1">
      <w:lvlJc w:val="left"/>
      <w:lvlText w:val="●"/>
      <w:numFmt w:val="bullet"/>
      <w:start w:val="1"/>
    </w:lvl>
  </w:abstractNum>
  <w:abstractNum w:abstractNumId="47">
    <w:nsid w:val="79A1DEAA"/>
    <w:multiLevelType w:val="hybridMultilevel"/>
    <w:lvl w:ilvl="0">
      <w:lvlJc w:val="left"/>
      <w:lvlText w:val="(%1)"/>
      <w:numFmt w:val="decimal"/>
      <w:start w:val="3"/>
    </w:lvl>
  </w:abstractNum>
  <w:abstractNum w:abstractNumId="48">
    <w:nsid w:val="75C6C33A"/>
    <w:multiLevelType w:val="hybridMultilevel"/>
    <w:lvl w:ilvl="0">
      <w:lvlJc w:val="left"/>
      <w:lvlText w:val="(%1)"/>
      <w:numFmt w:val="decimal"/>
      <w:start w:val="4"/>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4"/>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2026-04-01T15:21:33Z</dcterms:created>
  <dcterms:modified xsi:type="dcterms:W3CDTF">2026-04-01T15:21:33Z</dcterms:modified>
</cp:coreProperties>
</file>