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Koob Kari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401 DEMERS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GRAND FORKS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58201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ALERUS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82"/>
        <w:gridCol w:w="930"/>
        <w:gridCol w:w="799"/>
        <w:gridCol w:w="617"/>
        <w:gridCol w:w="343"/>
        <w:gridCol w:w="766"/>
        <w:gridCol w:w="423"/>
        <w:gridCol w:w="755"/>
        <w:gridCol w:w="1311"/>
        <w:gridCol w:w="973"/>
        <w:gridCol w:w="130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8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3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8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07/03/2026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31.11</w:t>
            </w:r>
            <w:r>
              <w:rPr/>
              <w:t xml:space="preserve"> </w:t>
            </w:r>
          </w:p>
        </w:tc>
        <w:tc>
          <w:tcPr>
            <w:tcW w:w="13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1,100.246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494.0163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Alerus Financial Corporation Employee Stock Ownership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upon vesting of restricted stock for payment of tax liability.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382 shares of restricted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ESOP allocations that have occurred since the date of the reporting person's last ownership report.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Nicholas Brenckman,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9390" TargetMode="External"/><Relationship Id="rId5" Type="http://schemas.openxmlformats.org/officeDocument/2006/relationships/hyperlink" Target="http://www.sec.gov/cgi-bin/browse-edgar?action=getcompany&amp;CIK=00009034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611</Words>
  <Characters>3331</Characters>
  <CharactersWithSpaces>3879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